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B260B" w14:paraId="4763A4B5" w14:textId="77777777" w:rsidTr="0010095E">
        <w:trPr>
          <w:trHeight w:hRule="exact" w:val="1418"/>
        </w:trPr>
        <w:tc>
          <w:tcPr>
            <w:tcW w:w="6804" w:type="dxa"/>
            <w:shd w:val="clear" w:color="auto" w:fill="auto"/>
            <w:vAlign w:val="center"/>
          </w:tcPr>
          <w:p w14:paraId="5CFB2042" w14:textId="77777777" w:rsidR="00751A4A" w:rsidRPr="00FB260B" w:rsidRDefault="003505C3" w:rsidP="0010095E">
            <w:pPr>
              <w:pStyle w:val="EPName"/>
            </w:pPr>
            <w:r w:rsidRPr="00FB260B">
              <w:t>Europäisches Parlament</w:t>
            </w:r>
          </w:p>
          <w:p w14:paraId="291160BD" w14:textId="77777777" w:rsidR="00751A4A" w:rsidRPr="00FB260B" w:rsidRDefault="005F1B17" w:rsidP="005F1B17">
            <w:pPr>
              <w:pStyle w:val="EPTerm"/>
              <w:rPr>
                <w:rStyle w:val="HideTWBExt"/>
                <w:noProof w:val="0"/>
                <w:vanish w:val="0"/>
                <w:color w:val="auto"/>
              </w:rPr>
            </w:pPr>
            <w:r w:rsidRPr="00FB260B">
              <w:t>2024</w:t>
            </w:r>
            <w:r w:rsidR="00817416" w:rsidRPr="00FB260B">
              <w:t>-202</w:t>
            </w:r>
            <w:r w:rsidRPr="00FB260B">
              <w:t>9</w:t>
            </w:r>
          </w:p>
        </w:tc>
        <w:tc>
          <w:tcPr>
            <w:tcW w:w="2268" w:type="dxa"/>
            <w:shd w:val="clear" w:color="auto" w:fill="auto"/>
          </w:tcPr>
          <w:p w14:paraId="1AB9078E" w14:textId="77777777" w:rsidR="00751A4A" w:rsidRPr="00FB260B" w:rsidRDefault="00187494" w:rsidP="0010095E">
            <w:pPr>
              <w:pStyle w:val="EPLogo"/>
            </w:pPr>
            <w:r w:rsidRPr="00FB260B">
              <w:rPr>
                <w:noProof/>
                <w:lang w:eastAsia="ja-JP"/>
              </w:rPr>
              <w:drawing>
                <wp:inline distT="0" distB="0" distL="0" distR="0" wp14:anchorId="3FA0205F" wp14:editId="7D06B0E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4B29097" w14:textId="77777777" w:rsidR="00D058B8" w:rsidRPr="00FB260B" w:rsidRDefault="00D058B8" w:rsidP="004C5D52">
      <w:pPr>
        <w:pStyle w:val="LineTop"/>
      </w:pPr>
    </w:p>
    <w:p w14:paraId="6161CCB7" w14:textId="77777777" w:rsidR="00680577" w:rsidRPr="00FB260B" w:rsidRDefault="003505C3" w:rsidP="00680577">
      <w:pPr>
        <w:pStyle w:val="EPBodyTA1"/>
      </w:pPr>
      <w:r w:rsidRPr="00FB260B">
        <w:t>ANGENOMMENE TEXTE</w:t>
      </w:r>
    </w:p>
    <w:p w14:paraId="7FF77CD7" w14:textId="77777777" w:rsidR="00D058B8" w:rsidRPr="00FB260B" w:rsidRDefault="00D058B8" w:rsidP="00D058B8">
      <w:pPr>
        <w:pStyle w:val="LineBottom"/>
      </w:pPr>
    </w:p>
    <w:p w14:paraId="547D47AE" w14:textId="6A0CDB20" w:rsidR="003505C3" w:rsidRPr="00FB260B" w:rsidRDefault="003505C3" w:rsidP="003505C3">
      <w:pPr>
        <w:pStyle w:val="ATHeading1"/>
      </w:pPr>
      <w:bookmarkStart w:id="0" w:name="TANumber"/>
      <w:r w:rsidRPr="00FB260B">
        <w:t>P10_</w:t>
      </w:r>
      <w:proofErr w:type="gramStart"/>
      <w:r w:rsidRPr="00FB260B">
        <w:t>TA(</w:t>
      </w:r>
      <w:proofErr w:type="gramEnd"/>
      <w:r w:rsidRPr="00FB260B">
        <w:t>2025)0</w:t>
      </w:r>
      <w:r w:rsidR="004F3157">
        <w:t>279</w:t>
      </w:r>
      <w:bookmarkEnd w:id="0"/>
    </w:p>
    <w:p w14:paraId="6533B68D" w14:textId="77777777" w:rsidR="003505C3" w:rsidRPr="00FB260B" w:rsidRDefault="003505C3" w:rsidP="003505C3">
      <w:pPr>
        <w:pStyle w:val="ATHeading2"/>
      </w:pPr>
      <w:bookmarkStart w:id="1" w:name="title"/>
      <w:r w:rsidRPr="00FB260B">
        <w:t>Sicherheit von Spielzeug und Aufhebung der Richtlinie 2009/48/EG</w:t>
      </w:r>
      <w:bookmarkEnd w:id="1"/>
    </w:p>
    <w:p w14:paraId="0BEF1EFC" w14:textId="77777777" w:rsidR="003505C3" w:rsidRPr="00FB260B" w:rsidRDefault="003505C3" w:rsidP="003505C3">
      <w:pPr>
        <w:rPr>
          <w:i/>
          <w:vanish/>
        </w:rPr>
      </w:pPr>
      <w:r w:rsidRPr="00FB260B">
        <w:rPr>
          <w:i/>
        </w:rPr>
        <w:fldChar w:fldCharType="begin"/>
      </w:r>
      <w:r w:rsidRPr="00FB260B">
        <w:rPr>
          <w:i/>
        </w:rPr>
        <w:instrText xml:space="preserve"> TC"(</w:instrText>
      </w:r>
      <w:bookmarkStart w:id="2" w:name="DocNumber"/>
      <w:r w:rsidRPr="00FB260B">
        <w:rPr>
          <w:i/>
        </w:rPr>
        <w:instrText>A10-0227/2025</w:instrText>
      </w:r>
      <w:bookmarkEnd w:id="2"/>
      <w:r w:rsidRPr="00FB260B">
        <w:rPr>
          <w:i/>
        </w:rPr>
        <w:instrText xml:space="preserve"> - Berichterstatterin: Marion Walsmann)"\l3 \n&gt; \* MERGEFORMAT </w:instrText>
      </w:r>
      <w:r w:rsidRPr="00FB260B">
        <w:rPr>
          <w:i/>
        </w:rPr>
        <w:fldChar w:fldCharType="end"/>
      </w:r>
    </w:p>
    <w:p w14:paraId="6F846244" w14:textId="77777777" w:rsidR="003505C3" w:rsidRPr="00FB260B" w:rsidRDefault="003505C3" w:rsidP="003505C3">
      <w:pPr>
        <w:rPr>
          <w:vanish/>
        </w:rPr>
      </w:pPr>
      <w:bookmarkStart w:id="3" w:name="Commission"/>
      <w:r w:rsidRPr="00FB260B">
        <w:rPr>
          <w:vanish/>
        </w:rPr>
        <w:t>Ausschuss für Binnenmarkt und Verbraucherschutz</w:t>
      </w:r>
      <w:bookmarkEnd w:id="3"/>
    </w:p>
    <w:p w14:paraId="44BAB7CC" w14:textId="77777777" w:rsidR="003505C3" w:rsidRPr="00FB260B" w:rsidRDefault="003505C3" w:rsidP="003505C3">
      <w:pPr>
        <w:rPr>
          <w:vanish/>
        </w:rPr>
      </w:pPr>
      <w:bookmarkStart w:id="4" w:name="PE"/>
      <w:r w:rsidRPr="00FB260B">
        <w:rPr>
          <w:vanish/>
        </w:rPr>
        <w:t>PE779.456</w:t>
      </w:r>
      <w:bookmarkEnd w:id="4"/>
    </w:p>
    <w:p w14:paraId="4A29F8EE" w14:textId="7669B555" w:rsidR="003505C3" w:rsidRPr="00FB260B" w:rsidRDefault="003505C3" w:rsidP="003505C3">
      <w:pPr>
        <w:pStyle w:val="ATHeading3"/>
      </w:pPr>
      <w:bookmarkStart w:id="5" w:name="Sujet"/>
      <w:r w:rsidRPr="00FB260B">
        <w:t xml:space="preserve">Legislative Entschließung des Europäischen Parlaments vom </w:t>
      </w:r>
      <w:r w:rsidR="00E467A4">
        <w:t>25</w:t>
      </w:r>
      <w:r w:rsidRPr="00FB260B">
        <w:t xml:space="preserve">. </w:t>
      </w:r>
      <w:r w:rsidR="00E467A4">
        <w:t>November</w:t>
      </w:r>
      <w:r w:rsidRPr="00FB260B">
        <w:t xml:space="preserve"> 2025 zu dem Standpunkt des Rates in erster Lesung im Hinblick auf den Erlass einer Verordnung des Europäischen Parlaments und des Rates über die Sicherheit von Spielzeug und zur Aufhebung der Richtlinie 2009/48/EG</w:t>
      </w:r>
      <w:bookmarkEnd w:id="5"/>
      <w:r w:rsidRPr="00FB260B">
        <w:t xml:space="preserve"> </w:t>
      </w:r>
      <w:bookmarkStart w:id="6" w:name="References"/>
      <w:r w:rsidRPr="00FB260B">
        <w:t>(09663/1/2025 – C10-0251/2025 – 2023/0290(COD))</w:t>
      </w:r>
      <w:bookmarkEnd w:id="6"/>
    </w:p>
    <w:p w14:paraId="5F218497" w14:textId="77777777" w:rsidR="00E71A12" w:rsidRPr="00FB260B" w:rsidRDefault="00E71A12" w:rsidP="00E71A12">
      <w:pPr>
        <w:pStyle w:val="NormalBold"/>
      </w:pPr>
      <w:r w:rsidRPr="00FB260B">
        <w:t>(Ordentliches Gesetzgebungsverfahren: zweite Lesung)</w:t>
      </w:r>
    </w:p>
    <w:p w14:paraId="23E88420" w14:textId="77777777" w:rsidR="00E71A12" w:rsidRPr="00FB260B" w:rsidRDefault="00E71A12" w:rsidP="00E71A12">
      <w:pPr>
        <w:pStyle w:val="EPComma"/>
      </w:pPr>
      <w:r w:rsidRPr="00FB260B">
        <w:rPr>
          <w:i/>
        </w:rPr>
        <w:t>Das Europäische Parlament</w:t>
      </w:r>
      <w:r w:rsidRPr="00FB260B">
        <w:t>,</w:t>
      </w:r>
    </w:p>
    <w:p w14:paraId="2A218F5A" w14:textId="77777777" w:rsidR="00E71A12" w:rsidRPr="00FB260B" w:rsidRDefault="00E71A12" w:rsidP="00E71A12">
      <w:pPr>
        <w:pStyle w:val="NormalHanging12a"/>
      </w:pPr>
      <w:r w:rsidRPr="00FB260B">
        <w:t>–</w:t>
      </w:r>
      <w:r w:rsidRPr="00FB260B">
        <w:tab/>
        <w:t>unter Hinweis auf den Standpunkt des Rates in erster Lesung (09663/1/2025 – C10</w:t>
      </w:r>
      <w:r w:rsidRPr="00FB260B">
        <w:noBreakHyphen/>
        <w:t>0251/2025),</w:t>
      </w:r>
    </w:p>
    <w:p w14:paraId="64852D5C" w14:textId="77777777" w:rsidR="00E71A12" w:rsidRPr="00FB260B" w:rsidRDefault="00E71A12" w:rsidP="00E71A12">
      <w:pPr>
        <w:pStyle w:val="NormalHanging12a"/>
      </w:pPr>
      <w:r w:rsidRPr="00FB260B">
        <w:t>–</w:t>
      </w:r>
      <w:r w:rsidRPr="00FB260B">
        <w:tab/>
        <w:t>unter Hinweis auf die Stellungnahme des Europäischen Wirtschafts- und Sozialausschusses vom 13. Dezember 2023</w:t>
      </w:r>
      <w:r w:rsidRPr="00FB260B">
        <w:rPr>
          <w:rStyle w:val="FootnoteReference"/>
        </w:rPr>
        <w:footnoteReference w:id="1"/>
      </w:r>
      <w:r w:rsidRPr="00FB260B">
        <w:t>,</w:t>
      </w:r>
    </w:p>
    <w:p w14:paraId="642A0F11" w14:textId="77777777" w:rsidR="00E71A12" w:rsidRPr="00FB260B" w:rsidRDefault="00E71A12" w:rsidP="00E71A12">
      <w:pPr>
        <w:pStyle w:val="NormalHanging12a"/>
      </w:pPr>
      <w:r w:rsidRPr="00FB260B">
        <w:t>–</w:t>
      </w:r>
      <w:r w:rsidRPr="00FB260B">
        <w:tab/>
        <w:t>unter Hinweis auf seinen Standpunkt in erster Lesung</w:t>
      </w:r>
      <w:r w:rsidRPr="00FB260B">
        <w:rPr>
          <w:rStyle w:val="FootnoteReference"/>
        </w:rPr>
        <w:footnoteReference w:id="2"/>
      </w:r>
      <w:r w:rsidRPr="00FB260B">
        <w:t xml:space="preserve"> zu dem Vorschlag der Kommission an das Europäische Parlament und den Rat (</w:t>
      </w:r>
      <w:proofErr w:type="gramStart"/>
      <w:r w:rsidRPr="00FB260B">
        <w:t>COM(</w:t>
      </w:r>
      <w:proofErr w:type="gramEnd"/>
      <w:r w:rsidRPr="00FB260B">
        <w:t>2023)0462),</w:t>
      </w:r>
    </w:p>
    <w:p w14:paraId="3C90E78D" w14:textId="77777777" w:rsidR="00E71A12" w:rsidRPr="00FB260B" w:rsidRDefault="00E71A12" w:rsidP="00E71A12">
      <w:pPr>
        <w:pStyle w:val="NormalHanging12a"/>
      </w:pPr>
      <w:r w:rsidRPr="00FB260B">
        <w:t>–</w:t>
      </w:r>
      <w:r w:rsidRPr="00FB260B">
        <w:tab/>
        <w:t>gestützt auf Artikel 294 Absatz 7 des Vertrags über die Arbeitsweise der Europäischen Union,</w:t>
      </w:r>
    </w:p>
    <w:p w14:paraId="1E0FE70A" w14:textId="77777777" w:rsidR="00E71A12" w:rsidRPr="00FB260B" w:rsidRDefault="00E71A12" w:rsidP="00E71A12">
      <w:pPr>
        <w:pStyle w:val="NormalHanging12a"/>
      </w:pPr>
      <w:r w:rsidRPr="00FB260B">
        <w:t>–</w:t>
      </w:r>
      <w:r w:rsidRPr="00FB260B">
        <w:tab/>
        <w:t>unter Hinweis auf die vorläufige Einigung, die gemäß Artikel 75 Absatz 4 seiner Geschäftsordnung vom zuständigen Ausschuss angenommen wurde,</w:t>
      </w:r>
    </w:p>
    <w:p w14:paraId="631F23CD" w14:textId="77777777" w:rsidR="00E71A12" w:rsidRPr="00FB260B" w:rsidRDefault="00E71A12" w:rsidP="00E71A12">
      <w:pPr>
        <w:pStyle w:val="NormalHanging12a"/>
      </w:pPr>
      <w:r w:rsidRPr="00FB260B">
        <w:t>–</w:t>
      </w:r>
      <w:r w:rsidRPr="00FB260B">
        <w:tab/>
        <w:t>gestützt auf Artikel 68 seiner Geschäftsordnung,</w:t>
      </w:r>
    </w:p>
    <w:p w14:paraId="3CAD6004" w14:textId="77777777" w:rsidR="00E71A12" w:rsidRPr="00FB260B" w:rsidRDefault="00E71A12" w:rsidP="00E71A12">
      <w:pPr>
        <w:pStyle w:val="NormalHanging12a"/>
      </w:pPr>
      <w:r w:rsidRPr="00FB260B">
        <w:t>–</w:t>
      </w:r>
      <w:r w:rsidRPr="00FB260B">
        <w:tab/>
        <w:t>unter Hinweis auf die Empfehlung des Ausschusses für Binnenmarkt und Verbraucherschutz für die zweite Lesung (A10-0227/2025),</w:t>
      </w:r>
    </w:p>
    <w:p w14:paraId="62494C8C" w14:textId="77777777" w:rsidR="00E71A12" w:rsidRPr="00FB260B" w:rsidRDefault="00E71A12" w:rsidP="00E71A12">
      <w:pPr>
        <w:pStyle w:val="NormalHanging12a"/>
      </w:pPr>
      <w:r w:rsidRPr="00FB260B">
        <w:t>1.</w:t>
      </w:r>
      <w:r w:rsidRPr="00FB260B">
        <w:tab/>
        <w:t>billigt den Standpunkt des Rates in erster Lesung;</w:t>
      </w:r>
    </w:p>
    <w:p w14:paraId="310A818F" w14:textId="77777777" w:rsidR="00E71A12" w:rsidRPr="00FB260B" w:rsidRDefault="00E71A12" w:rsidP="00E71A12">
      <w:pPr>
        <w:pStyle w:val="NormalHanging12a"/>
      </w:pPr>
      <w:r w:rsidRPr="00FB260B">
        <w:t>2.</w:t>
      </w:r>
      <w:r w:rsidRPr="00FB260B">
        <w:tab/>
        <w:t xml:space="preserve">nimmt die dieser Entschließung beigefügte Erklärung der Kommission zur Kenntnis, die im </w:t>
      </w:r>
      <w:r w:rsidRPr="00FB260B">
        <w:rPr>
          <w:i/>
          <w:iCs/>
        </w:rPr>
        <w:t>Amtsblatt der Europäischen Union</w:t>
      </w:r>
      <w:r w:rsidRPr="00FB260B">
        <w:t xml:space="preserve"> (Reihe C) veröffentlicht wird;</w:t>
      </w:r>
    </w:p>
    <w:p w14:paraId="7B191799" w14:textId="77777777" w:rsidR="00E71A12" w:rsidRPr="00FB260B" w:rsidRDefault="00E71A12" w:rsidP="00E71A12">
      <w:pPr>
        <w:pStyle w:val="NormalHanging12a"/>
      </w:pPr>
      <w:r w:rsidRPr="00FB260B">
        <w:t>3.</w:t>
      </w:r>
      <w:r w:rsidRPr="00FB260B">
        <w:tab/>
        <w:t xml:space="preserve">stellt fest, dass der Gesetzgebungsakt entsprechend dem Standpunkt des Rates erlassen </w:t>
      </w:r>
      <w:r w:rsidRPr="00FB260B">
        <w:lastRenderedPageBreak/>
        <w:t>wird;</w:t>
      </w:r>
    </w:p>
    <w:p w14:paraId="0CAB41D2" w14:textId="77777777" w:rsidR="00E71A12" w:rsidRPr="00FB260B" w:rsidRDefault="00E71A12" w:rsidP="00E71A12">
      <w:pPr>
        <w:pStyle w:val="NormalHanging12a"/>
      </w:pPr>
      <w:r w:rsidRPr="00FB260B">
        <w:t>4.</w:t>
      </w:r>
      <w:r w:rsidRPr="00FB260B">
        <w:tab/>
        <w:t>beauftragt seine Präsidentin, den Gesetzgebungsakt mit dem Präsidenten des Rates gemäß Artikel 297 Absatz 1 des Vertrags über die Arbeitsweise der Europäischen Union zu unterzeichnen;</w:t>
      </w:r>
    </w:p>
    <w:p w14:paraId="2108C4DF" w14:textId="77777777" w:rsidR="00E71A12" w:rsidRPr="00FB260B" w:rsidRDefault="00E71A12" w:rsidP="00E71A12">
      <w:pPr>
        <w:pStyle w:val="NormalHanging12a"/>
      </w:pPr>
      <w:r w:rsidRPr="00FB260B">
        <w:t>5.</w:t>
      </w:r>
      <w:r w:rsidRPr="00FB260B">
        <w:tab/>
        <w:t xml:space="preserve">beauftragt seinen Generalsekretär, den Gesetzgebungsakt zu unterzeichnen, nachdem überprüft worden ist, dass alle Verfahren ordnungsgemäß abgeschlossen worden sind, und im Einvernehmen mit der Generalsekretärin des Rates die Veröffentlichung des Gesetzgebungsakts im </w:t>
      </w:r>
      <w:r w:rsidRPr="00FB260B">
        <w:rPr>
          <w:i/>
          <w:iCs/>
        </w:rPr>
        <w:t>Amtsblatt der Europäischen Union</w:t>
      </w:r>
      <w:r w:rsidRPr="00FB260B">
        <w:t xml:space="preserve"> zu veranlassen;</w:t>
      </w:r>
    </w:p>
    <w:p w14:paraId="68755F99" w14:textId="77777777" w:rsidR="00E71A12" w:rsidRPr="00FB260B" w:rsidRDefault="00E71A12" w:rsidP="00E71A12">
      <w:pPr>
        <w:pStyle w:val="NormalHanging12a"/>
      </w:pPr>
      <w:r w:rsidRPr="00FB260B">
        <w:t>6.</w:t>
      </w:r>
      <w:r w:rsidRPr="00FB260B">
        <w:tab/>
        <w:t>beauftragt seine Präsidentin, den Standpunkt des Parlaments dem Rat und der Kommission sowie den nationalen Parlamenten zu übermitteln.</w:t>
      </w:r>
    </w:p>
    <w:p w14:paraId="79E16072" w14:textId="77777777" w:rsidR="00E71A12" w:rsidRPr="00FB260B" w:rsidRDefault="00E71A12" w:rsidP="00E71A12">
      <w:pPr>
        <w:pStyle w:val="PageHeading"/>
        <w:jc w:val="left"/>
        <w:sectPr w:rsidR="00E71A12" w:rsidRPr="00FB260B" w:rsidSect="00FB260B">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459DA7A" w14:textId="77777777" w:rsidR="00E467A4" w:rsidRPr="00E467A4" w:rsidRDefault="00E71A12" w:rsidP="00E467A4">
      <w:pPr>
        <w:pStyle w:val="PageHeading"/>
        <w:jc w:val="right"/>
        <w:outlineLvl w:val="0"/>
        <w:rPr>
          <w:rFonts w:ascii="Times New Roman" w:hAnsi="Times New Roman" w:cs="Times New Roman"/>
          <w:b w:val="0"/>
          <w:bCs/>
        </w:rPr>
      </w:pPr>
      <w:bookmarkStart w:id="7" w:name="_Toc213238566"/>
      <w:bookmarkStart w:id="8" w:name="_Toc214614716"/>
      <w:r w:rsidRPr="00E467A4">
        <w:rPr>
          <w:rFonts w:ascii="Times New Roman" w:hAnsi="Times New Roman" w:cs="Times New Roman"/>
          <w:b w:val="0"/>
          <w:bCs/>
        </w:rPr>
        <w:lastRenderedPageBreak/>
        <w:t>ANLAGE ZU DER LEGISLATIVEN ENTSCHLIESSUNG</w:t>
      </w:r>
    </w:p>
    <w:p w14:paraId="563DFCE2" w14:textId="148A011D" w:rsidR="00E71A12" w:rsidRPr="00E467A4" w:rsidRDefault="00E71A12" w:rsidP="00E71A12">
      <w:pPr>
        <w:pStyle w:val="PageHeading"/>
        <w:outlineLvl w:val="0"/>
        <w:rPr>
          <w:rFonts w:ascii="Times New Roman" w:hAnsi="Times New Roman" w:cs="Times New Roman"/>
        </w:rPr>
      </w:pPr>
      <w:r w:rsidRPr="00E467A4">
        <w:rPr>
          <w:rFonts w:ascii="Times New Roman" w:hAnsi="Times New Roman" w:cs="Times New Roman"/>
        </w:rPr>
        <w:t>ERKLÄRUNG DER KOMMISSION</w:t>
      </w:r>
      <w:bookmarkEnd w:id="7"/>
      <w:bookmarkEnd w:id="8"/>
      <w:r w:rsidR="00BD3D09">
        <w:rPr>
          <w:rFonts w:ascii="Times New Roman" w:hAnsi="Times New Roman" w:cs="Times New Roman"/>
        </w:rPr>
        <w:t xml:space="preserve"> ANLÄSSLICH DES ERLASSES DER VERORDNUNG</w:t>
      </w:r>
      <w:r w:rsidR="00BD3D09" w:rsidRPr="00BD3D09">
        <w:rPr>
          <w:rFonts w:ascii="Times New Roman" w:hAnsi="Times New Roman" w:cs="Times New Roman"/>
        </w:rPr>
        <w:t xml:space="preserve"> (EU) 202</w:t>
      </w:r>
      <w:r w:rsidR="00BD3D09">
        <w:rPr>
          <w:rFonts w:ascii="Times New Roman" w:hAnsi="Times New Roman" w:cs="Times New Roman"/>
        </w:rPr>
        <w:t>5</w:t>
      </w:r>
      <w:r w:rsidR="00BD3D09" w:rsidRPr="00BD3D09">
        <w:rPr>
          <w:rFonts w:ascii="Times New Roman" w:hAnsi="Times New Roman" w:cs="Times New Roman"/>
        </w:rPr>
        <w:t>/</w:t>
      </w:r>
      <w:r w:rsidR="00F92983">
        <w:rPr>
          <w:rFonts w:ascii="Times New Roman" w:hAnsi="Times New Roman" w:cs="Times New Roman"/>
        </w:rPr>
        <w:t>2509</w:t>
      </w:r>
    </w:p>
    <w:p w14:paraId="6A602B52" w14:textId="6C2013CE" w:rsidR="00FB260B" w:rsidRPr="00E467A4" w:rsidRDefault="00E71A12" w:rsidP="00FB260B">
      <w:bookmarkStart w:id="9" w:name="_Hlk196383635"/>
      <w:r w:rsidRPr="00E467A4">
        <w:t xml:space="preserve">Die Kommission bewertet regelmäßig und systematisch unter Berücksichtigung der verfügbaren wissenschaftlichen Erkenntnisse das Vorhandensein gefährlicher Chemikalien in Spielzeug, um die Grenzwerte oder die Bedingungen für das Vorhandensein bestimmter chemischer Stoffe oder Gemische in Spielzeug gemäß Artikel 46 der Verordnung </w:t>
      </w:r>
      <w:r w:rsidR="00F92983">
        <w:t xml:space="preserve">(EU) </w:t>
      </w:r>
      <w:r w:rsidRPr="00E467A4">
        <w:t>2025/</w:t>
      </w:r>
      <w:r w:rsidR="00F92983">
        <w:t xml:space="preserve">2509 </w:t>
      </w:r>
      <w:r w:rsidRPr="00E467A4">
        <w:t xml:space="preserve">über die Sicherheit von Spielzeug anzupassen. Zu diesem Zweck wird die Kommission die Europäische Chemikalienagentur innerhalb von 12 Monaten nach Inkrafttreten dieser Verordnung um eine Stellungnahme zur Sicherheit von Nitrosaminen und </w:t>
      </w:r>
      <w:proofErr w:type="spellStart"/>
      <w:r w:rsidRPr="00E467A4">
        <w:t>nitrosierbaren</w:t>
      </w:r>
      <w:proofErr w:type="spellEnd"/>
      <w:r w:rsidRPr="00E467A4">
        <w:t xml:space="preserve"> Stoffen in Spielzeug im Hinblick auf die Gesamtexposition ersuchen. Zu demselben Zweck wird die Kommission die Europäische Chemikalienagentur innerhalb von 24 Monaten nach Inkrafttreten dieser Verordnung um eine Stellungnahme zur Sicherheit von Blei, Cadmium, Quecksilber und Chrom vi in Spielzeug im Hinblick auf die Gesamtexposition ersuchen.</w:t>
      </w:r>
      <w:bookmarkEnd w:id="9"/>
    </w:p>
    <w:sectPr w:rsidR="00FB260B" w:rsidRPr="00E467A4" w:rsidSect="00FB260B">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1C0321" w14:textId="77777777" w:rsidR="003505C3" w:rsidRPr="00FB260B" w:rsidRDefault="003505C3">
      <w:r w:rsidRPr="00FB260B">
        <w:separator/>
      </w:r>
    </w:p>
  </w:endnote>
  <w:endnote w:type="continuationSeparator" w:id="0">
    <w:p w14:paraId="0D009BF1" w14:textId="77777777" w:rsidR="003505C3" w:rsidRPr="00FB260B" w:rsidRDefault="003505C3">
      <w:r w:rsidRPr="00FB260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03CF7" w14:textId="77777777" w:rsidR="00E71A12" w:rsidRPr="00FB260B" w:rsidRDefault="00E71A12" w:rsidP="004F391C">
    <w:pPr>
      <w:pStyle w:val="EPFooter"/>
    </w:pPr>
    <w:r w:rsidRPr="00FB260B">
      <w:t>PE</w:t>
    </w:r>
    <w:r w:rsidRPr="00FB260B">
      <w:rPr>
        <w:rStyle w:val="HideTWBExt"/>
      </w:rPr>
      <w:t>&lt;NoPE&gt;</w:t>
    </w:r>
    <w:r w:rsidRPr="00FB260B">
      <w:t>779.456</w:t>
    </w:r>
    <w:r w:rsidRPr="00FB260B">
      <w:rPr>
        <w:rStyle w:val="HideTWBExt"/>
      </w:rPr>
      <w:t>&lt;/NoPE&gt;&lt;Version&gt;</w:t>
    </w:r>
    <w:r w:rsidRPr="00FB260B">
      <w:t>v02-00</w:t>
    </w:r>
    <w:r w:rsidRPr="00FB260B">
      <w:rPr>
        <w:rStyle w:val="HideTWBExt"/>
      </w:rPr>
      <w:t>&lt;/Version&gt;</w:t>
    </w:r>
    <w:r w:rsidRPr="00FB260B">
      <w:tab/>
    </w:r>
    <w:r w:rsidRPr="00FB260B">
      <w:fldChar w:fldCharType="begin"/>
    </w:r>
    <w:r w:rsidRPr="00FB260B">
      <w:instrText xml:space="preserve"> PAGE  \* MERGEFORMAT </w:instrText>
    </w:r>
    <w:r w:rsidRPr="00FB260B">
      <w:fldChar w:fldCharType="separate"/>
    </w:r>
    <w:r w:rsidRPr="00FB260B">
      <w:rPr>
        <w:noProof/>
      </w:rPr>
      <w:t>2</w:t>
    </w:r>
    <w:r w:rsidRPr="00FB260B">
      <w:fldChar w:fldCharType="end"/>
    </w:r>
    <w:r w:rsidRPr="00FB260B">
      <w:t>/</w:t>
    </w:r>
    <w:r w:rsidR="00F92983">
      <w:fldChar w:fldCharType="begin"/>
    </w:r>
    <w:r w:rsidR="00F92983">
      <w:instrText xml:space="preserve"> NUMPAGES  \* MERGEFORMAT </w:instrText>
    </w:r>
    <w:r w:rsidR="00F92983">
      <w:fldChar w:fldCharType="separate"/>
    </w:r>
    <w:r w:rsidRPr="00FB260B">
      <w:rPr>
        <w:noProof/>
      </w:rPr>
      <w:t>1</w:t>
    </w:r>
    <w:r w:rsidR="00F92983">
      <w:rPr>
        <w:noProof/>
      </w:rPr>
      <w:fldChar w:fldCharType="end"/>
    </w:r>
    <w:r w:rsidRPr="00FB260B">
      <w:tab/>
    </w:r>
    <w:r w:rsidRPr="00FB260B">
      <w:rPr>
        <w:rStyle w:val="HideTWBExt"/>
      </w:rPr>
      <w:t>&lt;PathFdR&gt;</w:t>
    </w:r>
    <w:r w:rsidRPr="00FB260B">
      <w:t>RR\1331920DE.docx</w:t>
    </w:r>
    <w:r w:rsidRPr="00FB260B">
      <w:rPr>
        <w:rStyle w:val="HideTWBExt"/>
      </w:rPr>
      <w:t>&lt;/PathFdR&gt;</w:t>
    </w:r>
  </w:p>
  <w:p w14:paraId="1BCF8A2D" w14:textId="77777777" w:rsidR="00E71A12" w:rsidRPr="00FB260B" w:rsidRDefault="00E71A12" w:rsidP="004F391C">
    <w:pPr>
      <w:pStyle w:val="EPFooter2"/>
    </w:pPr>
    <w:r w:rsidRPr="00FB260B">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51DC1" w14:textId="77777777" w:rsidR="00E71A12" w:rsidRPr="00FB260B" w:rsidRDefault="00E71A12" w:rsidP="004F391C">
    <w:pPr>
      <w:pStyle w:val="EPFooter"/>
    </w:pPr>
    <w:r w:rsidRPr="00FB260B">
      <w:rPr>
        <w:rStyle w:val="HideTWBExt"/>
      </w:rPr>
      <w:t>&lt;PathFdR&gt;</w:t>
    </w:r>
    <w:r w:rsidRPr="00FB260B">
      <w:t>RR\1331920DE.docx</w:t>
    </w:r>
    <w:r w:rsidRPr="00FB260B">
      <w:rPr>
        <w:rStyle w:val="HideTWBExt"/>
      </w:rPr>
      <w:t>&lt;/PathFdR&gt;</w:t>
    </w:r>
    <w:r w:rsidRPr="00FB260B">
      <w:tab/>
    </w:r>
    <w:r w:rsidRPr="00FB260B">
      <w:tab/>
      <w:t>PE</w:t>
    </w:r>
    <w:r w:rsidRPr="00FB260B">
      <w:rPr>
        <w:rStyle w:val="HideTWBExt"/>
      </w:rPr>
      <w:t>&lt;NoPE&gt;</w:t>
    </w:r>
    <w:r w:rsidRPr="00FB260B">
      <w:t>779.456</w:t>
    </w:r>
    <w:r w:rsidRPr="00FB260B">
      <w:rPr>
        <w:rStyle w:val="HideTWBExt"/>
      </w:rPr>
      <w:t>&lt;/NoPE&gt;&lt;Version&gt;</w:t>
    </w:r>
    <w:r w:rsidRPr="00FB260B">
      <w:t>v02-00</w:t>
    </w:r>
    <w:r w:rsidRPr="00FB260B">
      <w:rPr>
        <w:rStyle w:val="HideTWBExt"/>
      </w:rPr>
      <w:t>&lt;/Version&gt;</w:t>
    </w:r>
  </w:p>
  <w:p w14:paraId="64733BB2" w14:textId="77777777" w:rsidR="00E71A12" w:rsidRPr="00FB260B" w:rsidRDefault="00E71A12" w:rsidP="004F391C">
    <w:pPr>
      <w:pStyle w:val="EPFooter2"/>
    </w:pPr>
    <w:r w:rsidRPr="00FB260B">
      <w:t>DE</w:t>
    </w:r>
    <w:r w:rsidRPr="00FB260B">
      <w:tab/>
    </w:r>
    <w:r w:rsidRPr="00FB260B">
      <w:rPr>
        <w:b w:val="0"/>
        <w:i/>
        <w:color w:val="C0C0C0"/>
        <w:sz w:val="22"/>
      </w:rPr>
      <w:t>In Vielfalt geeint</w:t>
    </w:r>
    <w:r w:rsidRPr="00FB260B">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AC0B0" w14:textId="77777777" w:rsidR="00064002" w:rsidRPr="00FB260B"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07B7A" w14:textId="77777777" w:rsidR="00064002" w:rsidRPr="00FB260B"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CECFB" w14:textId="77777777" w:rsidR="00064002" w:rsidRPr="00FB260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CBF998" w14:textId="77777777" w:rsidR="003505C3" w:rsidRPr="00FB260B" w:rsidRDefault="003505C3">
      <w:r w:rsidRPr="00FB260B">
        <w:separator/>
      </w:r>
    </w:p>
  </w:footnote>
  <w:footnote w:type="continuationSeparator" w:id="0">
    <w:p w14:paraId="58D66421" w14:textId="77777777" w:rsidR="003505C3" w:rsidRPr="00FB260B" w:rsidRDefault="003505C3">
      <w:r w:rsidRPr="00FB260B">
        <w:continuationSeparator/>
      </w:r>
    </w:p>
  </w:footnote>
  <w:footnote w:id="1">
    <w:p w14:paraId="4C6E017B" w14:textId="139518BF" w:rsidR="00E71A12" w:rsidRPr="00BD3D09" w:rsidRDefault="00E71A12" w:rsidP="00FB260B">
      <w:pPr>
        <w:pStyle w:val="FootnoteText"/>
        <w:ind w:left="567" w:hanging="567"/>
        <w:rPr>
          <w:sz w:val="24"/>
          <w:lang w:val="fi-FI"/>
        </w:rPr>
      </w:pPr>
      <w:r w:rsidRPr="00FB260B">
        <w:rPr>
          <w:rStyle w:val="FootnoteReference"/>
          <w:sz w:val="24"/>
          <w:lang w:val="de-DE"/>
        </w:rPr>
        <w:footnoteRef/>
      </w:r>
      <w:r w:rsidR="00FB260B" w:rsidRPr="00BD3D09">
        <w:rPr>
          <w:sz w:val="24"/>
          <w:lang w:val="fi-FI"/>
        </w:rPr>
        <w:t xml:space="preserve"> </w:t>
      </w:r>
      <w:r w:rsidR="00FB260B" w:rsidRPr="00BD3D09">
        <w:rPr>
          <w:sz w:val="24"/>
          <w:lang w:val="fi-FI"/>
        </w:rPr>
        <w:tab/>
      </w:r>
      <w:r w:rsidRPr="00BD3D09">
        <w:rPr>
          <w:sz w:val="24"/>
          <w:lang w:val="fi-FI"/>
        </w:rPr>
        <w:t xml:space="preserve">ABl. C, C/2024/1577, 5.3.2024, ELI: </w:t>
      </w:r>
      <w:hyperlink r:id="rId1" w:history="1">
        <w:r w:rsidRPr="00BD3D09">
          <w:rPr>
            <w:rStyle w:val="Hyperlink"/>
            <w:sz w:val="24"/>
            <w:lang w:val="fi-FI"/>
          </w:rPr>
          <w:t>http://data.euro</w:t>
        </w:r>
        <w:r w:rsidRPr="00BD3D09">
          <w:rPr>
            <w:rStyle w:val="Hyperlink"/>
            <w:sz w:val="24"/>
            <w:lang w:val="fi-FI"/>
          </w:rPr>
          <w:t>pa.eu/eli/C/2024/1577/oj</w:t>
        </w:r>
      </w:hyperlink>
      <w:r w:rsidRPr="00BD3D09">
        <w:rPr>
          <w:sz w:val="24"/>
          <w:lang w:val="fi-FI"/>
        </w:rPr>
        <w:t>.</w:t>
      </w:r>
    </w:p>
  </w:footnote>
  <w:footnote w:id="2">
    <w:p w14:paraId="333BBA34" w14:textId="48E500D6" w:rsidR="00E71A12" w:rsidRPr="00BD3D09" w:rsidRDefault="00E71A12" w:rsidP="00FB260B">
      <w:pPr>
        <w:pStyle w:val="FootnoteText"/>
        <w:ind w:left="567" w:hanging="567"/>
        <w:rPr>
          <w:sz w:val="24"/>
          <w:lang w:val="fi-FI"/>
        </w:rPr>
      </w:pPr>
      <w:r w:rsidRPr="00FB260B">
        <w:rPr>
          <w:rStyle w:val="FootnoteReference"/>
          <w:sz w:val="24"/>
          <w:lang w:val="de-DE"/>
        </w:rPr>
        <w:footnoteRef/>
      </w:r>
      <w:r w:rsidR="00FB260B" w:rsidRPr="00BD3D09">
        <w:rPr>
          <w:sz w:val="24"/>
          <w:lang w:val="fi-FI"/>
        </w:rPr>
        <w:t xml:space="preserve"> </w:t>
      </w:r>
      <w:r w:rsidR="00FB260B" w:rsidRPr="00BD3D09">
        <w:rPr>
          <w:sz w:val="24"/>
          <w:lang w:val="fi-FI"/>
        </w:rPr>
        <w:tab/>
      </w:r>
      <w:r w:rsidRPr="00BD3D09">
        <w:rPr>
          <w:sz w:val="24"/>
          <w:lang w:val="fi-FI"/>
        </w:rPr>
        <w:t xml:space="preserve">ABl. C, C/2025/1032, 27.2.2025, ELI: </w:t>
      </w:r>
      <w:hyperlink r:id="rId2" w:history="1">
        <w:r w:rsidRPr="00BD3D09">
          <w:rPr>
            <w:rStyle w:val="Hyperlink"/>
            <w:sz w:val="24"/>
            <w:lang w:val="fi-FI"/>
          </w:rPr>
          <w:t>http://data.europa.</w:t>
        </w:r>
        <w:r w:rsidRPr="00BD3D09">
          <w:rPr>
            <w:rStyle w:val="Hyperlink"/>
            <w:sz w:val="24"/>
            <w:lang w:val="fi-FI"/>
          </w:rPr>
          <w:t>eu/eli/C/2025/1032/oj</w:t>
        </w:r>
      </w:hyperlink>
      <w:r w:rsidRPr="00BD3D09">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4081B" w14:textId="77777777" w:rsidR="00064002" w:rsidRPr="00FB260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BC649" w14:textId="77777777" w:rsidR="00064002" w:rsidRPr="00FB260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802B7" w14:textId="77777777" w:rsidR="00064002" w:rsidRPr="00FB260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07670120">
    <w:abstractNumId w:val="9"/>
  </w:num>
  <w:num w:numId="2" w16cid:durableId="916091062">
    <w:abstractNumId w:val="9"/>
  </w:num>
  <w:num w:numId="3" w16cid:durableId="949437175">
    <w:abstractNumId w:val="7"/>
  </w:num>
  <w:num w:numId="4" w16cid:durableId="1906452327">
    <w:abstractNumId w:val="7"/>
  </w:num>
  <w:num w:numId="5" w16cid:durableId="837962171">
    <w:abstractNumId w:val="6"/>
  </w:num>
  <w:num w:numId="6" w16cid:durableId="1055280318">
    <w:abstractNumId w:val="6"/>
  </w:num>
  <w:num w:numId="7" w16cid:durableId="1709258669">
    <w:abstractNumId w:val="5"/>
  </w:num>
  <w:num w:numId="8" w16cid:durableId="246617127">
    <w:abstractNumId w:val="5"/>
  </w:num>
  <w:num w:numId="9" w16cid:durableId="2002804388">
    <w:abstractNumId w:val="4"/>
  </w:num>
  <w:num w:numId="10" w16cid:durableId="1026055004">
    <w:abstractNumId w:val="4"/>
  </w:num>
  <w:num w:numId="11" w16cid:durableId="352270432">
    <w:abstractNumId w:val="8"/>
  </w:num>
  <w:num w:numId="12" w16cid:durableId="1702705342">
    <w:abstractNumId w:val="8"/>
  </w:num>
  <w:num w:numId="13" w16cid:durableId="1862279567">
    <w:abstractNumId w:val="3"/>
  </w:num>
  <w:num w:numId="14" w16cid:durableId="1771268131">
    <w:abstractNumId w:val="3"/>
  </w:num>
  <w:num w:numId="15" w16cid:durableId="916062519">
    <w:abstractNumId w:val="2"/>
  </w:num>
  <w:num w:numId="16" w16cid:durableId="241527023">
    <w:abstractNumId w:val="2"/>
  </w:num>
  <w:num w:numId="17" w16cid:durableId="1601185725">
    <w:abstractNumId w:val="1"/>
  </w:num>
  <w:num w:numId="18" w16cid:durableId="1514613343">
    <w:abstractNumId w:val="1"/>
  </w:num>
  <w:num w:numId="19" w16cid:durableId="470487759">
    <w:abstractNumId w:val="0"/>
  </w:num>
  <w:num w:numId="20" w16cid:durableId="811484592">
    <w:abstractNumId w:val="0"/>
  </w:num>
  <w:num w:numId="21" w16cid:durableId="1644306479">
    <w:abstractNumId w:val="9"/>
  </w:num>
  <w:num w:numId="22" w16cid:durableId="2139296915">
    <w:abstractNumId w:val="7"/>
  </w:num>
  <w:num w:numId="23" w16cid:durableId="1630208674">
    <w:abstractNumId w:val="6"/>
  </w:num>
  <w:num w:numId="24" w16cid:durableId="894243706">
    <w:abstractNumId w:val="5"/>
  </w:num>
  <w:num w:numId="25" w16cid:durableId="122623671">
    <w:abstractNumId w:val="4"/>
  </w:num>
  <w:num w:numId="26" w16cid:durableId="1756785797">
    <w:abstractNumId w:val="8"/>
  </w:num>
  <w:num w:numId="27" w16cid:durableId="1293488282">
    <w:abstractNumId w:val="3"/>
  </w:num>
  <w:num w:numId="28" w16cid:durableId="1020280323">
    <w:abstractNumId w:val="2"/>
  </w:num>
  <w:num w:numId="29" w16cid:durableId="1211379009">
    <w:abstractNumId w:val="1"/>
  </w:num>
  <w:num w:numId="30" w16cid:durableId="1321694249">
    <w:abstractNumId w:val="0"/>
  </w:num>
  <w:num w:numId="31" w16cid:durableId="47804968">
    <w:abstractNumId w:val="9"/>
  </w:num>
  <w:num w:numId="32" w16cid:durableId="879974804">
    <w:abstractNumId w:val="7"/>
  </w:num>
  <w:num w:numId="33" w16cid:durableId="1835221530">
    <w:abstractNumId w:val="6"/>
  </w:num>
  <w:num w:numId="34" w16cid:durableId="1703240072">
    <w:abstractNumId w:val="5"/>
  </w:num>
  <w:num w:numId="35" w16cid:durableId="935209052">
    <w:abstractNumId w:val="4"/>
  </w:num>
  <w:num w:numId="36" w16cid:durableId="121772761">
    <w:abstractNumId w:val="8"/>
  </w:num>
  <w:num w:numId="37" w16cid:durableId="350841040">
    <w:abstractNumId w:val="3"/>
  </w:num>
  <w:num w:numId="38" w16cid:durableId="2067995249">
    <w:abstractNumId w:val="2"/>
  </w:num>
  <w:num w:numId="39" w16cid:durableId="1148549890">
    <w:abstractNumId w:val="1"/>
  </w:num>
  <w:num w:numId="40" w16cid:durableId="24869397">
    <w:abstractNumId w:val="0"/>
  </w:num>
  <w:num w:numId="41" w16cid:durableId="1271889857">
    <w:abstractNumId w:val="10"/>
  </w:num>
  <w:num w:numId="42" w16cid:durableId="1267419881">
    <w:abstractNumId w:val="10"/>
  </w:num>
  <w:num w:numId="43" w16cid:durableId="1420255230">
    <w:abstractNumId w:val="10"/>
  </w:num>
  <w:num w:numId="44" w16cid:durableId="5204320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7/2025"/>
    <w:docVar w:name="dvlangue" w:val="DE"/>
    <w:docVar w:name="dvnumam" w:val="0"/>
    <w:docVar w:name="dvpe" w:val="779.456"/>
    <w:docVar w:name="dvrapporteur" w:val="Berichterstatterin: "/>
    <w:docVar w:name="dvstar" w:val="***II"/>
    <w:docVar w:name="dvtitre" w:val="Legislative Entschließung des Europäischen Parlaments vom XX. XXX 2025 zu dem Standpunkt des Rates in erster Lesung im Hinblick auf den Erlass einer Verordnung des Europäischen Parlaments und des Rates über die Sicherheit von Spielzeug und zur Aufhebung der Richtlinie 2009/48/EG(09663/1/2025 – C10-0251/2025 – 2023/0290(COD))"/>
  </w:docVars>
  <w:rsids>
    <w:rsidRoot w:val="003505C3"/>
    <w:rsid w:val="00002272"/>
    <w:rsid w:val="00064002"/>
    <w:rsid w:val="000677B9"/>
    <w:rsid w:val="000831BA"/>
    <w:rsid w:val="000A42CC"/>
    <w:rsid w:val="000E7DD9"/>
    <w:rsid w:val="0010095E"/>
    <w:rsid w:val="00125B37"/>
    <w:rsid w:val="00187494"/>
    <w:rsid w:val="001F32AE"/>
    <w:rsid w:val="002767FF"/>
    <w:rsid w:val="002B18FE"/>
    <w:rsid w:val="002B5493"/>
    <w:rsid w:val="002E0A19"/>
    <w:rsid w:val="00343214"/>
    <w:rsid w:val="003505C3"/>
    <w:rsid w:val="00361C00"/>
    <w:rsid w:val="00395FA1"/>
    <w:rsid w:val="003A36D1"/>
    <w:rsid w:val="003E15D4"/>
    <w:rsid w:val="00411CCE"/>
    <w:rsid w:val="0041666E"/>
    <w:rsid w:val="00421060"/>
    <w:rsid w:val="00471C19"/>
    <w:rsid w:val="004867E3"/>
    <w:rsid w:val="00494A28"/>
    <w:rsid w:val="004C0004"/>
    <w:rsid w:val="004C5D52"/>
    <w:rsid w:val="004F3157"/>
    <w:rsid w:val="0050519A"/>
    <w:rsid w:val="005072A1"/>
    <w:rsid w:val="00514517"/>
    <w:rsid w:val="00545827"/>
    <w:rsid w:val="00560270"/>
    <w:rsid w:val="005C2568"/>
    <w:rsid w:val="005F1B17"/>
    <w:rsid w:val="006037C0"/>
    <w:rsid w:val="006631B6"/>
    <w:rsid w:val="00680577"/>
    <w:rsid w:val="006F74FA"/>
    <w:rsid w:val="00716697"/>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3D09"/>
    <w:rsid w:val="00BD48FE"/>
    <w:rsid w:val="00BD7BD8"/>
    <w:rsid w:val="00BE6ADC"/>
    <w:rsid w:val="00C05BFE"/>
    <w:rsid w:val="00C23CD4"/>
    <w:rsid w:val="00C5544C"/>
    <w:rsid w:val="00C61C0C"/>
    <w:rsid w:val="00C941CB"/>
    <w:rsid w:val="00CA3B2F"/>
    <w:rsid w:val="00CC2357"/>
    <w:rsid w:val="00CF071A"/>
    <w:rsid w:val="00D058B8"/>
    <w:rsid w:val="00D466A0"/>
    <w:rsid w:val="00D56C11"/>
    <w:rsid w:val="00D834A0"/>
    <w:rsid w:val="00D872DF"/>
    <w:rsid w:val="00D91E21"/>
    <w:rsid w:val="00DA7FCD"/>
    <w:rsid w:val="00E365E1"/>
    <w:rsid w:val="00E467A4"/>
    <w:rsid w:val="00E71A12"/>
    <w:rsid w:val="00E74528"/>
    <w:rsid w:val="00E820A4"/>
    <w:rsid w:val="00EB006A"/>
    <w:rsid w:val="00EB4772"/>
    <w:rsid w:val="00ED169E"/>
    <w:rsid w:val="00ED4235"/>
    <w:rsid w:val="00F04346"/>
    <w:rsid w:val="00F075DC"/>
    <w:rsid w:val="00F149E9"/>
    <w:rsid w:val="00F5134D"/>
    <w:rsid w:val="00F74202"/>
    <w:rsid w:val="00F87713"/>
    <w:rsid w:val="00F92983"/>
    <w:rsid w:val="00FB260B"/>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2CE202"/>
  <w15:chartTrackingRefBased/>
  <w15:docId w15:val="{5C6AF713-9082-4DC7-BE16-26501C7AE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71A1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71A12"/>
    <w:pPr>
      <w:spacing w:before="480" w:after="240"/>
    </w:pPr>
  </w:style>
  <w:style w:type="paragraph" w:customStyle="1" w:styleId="PageHeading">
    <w:name w:val="PageHeading"/>
    <w:basedOn w:val="Normal"/>
    <w:rsid w:val="00E71A12"/>
    <w:pPr>
      <w:keepNext/>
      <w:spacing w:after="480"/>
      <w:jc w:val="center"/>
    </w:pPr>
    <w:rPr>
      <w:rFonts w:ascii="Arial" w:hAnsi="Arial" w:cs="Arial"/>
      <w:b/>
    </w:rPr>
  </w:style>
  <w:style w:type="paragraph" w:customStyle="1" w:styleId="NormalBold">
    <w:name w:val="NormalBold"/>
    <w:basedOn w:val="Normal"/>
    <w:rsid w:val="00E71A12"/>
    <w:rPr>
      <w:b/>
    </w:rPr>
  </w:style>
  <w:style w:type="paragraph" w:customStyle="1" w:styleId="NormalHanging12a">
    <w:name w:val="NormalHanging12a"/>
    <w:basedOn w:val="Normal"/>
    <w:rsid w:val="00E71A12"/>
    <w:pPr>
      <w:spacing w:after="240"/>
      <w:ind w:left="567" w:hanging="567"/>
    </w:pPr>
  </w:style>
  <w:style w:type="paragraph" w:styleId="Header">
    <w:name w:val="header"/>
    <w:basedOn w:val="Normal"/>
    <w:link w:val="HeaderChar"/>
    <w:rsid w:val="00E71A12"/>
    <w:pPr>
      <w:tabs>
        <w:tab w:val="center" w:pos="4513"/>
        <w:tab w:val="right" w:pos="9026"/>
      </w:tabs>
    </w:pPr>
  </w:style>
  <w:style w:type="character" w:customStyle="1" w:styleId="HeaderChar">
    <w:name w:val="Header Char"/>
    <w:basedOn w:val="DefaultParagraphFont"/>
    <w:link w:val="Header"/>
    <w:rsid w:val="00E71A12"/>
    <w:rPr>
      <w:sz w:val="24"/>
      <w:lang w:val="de-DE"/>
    </w:rPr>
  </w:style>
  <w:style w:type="paragraph" w:customStyle="1" w:styleId="EPFooter">
    <w:name w:val="EPFooter"/>
    <w:basedOn w:val="Normal"/>
    <w:rsid w:val="00E71A12"/>
    <w:pPr>
      <w:tabs>
        <w:tab w:val="center" w:pos="4535"/>
        <w:tab w:val="right" w:pos="9071"/>
      </w:tabs>
      <w:spacing w:before="240" w:after="240"/>
    </w:pPr>
    <w:rPr>
      <w:color w:val="010000"/>
      <w:sz w:val="22"/>
    </w:rPr>
  </w:style>
  <w:style w:type="paragraph" w:styleId="Footer">
    <w:name w:val="footer"/>
    <w:basedOn w:val="Normal"/>
    <w:link w:val="FooterChar"/>
    <w:rsid w:val="00E467A4"/>
    <w:pPr>
      <w:tabs>
        <w:tab w:val="center" w:pos="4513"/>
        <w:tab w:val="right" w:pos="9026"/>
      </w:tabs>
    </w:pPr>
  </w:style>
  <w:style w:type="character" w:customStyle="1" w:styleId="FooterChar">
    <w:name w:val="Footer Char"/>
    <w:basedOn w:val="DefaultParagraphFont"/>
    <w:link w:val="Footer"/>
    <w:rsid w:val="00E467A4"/>
    <w:rPr>
      <w:sz w:val="24"/>
      <w:lang w:val="de-DE"/>
    </w:rPr>
  </w:style>
  <w:style w:type="character" w:styleId="Hyperlink">
    <w:name w:val="Hyperlink"/>
    <w:basedOn w:val="DefaultParagraphFont"/>
    <w:rsid w:val="00E467A4"/>
    <w:rPr>
      <w:color w:val="0563C1" w:themeColor="hyperlink"/>
      <w:u w:val="single"/>
    </w:rPr>
  </w:style>
  <w:style w:type="character" w:styleId="UnresolvedMention">
    <w:name w:val="Unresolved Mention"/>
    <w:basedOn w:val="DefaultParagraphFont"/>
    <w:uiPriority w:val="99"/>
    <w:semiHidden/>
    <w:unhideWhenUsed/>
    <w:rsid w:val="00E467A4"/>
    <w:rPr>
      <w:color w:val="605E5C"/>
      <w:shd w:val="clear" w:color="auto" w:fill="E1DFDD"/>
    </w:rPr>
  </w:style>
  <w:style w:type="paragraph" w:styleId="Revision">
    <w:name w:val="Revision"/>
    <w:hidden/>
    <w:uiPriority w:val="99"/>
    <w:semiHidden/>
    <w:rsid w:val="00BD3D09"/>
    <w:rPr>
      <w:sz w:val="24"/>
      <w:lang w:val="de-DE"/>
    </w:rPr>
  </w:style>
  <w:style w:type="character" w:styleId="FollowedHyperlink">
    <w:name w:val="FollowedHyperlink"/>
    <w:basedOn w:val="DefaultParagraphFont"/>
    <w:rsid w:val="00F9298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5/1032/oj" TargetMode="External"/><Relationship Id="rId1" Type="http://schemas.openxmlformats.org/officeDocument/2006/relationships/hyperlink" Target="http://data.europa.eu/eli/C/2024/157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428</Words>
  <Characters>3048</Characters>
  <Application>Microsoft Office Word</Application>
  <DocSecurity>0</DocSecurity>
  <Lines>25</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FOISSY Elfriede</dc:creator>
  <cp:keywords/>
  <cp:lastModifiedBy>BOIN Melina</cp:lastModifiedBy>
  <cp:revision>2</cp:revision>
  <cp:lastPrinted>2004-11-19T15:42:00Z</cp:lastPrinted>
  <dcterms:created xsi:type="dcterms:W3CDTF">2026-01-28T09:22:00Z</dcterms:created>
  <dcterms:modified xsi:type="dcterms:W3CDTF">2026-01-28T09:22:00Z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P10_TA(2025)0279_</vt:lpwstr>
  </property>
  <property fmtid="{D5CDD505-2E9C-101B-9397-08002B2CF9AE}" pid="4" name="&lt;Type&gt;">
    <vt:lpwstr>RR</vt:lpwstr>
  </property>
</Properties>
</file>