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A3FD9" w14:paraId="4FF6C052" w14:textId="77777777" w:rsidTr="0010095E">
        <w:trPr>
          <w:trHeight w:hRule="exact" w:val="1418"/>
        </w:trPr>
        <w:tc>
          <w:tcPr>
            <w:tcW w:w="6804" w:type="dxa"/>
            <w:shd w:val="clear" w:color="auto" w:fill="auto"/>
            <w:vAlign w:val="center"/>
          </w:tcPr>
          <w:p w14:paraId="0723C082" w14:textId="77777777" w:rsidR="00751A4A" w:rsidRPr="00DA3FD9" w:rsidRDefault="00B93385" w:rsidP="0010095E">
            <w:pPr>
              <w:pStyle w:val="EPName"/>
            </w:pPr>
            <w:r w:rsidRPr="00DA3FD9">
              <w:t>European Parliament</w:t>
            </w:r>
          </w:p>
          <w:p w14:paraId="019CE0EB" w14:textId="77777777" w:rsidR="00751A4A" w:rsidRPr="00DA3FD9" w:rsidRDefault="005F1B17" w:rsidP="005F1B17">
            <w:pPr>
              <w:pStyle w:val="EPTerm"/>
              <w:rPr>
                <w:rStyle w:val="HideTWBExt"/>
                <w:noProof w:val="0"/>
                <w:vanish w:val="0"/>
                <w:color w:val="auto"/>
              </w:rPr>
            </w:pPr>
            <w:r w:rsidRPr="00DA3FD9">
              <w:t>2024</w:t>
            </w:r>
            <w:r w:rsidR="00817416" w:rsidRPr="00DA3FD9">
              <w:t>-202</w:t>
            </w:r>
            <w:r w:rsidRPr="00DA3FD9">
              <w:t>9</w:t>
            </w:r>
          </w:p>
        </w:tc>
        <w:tc>
          <w:tcPr>
            <w:tcW w:w="2268" w:type="dxa"/>
            <w:shd w:val="clear" w:color="auto" w:fill="auto"/>
          </w:tcPr>
          <w:p w14:paraId="7A6D58DB" w14:textId="77777777" w:rsidR="00751A4A" w:rsidRPr="00DA3FD9" w:rsidRDefault="00187494" w:rsidP="0010095E">
            <w:pPr>
              <w:pStyle w:val="EPLogo"/>
            </w:pPr>
            <w:r w:rsidRPr="00DA3FD9">
              <w:rPr>
                <w:noProof/>
                <w:lang w:eastAsia="ja-JP"/>
              </w:rPr>
              <w:drawing>
                <wp:inline distT="0" distB="0" distL="0" distR="0" wp14:anchorId="32E0E1C6" wp14:editId="7842494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3CEB6C" w14:textId="77777777" w:rsidR="00D058B8" w:rsidRPr="00DA3FD9" w:rsidRDefault="00D058B8" w:rsidP="004C5D52">
      <w:pPr>
        <w:pStyle w:val="LineTop"/>
      </w:pPr>
    </w:p>
    <w:p w14:paraId="64205BB5" w14:textId="77777777" w:rsidR="00680577" w:rsidRPr="00DA3FD9" w:rsidRDefault="00B93385" w:rsidP="00680577">
      <w:pPr>
        <w:pStyle w:val="EPBodyTA1"/>
      </w:pPr>
      <w:r w:rsidRPr="00DA3FD9">
        <w:t>TEXTS ADOPTED</w:t>
      </w:r>
    </w:p>
    <w:p w14:paraId="486B27EA" w14:textId="77777777" w:rsidR="00D058B8" w:rsidRPr="00DA3FD9" w:rsidRDefault="00D058B8" w:rsidP="00D058B8">
      <w:pPr>
        <w:pStyle w:val="LineBottom"/>
      </w:pPr>
    </w:p>
    <w:p w14:paraId="51E70AD5" w14:textId="7D7D1939" w:rsidR="00B93385" w:rsidRPr="00DA3FD9" w:rsidRDefault="00B93385" w:rsidP="00B93385">
      <w:pPr>
        <w:pStyle w:val="ATHeading1"/>
      </w:pPr>
      <w:bookmarkStart w:id="0" w:name="TANumber"/>
      <w:r w:rsidRPr="00DA3FD9">
        <w:t>P10_TA(2025)</w:t>
      </w:r>
      <w:bookmarkEnd w:id="0"/>
      <w:r w:rsidR="00A77653" w:rsidRPr="00DA3FD9">
        <w:t>0279</w:t>
      </w:r>
    </w:p>
    <w:p w14:paraId="27976A84" w14:textId="77777777" w:rsidR="00B93385" w:rsidRPr="00DA3FD9" w:rsidRDefault="00B93385" w:rsidP="00B93385">
      <w:pPr>
        <w:pStyle w:val="ATHeading2"/>
      </w:pPr>
      <w:bookmarkStart w:id="1" w:name="title"/>
      <w:r w:rsidRPr="00DA3FD9">
        <w:t>Safety of toys and repealing Directive 2009/48/EC</w:t>
      </w:r>
      <w:bookmarkEnd w:id="1"/>
    </w:p>
    <w:p w14:paraId="76DE1B52" w14:textId="77777777" w:rsidR="00B93385" w:rsidRPr="00DA3FD9" w:rsidRDefault="00B93385" w:rsidP="00B93385">
      <w:pPr>
        <w:rPr>
          <w:i/>
          <w:vanish/>
        </w:rPr>
      </w:pPr>
      <w:r w:rsidRPr="00DA3FD9">
        <w:rPr>
          <w:i/>
        </w:rPr>
        <w:fldChar w:fldCharType="begin"/>
      </w:r>
      <w:r w:rsidRPr="00DA3FD9">
        <w:rPr>
          <w:i/>
        </w:rPr>
        <w:instrText xml:space="preserve"> TC"(</w:instrText>
      </w:r>
      <w:bookmarkStart w:id="2" w:name="DocNumber"/>
      <w:r w:rsidRPr="00DA3FD9">
        <w:rPr>
          <w:i/>
        </w:rPr>
        <w:instrText>A10-0227/2025</w:instrText>
      </w:r>
      <w:bookmarkEnd w:id="2"/>
      <w:r w:rsidRPr="00DA3FD9">
        <w:rPr>
          <w:i/>
        </w:rPr>
        <w:instrText xml:space="preserve"> - Rapporteur: Marion Walsmann)"\l3 \n&gt; \* MERGEFORMAT </w:instrText>
      </w:r>
      <w:r w:rsidRPr="00DA3FD9">
        <w:rPr>
          <w:i/>
        </w:rPr>
        <w:fldChar w:fldCharType="end"/>
      </w:r>
    </w:p>
    <w:p w14:paraId="41CB2308" w14:textId="77777777" w:rsidR="00B93385" w:rsidRPr="00DA3FD9" w:rsidRDefault="00B93385" w:rsidP="00B93385">
      <w:pPr>
        <w:rPr>
          <w:vanish/>
        </w:rPr>
      </w:pPr>
      <w:bookmarkStart w:id="3" w:name="Commission"/>
      <w:r w:rsidRPr="00DA3FD9">
        <w:rPr>
          <w:vanish/>
        </w:rPr>
        <w:t>Committee on the Internal Market and Consumer Protection</w:t>
      </w:r>
      <w:bookmarkEnd w:id="3"/>
    </w:p>
    <w:p w14:paraId="290BC8B1" w14:textId="77777777" w:rsidR="00B93385" w:rsidRPr="00DA3FD9" w:rsidRDefault="00B93385" w:rsidP="00B93385">
      <w:pPr>
        <w:rPr>
          <w:vanish/>
        </w:rPr>
      </w:pPr>
      <w:bookmarkStart w:id="4" w:name="PE"/>
      <w:r w:rsidRPr="00DA3FD9">
        <w:rPr>
          <w:vanish/>
        </w:rPr>
        <w:t>PE779.456</w:t>
      </w:r>
      <w:bookmarkEnd w:id="4"/>
    </w:p>
    <w:p w14:paraId="441EFF86" w14:textId="77777777" w:rsidR="00B93385" w:rsidRPr="00DA3FD9" w:rsidRDefault="00B93385" w:rsidP="00B93385">
      <w:pPr>
        <w:pStyle w:val="ATHeading3"/>
      </w:pPr>
      <w:bookmarkStart w:id="5" w:name="Sujet"/>
      <w:r w:rsidRPr="00DA3FD9">
        <w:t>European Parliament legislative resolution of 25 November 2025 on the Council position at first reading with a view to the adoption of a regulation of the European Parliament and of the Council on the safety of toys and repealing Directive 2009/48/EC</w:t>
      </w:r>
      <w:bookmarkEnd w:id="5"/>
      <w:r w:rsidRPr="00DA3FD9">
        <w:t xml:space="preserve"> </w:t>
      </w:r>
      <w:bookmarkStart w:id="6" w:name="References"/>
      <w:r w:rsidRPr="00DA3FD9">
        <w:t>(09663/1/2025 – C10-0251/2025 – 2023/0290(COD))</w:t>
      </w:r>
      <w:bookmarkEnd w:id="6"/>
    </w:p>
    <w:p w14:paraId="743D8D9F" w14:textId="77777777" w:rsidR="00B93385" w:rsidRPr="00DA3FD9" w:rsidRDefault="00B93385" w:rsidP="00B93385"/>
    <w:p w14:paraId="582A6A4D" w14:textId="77777777" w:rsidR="0094775C" w:rsidRPr="00DA3FD9" w:rsidRDefault="0094775C" w:rsidP="0094775C">
      <w:pPr>
        <w:pStyle w:val="NormalBold"/>
      </w:pPr>
      <w:bookmarkStart w:id="7" w:name="TextBodyBegin"/>
      <w:bookmarkEnd w:id="7"/>
      <w:r w:rsidRPr="00DA3FD9">
        <w:t>(Ordinary legislative procedure: second reading)</w:t>
      </w:r>
    </w:p>
    <w:p w14:paraId="6E3CEAE8" w14:textId="77777777" w:rsidR="0094775C" w:rsidRPr="00DA3FD9" w:rsidRDefault="0094775C" w:rsidP="0094775C">
      <w:pPr>
        <w:pStyle w:val="EPComma"/>
      </w:pPr>
      <w:r w:rsidRPr="00DA3FD9">
        <w:rPr>
          <w:i/>
        </w:rPr>
        <w:t>The European Parliament</w:t>
      </w:r>
      <w:r w:rsidRPr="00DA3FD9">
        <w:t>,</w:t>
      </w:r>
    </w:p>
    <w:p w14:paraId="320CA571" w14:textId="77777777" w:rsidR="0094775C" w:rsidRPr="00DA3FD9" w:rsidRDefault="0094775C" w:rsidP="006036F3">
      <w:pPr>
        <w:pStyle w:val="NormalHanging12a"/>
        <w:widowControl/>
      </w:pPr>
      <w:r w:rsidRPr="00DA3FD9">
        <w:t>–</w:t>
      </w:r>
      <w:r w:rsidRPr="00DA3FD9">
        <w:tab/>
        <w:t>having regard to the Council position at first reading (09663/1/2025 – C10</w:t>
      </w:r>
      <w:r w:rsidRPr="00DA3FD9">
        <w:noBreakHyphen/>
        <w:t>0251/2025),</w:t>
      </w:r>
    </w:p>
    <w:p w14:paraId="2A33ADE7" w14:textId="77777777" w:rsidR="0094775C" w:rsidRPr="00DA3FD9" w:rsidRDefault="0094775C" w:rsidP="006036F3">
      <w:pPr>
        <w:pStyle w:val="NormalHanging12a"/>
        <w:widowControl/>
      </w:pPr>
      <w:r w:rsidRPr="00DA3FD9">
        <w:t>–</w:t>
      </w:r>
      <w:r w:rsidRPr="00DA3FD9">
        <w:tab/>
        <w:t>having regard to the opinion of the European Economic and Social Committee of 13 December 2023</w:t>
      </w:r>
      <w:r w:rsidRPr="00DA3FD9">
        <w:rPr>
          <w:rStyle w:val="FootnoteReference"/>
        </w:rPr>
        <w:footnoteReference w:id="1"/>
      </w:r>
      <w:r w:rsidRPr="00DA3FD9">
        <w:t>,</w:t>
      </w:r>
    </w:p>
    <w:p w14:paraId="1BA34632" w14:textId="52C29358" w:rsidR="0094775C" w:rsidRPr="00DA3FD9" w:rsidRDefault="0094775C" w:rsidP="006036F3">
      <w:pPr>
        <w:pStyle w:val="NormalHanging12a"/>
        <w:widowControl/>
      </w:pPr>
      <w:r w:rsidRPr="00DA3FD9">
        <w:t>–</w:t>
      </w:r>
      <w:r w:rsidRPr="00DA3FD9">
        <w:tab/>
        <w:t>having regard to its position at first reading</w:t>
      </w:r>
      <w:r w:rsidRPr="00DA3FD9">
        <w:rPr>
          <w:rStyle w:val="FootnoteReference"/>
        </w:rPr>
        <w:footnoteReference w:id="2"/>
      </w:r>
      <w:r w:rsidRPr="00DA3FD9">
        <w:t xml:space="preserve"> on the Commission proposal to Parliament and the Council (</w:t>
      </w:r>
      <w:proofErr w:type="gramStart"/>
      <w:r w:rsidRPr="00DA3FD9">
        <w:t>COM(</w:t>
      </w:r>
      <w:proofErr w:type="gramEnd"/>
      <w:r w:rsidRPr="00DA3FD9">
        <w:t>2023)</w:t>
      </w:r>
      <w:r w:rsidR="00F13302" w:rsidRPr="00DA3FD9">
        <w:t>0</w:t>
      </w:r>
      <w:r w:rsidRPr="00DA3FD9">
        <w:t>462),</w:t>
      </w:r>
    </w:p>
    <w:p w14:paraId="61C8A662" w14:textId="77777777" w:rsidR="0094775C" w:rsidRPr="00DA3FD9" w:rsidRDefault="0094775C" w:rsidP="006036F3">
      <w:pPr>
        <w:pStyle w:val="NormalHanging12a"/>
        <w:widowControl/>
      </w:pPr>
      <w:r w:rsidRPr="00DA3FD9">
        <w:t>–</w:t>
      </w:r>
      <w:r w:rsidRPr="00DA3FD9">
        <w:tab/>
        <w:t>having regard to Article 294(7) of the Treaty on the Functioning of the European Union,</w:t>
      </w:r>
    </w:p>
    <w:p w14:paraId="69A3DC9C" w14:textId="77777777" w:rsidR="0094775C" w:rsidRPr="00DA3FD9" w:rsidRDefault="0094775C" w:rsidP="006036F3">
      <w:pPr>
        <w:pStyle w:val="NormalHanging12a"/>
        <w:widowControl/>
      </w:pPr>
      <w:r w:rsidRPr="00DA3FD9">
        <w:t>–</w:t>
      </w:r>
      <w:r w:rsidRPr="00DA3FD9">
        <w:tab/>
        <w:t>having regard to the provisional agreement approved by the committee responsible under Rule 75(4) of its Rules of Procedure,</w:t>
      </w:r>
    </w:p>
    <w:p w14:paraId="4E5332CC" w14:textId="77777777" w:rsidR="0094775C" w:rsidRPr="00DA3FD9" w:rsidRDefault="0094775C" w:rsidP="006036F3">
      <w:pPr>
        <w:pStyle w:val="NormalHanging12a"/>
        <w:widowControl/>
      </w:pPr>
      <w:r w:rsidRPr="00DA3FD9">
        <w:t>–</w:t>
      </w:r>
      <w:r w:rsidRPr="00DA3FD9">
        <w:tab/>
        <w:t>having regard to Rule 68 of its Rules of Procedure,</w:t>
      </w:r>
    </w:p>
    <w:p w14:paraId="68D0AC0D" w14:textId="77777777" w:rsidR="0094775C" w:rsidRPr="00DA3FD9" w:rsidRDefault="0094775C" w:rsidP="006036F3">
      <w:pPr>
        <w:pStyle w:val="NormalHanging12a"/>
        <w:widowControl/>
      </w:pPr>
      <w:r w:rsidRPr="00DA3FD9">
        <w:t>–</w:t>
      </w:r>
      <w:r w:rsidRPr="00DA3FD9">
        <w:tab/>
        <w:t>having regard to the recommendation for second reading of the Committee on the Internal Market and Consumer Protection (A10-0227/2025),</w:t>
      </w:r>
    </w:p>
    <w:p w14:paraId="286556CD" w14:textId="77777777" w:rsidR="0094775C" w:rsidRPr="00DA3FD9" w:rsidRDefault="0094775C" w:rsidP="006036F3">
      <w:pPr>
        <w:pStyle w:val="NormalHanging12a"/>
        <w:widowControl/>
      </w:pPr>
      <w:r w:rsidRPr="00DA3FD9">
        <w:t>1.</w:t>
      </w:r>
      <w:r w:rsidRPr="00DA3FD9">
        <w:tab/>
        <w:t>Approves the Council position at first reading;</w:t>
      </w:r>
    </w:p>
    <w:p w14:paraId="52BFB569" w14:textId="77777777" w:rsidR="0094775C" w:rsidRPr="00DA3FD9" w:rsidRDefault="0094775C" w:rsidP="006036F3">
      <w:pPr>
        <w:pStyle w:val="NormalHanging12a"/>
        <w:widowControl/>
      </w:pPr>
      <w:r w:rsidRPr="00DA3FD9">
        <w:t>2.</w:t>
      </w:r>
      <w:r w:rsidRPr="00DA3FD9">
        <w:tab/>
        <w:t xml:space="preserve">Takes note of the declaration by the Commission annexed to this resolution, which will be published in the C series of the </w:t>
      </w:r>
      <w:r w:rsidRPr="00DA3FD9">
        <w:rPr>
          <w:i/>
          <w:iCs/>
        </w:rPr>
        <w:t>Official Journal of the European Union</w:t>
      </w:r>
      <w:r w:rsidRPr="00DA3FD9">
        <w:t>;</w:t>
      </w:r>
    </w:p>
    <w:p w14:paraId="1F9F6D2A" w14:textId="77777777" w:rsidR="0094775C" w:rsidRPr="00DA3FD9" w:rsidRDefault="0094775C" w:rsidP="006036F3">
      <w:pPr>
        <w:pStyle w:val="NormalHanging12a"/>
        <w:widowControl/>
      </w:pPr>
      <w:r w:rsidRPr="00DA3FD9">
        <w:t>3.</w:t>
      </w:r>
      <w:r w:rsidRPr="00DA3FD9">
        <w:tab/>
        <w:t>Notes that the act is adopted in accordance with the Council position;</w:t>
      </w:r>
    </w:p>
    <w:p w14:paraId="422BACF0" w14:textId="77777777" w:rsidR="0094775C" w:rsidRPr="00DA3FD9" w:rsidRDefault="0094775C" w:rsidP="006036F3">
      <w:pPr>
        <w:pStyle w:val="NormalHanging12a"/>
        <w:widowControl/>
      </w:pPr>
      <w:r w:rsidRPr="00DA3FD9">
        <w:lastRenderedPageBreak/>
        <w:t>4.</w:t>
      </w:r>
      <w:r w:rsidRPr="00DA3FD9">
        <w:tab/>
        <w:t>Instructs its President to sign the act with the President of the Council, in accordance with Article 297(1) of the Treaty on the Functioning of the European Union;</w:t>
      </w:r>
    </w:p>
    <w:p w14:paraId="2096545F" w14:textId="77777777" w:rsidR="0094775C" w:rsidRPr="00DA3FD9" w:rsidRDefault="0094775C" w:rsidP="006036F3">
      <w:pPr>
        <w:pStyle w:val="NormalHanging12a"/>
        <w:widowControl/>
      </w:pPr>
      <w:r w:rsidRPr="00DA3FD9">
        <w:t>5.</w:t>
      </w:r>
      <w:r w:rsidRPr="00DA3FD9">
        <w:tab/>
        <w:t xml:space="preserve">Instructs its Secretary-General to sign the act, once it has been verified that all the procedures have been duly completed, and, in agreement with the Secretary-General of the Council, to arrange for its publication in the </w:t>
      </w:r>
      <w:r w:rsidRPr="00DA3FD9">
        <w:rPr>
          <w:i/>
        </w:rPr>
        <w:t>Official Journal of the European Union</w:t>
      </w:r>
      <w:r w:rsidRPr="00DA3FD9">
        <w:t>;</w:t>
      </w:r>
    </w:p>
    <w:p w14:paraId="422F8A8B" w14:textId="77777777" w:rsidR="0094775C" w:rsidRPr="00DA3FD9" w:rsidRDefault="0094775C" w:rsidP="006036F3">
      <w:pPr>
        <w:pStyle w:val="NormalHanging12a"/>
        <w:widowControl/>
      </w:pPr>
      <w:r w:rsidRPr="00DA3FD9">
        <w:t>6.</w:t>
      </w:r>
      <w:r w:rsidRPr="00DA3FD9">
        <w:tab/>
        <w:t>Instructs its President to forward its position to the Council, the Commission and the national parliaments.</w:t>
      </w:r>
    </w:p>
    <w:p w14:paraId="34E2BBA8" w14:textId="77777777" w:rsidR="0094775C" w:rsidRPr="00DA3FD9" w:rsidRDefault="0094775C" w:rsidP="0094775C">
      <w:pPr>
        <w:pStyle w:val="PageHeading"/>
        <w:jc w:val="left"/>
        <w:sectPr w:rsidR="0094775C" w:rsidRPr="00DA3FD9" w:rsidSect="00BA0032">
          <w:footerReference w:type="even" r:id="rId12"/>
          <w:footerReference w:type="first" r:id="rId13"/>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ACF5A74" w14:textId="4F606FF2" w:rsidR="001F15D1" w:rsidRPr="00DA3FD9" w:rsidRDefault="001F15D1" w:rsidP="001F15D1">
      <w:pPr>
        <w:spacing w:after="480"/>
        <w:jc w:val="right"/>
        <w:rPr>
          <w:noProof/>
        </w:rPr>
      </w:pPr>
      <w:bookmarkStart w:id="8" w:name="_Hlk196383635"/>
      <w:r w:rsidRPr="00DA3FD9">
        <w:rPr>
          <w:noProof/>
        </w:rPr>
        <w:lastRenderedPageBreak/>
        <w:t>ANNEX TO THE LEGISLATIVE RESOLUTION</w:t>
      </w:r>
    </w:p>
    <w:p w14:paraId="47B2C305" w14:textId="61F90B6F" w:rsidR="00934E21" w:rsidRPr="00DA3FD9" w:rsidRDefault="001F15D1" w:rsidP="00934E21">
      <w:pPr>
        <w:spacing w:after="480"/>
        <w:jc w:val="center"/>
        <w:rPr>
          <w:b/>
          <w:bCs/>
          <w:noProof/>
        </w:rPr>
      </w:pPr>
      <w:r w:rsidRPr="00DA3FD9">
        <w:rPr>
          <w:b/>
          <w:bCs/>
          <w:noProof/>
        </w:rPr>
        <w:t>DECLARATION FROM THE COMMISSION</w:t>
      </w:r>
      <w:r w:rsidR="00934E21" w:rsidRPr="00DA3FD9">
        <w:rPr>
          <w:b/>
          <w:bCs/>
          <w:noProof/>
        </w:rPr>
        <w:t xml:space="preserve"> ON THE OCCASION OF THE ADOPTION OF REGULATION </w:t>
      </w:r>
      <w:r w:rsidR="00F13302" w:rsidRPr="00DA3FD9">
        <w:rPr>
          <w:b/>
          <w:bCs/>
          <w:noProof/>
        </w:rPr>
        <w:t xml:space="preserve">(EU) </w:t>
      </w:r>
      <w:r w:rsidR="00934E21" w:rsidRPr="00DA3FD9">
        <w:rPr>
          <w:b/>
          <w:bCs/>
          <w:noProof/>
        </w:rPr>
        <w:t>2025/</w:t>
      </w:r>
      <w:r w:rsidR="001E07A2" w:rsidRPr="00DA3FD9">
        <w:rPr>
          <w:b/>
          <w:bCs/>
          <w:noProof/>
        </w:rPr>
        <w:t>2509</w:t>
      </w:r>
    </w:p>
    <w:p w14:paraId="53887D22" w14:textId="57B0DFB3" w:rsidR="00E365E1" w:rsidRPr="00BA0032" w:rsidRDefault="0094775C" w:rsidP="00BA0032">
      <w:r w:rsidRPr="00DA3FD9">
        <w:rPr>
          <w:noProof/>
        </w:rPr>
        <w:t xml:space="preserve">The Commission regularly and systematically evaluates the occurrence of hazardous chemicals in toys, taking into account available scientific evidence, with a view to adapting the limit values or the conditions for the presence of specific chemical substances or mixtures in toys in accordance with Article 46 of Regulation </w:t>
      </w:r>
      <w:r w:rsidR="001E07A2" w:rsidRPr="00DA3FD9">
        <w:rPr>
          <w:noProof/>
        </w:rPr>
        <w:t xml:space="preserve">(EU) </w:t>
      </w:r>
      <w:r w:rsidRPr="00DA3FD9">
        <w:rPr>
          <w:noProof/>
        </w:rPr>
        <w:t>2025/</w:t>
      </w:r>
      <w:r w:rsidR="001E07A2" w:rsidRPr="00DA3FD9">
        <w:rPr>
          <w:noProof/>
        </w:rPr>
        <w:t>2509</w:t>
      </w:r>
      <w:r w:rsidRPr="00DA3FD9">
        <w:rPr>
          <w:noProof/>
        </w:rPr>
        <w:t xml:space="preserve"> on the safety of toys. For that purpose, the Commission will request an opinion from the European Chemicals Agency on the safety of nitrosamines and nitrosatable substances in toys, in view of the overall exposure, within 12 months of the entry into force of this Regulation. For the same purpose, the Commission will request an opinion from the European Chemicals Agency on the safety of lead, cadmium, mercury and chromium vi in toys, in view of the overall exposure, within 24 months of the entry into force of this Regulation.</w:t>
      </w:r>
      <w:bookmarkEnd w:id="8"/>
    </w:p>
    <w:sectPr w:rsidR="00E365E1" w:rsidRPr="00BA0032" w:rsidSect="00BA0032">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C24A" w14:textId="77777777" w:rsidR="00B93385" w:rsidRPr="00BA0032" w:rsidRDefault="00B93385">
      <w:r w:rsidRPr="00BA0032">
        <w:separator/>
      </w:r>
    </w:p>
  </w:endnote>
  <w:endnote w:type="continuationSeparator" w:id="0">
    <w:p w14:paraId="4C30D2E2" w14:textId="77777777" w:rsidR="00B93385" w:rsidRPr="00BA0032" w:rsidRDefault="00B93385">
      <w:r w:rsidRPr="00BA00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75FB" w14:textId="77777777" w:rsidR="0094775C" w:rsidRPr="00BA0032" w:rsidRDefault="0094775C" w:rsidP="00386C6A">
    <w:pPr>
      <w:pStyle w:val="EPFooter"/>
    </w:pPr>
    <w:r w:rsidRPr="00BA0032">
      <w:t>PE</w:t>
    </w:r>
    <w:r w:rsidRPr="00BA0032">
      <w:rPr>
        <w:rStyle w:val="HideTWBExt"/>
      </w:rPr>
      <w:t>&lt;NoPE&gt;</w:t>
    </w:r>
    <w:r w:rsidRPr="00BA0032">
      <w:t>779.456</w:t>
    </w:r>
    <w:r w:rsidRPr="00BA0032">
      <w:rPr>
        <w:rStyle w:val="HideTWBExt"/>
      </w:rPr>
      <w:t>&lt;/NoPE&gt;&lt;Version&gt;</w:t>
    </w:r>
    <w:r w:rsidRPr="00BA0032">
      <w:t>v02-00</w:t>
    </w:r>
    <w:r w:rsidRPr="00BA0032">
      <w:rPr>
        <w:rStyle w:val="HideTWBExt"/>
      </w:rPr>
      <w:t>&lt;/Version&gt;</w:t>
    </w:r>
    <w:r w:rsidRPr="00BA0032">
      <w:tab/>
    </w:r>
    <w:r w:rsidRPr="00BA0032">
      <w:fldChar w:fldCharType="begin"/>
    </w:r>
    <w:r w:rsidRPr="00BA0032">
      <w:instrText xml:space="preserve"> PAGE  \* MERGEFORMAT </w:instrText>
    </w:r>
    <w:r w:rsidRPr="00BA0032">
      <w:fldChar w:fldCharType="separate"/>
    </w:r>
    <w:r w:rsidRPr="00BA0032">
      <w:rPr>
        <w:noProof/>
      </w:rPr>
      <w:t>3</w:t>
    </w:r>
    <w:r w:rsidRPr="00BA0032">
      <w:fldChar w:fldCharType="end"/>
    </w:r>
    <w:r w:rsidRPr="00BA0032">
      <w:t>/</w:t>
    </w:r>
    <w:r w:rsidR="00DA3FD9">
      <w:fldChar w:fldCharType="begin"/>
    </w:r>
    <w:r w:rsidR="00DA3FD9">
      <w:instrText xml:space="preserve"> NUMPAGES  \* MERGEFORMAT </w:instrText>
    </w:r>
    <w:r w:rsidR="00DA3FD9">
      <w:fldChar w:fldCharType="separate"/>
    </w:r>
    <w:r w:rsidRPr="00BA0032">
      <w:rPr>
        <w:noProof/>
      </w:rPr>
      <w:t>3</w:t>
    </w:r>
    <w:r w:rsidR="00DA3FD9">
      <w:rPr>
        <w:noProof/>
      </w:rPr>
      <w:fldChar w:fldCharType="end"/>
    </w:r>
    <w:r w:rsidRPr="00BA0032">
      <w:tab/>
    </w:r>
    <w:r w:rsidRPr="00BA0032">
      <w:rPr>
        <w:rStyle w:val="HideTWBExt"/>
      </w:rPr>
      <w:t>&lt;PathFdR&gt;</w:t>
    </w:r>
    <w:r w:rsidRPr="00BA0032">
      <w:t>RR\1331920EN.docx</w:t>
    </w:r>
    <w:r w:rsidRPr="00BA0032">
      <w:rPr>
        <w:rStyle w:val="HideTWBExt"/>
      </w:rPr>
      <w:t>&lt;/PathFdR&gt;</w:t>
    </w:r>
  </w:p>
  <w:p w14:paraId="520CD195" w14:textId="77777777" w:rsidR="0094775C" w:rsidRPr="00BA0032" w:rsidRDefault="0094775C" w:rsidP="00386C6A">
    <w:pPr>
      <w:pStyle w:val="EPFooter2"/>
    </w:pPr>
    <w:r w:rsidRPr="00BA0032">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D707" w14:textId="77777777" w:rsidR="0094775C" w:rsidRPr="00BA0032" w:rsidRDefault="0094775C" w:rsidP="00386C6A">
    <w:pPr>
      <w:pStyle w:val="EPFooter"/>
    </w:pPr>
    <w:r w:rsidRPr="00BA0032">
      <w:rPr>
        <w:rStyle w:val="HideTWBExt"/>
      </w:rPr>
      <w:t>&lt;PathFdR&gt;</w:t>
    </w:r>
    <w:r w:rsidRPr="00BA0032">
      <w:t>RR\1331920EN.docx</w:t>
    </w:r>
    <w:r w:rsidRPr="00BA0032">
      <w:rPr>
        <w:rStyle w:val="HideTWBExt"/>
      </w:rPr>
      <w:t>&lt;/PathFdR&gt;</w:t>
    </w:r>
    <w:r w:rsidRPr="00BA0032">
      <w:tab/>
    </w:r>
    <w:r w:rsidRPr="00BA0032">
      <w:tab/>
      <w:t>PE</w:t>
    </w:r>
    <w:r w:rsidRPr="00BA0032">
      <w:rPr>
        <w:rStyle w:val="HideTWBExt"/>
      </w:rPr>
      <w:t>&lt;NoPE&gt;</w:t>
    </w:r>
    <w:r w:rsidRPr="00BA0032">
      <w:t>779.456</w:t>
    </w:r>
    <w:r w:rsidRPr="00BA0032">
      <w:rPr>
        <w:rStyle w:val="HideTWBExt"/>
      </w:rPr>
      <w:t>&lt;/NoPE&gt;&lt;Version&gt;</w:t>
    </w:r>
    <w:r w:rsidRPr="00BA0032">
      <w:t>v02-00</w:t>
    </w:r>
    <w:r w:rsidRPr="00BA0032">
      <w:rPr>
        <w:rStyle w:val="HideTWBExt"/>
      </w:rPr>
      <w:t>&lt;/Version&gt;</w:t>
    </w:r>
  </w:p>
  <w:p w14:paraId="2ACC298C" w14:textId="77777777" w:rsidR="0094775C" w:rsidRPr="00BA0032" w:rsidRDefault="0094775C" w:rsidP="00386C6A">
    <w:pPr>
      <w:pStyle w:val="EPFooter2"/>
    </w:pPr>
    <w:r w:rsidRPr="00BA0032">
      <w:t>EN</w:t>
    </w:r>
    <w:r w:rsidRPr="00BA0032">
      <w:tab/>
    </w:r>
    <w:r w:rsidRPr="00BA0032">
      <w:rPr>
        <w:b w:val="0"/>
        <w:i/>
        <w:color w:val="C0C0C0"/>
        <w:sz w:val="22"/>
      </w:rPr>
      <w:t>United in diversity</w:t>
    </w:r>
    <w:r w:rsidRPr="00BA0032">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CB47" w14:textId="77777777" w:rsidR="00064002" w:rsidRPr="00BA0032"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A85A" w14:textId="77777777" w:rsidR="00064002" w:rsidRPr="00BA0032"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AA0B" w14:textId="77777777" w:rsidR="00064002" w:rsidRPr="00BA003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F671D" w14:textId="77777777" w:rsidR="00B93385" w:rsidRPr="00BA0032" w:rsidRDefault="00B93385">
      <w:r w:rsidRPr="00BA0032">
        <w:separator/>
      </w:r>
    </w:p>
  </w:footnote>
  <w:footnote w:type="continuationSeparator" w:id="0">
    <w:p w14:paraId="5959AF86" w14:textId="77777777" w:rsidR="00B93385" w:rsidRPr="00BA0032" w:rsidRDefault="00B93385">
      <w:r w:rsidRPr="00BA0032">
        <w:continuationSeparator/>
      </w:r>
    </w:p>
  </w:footnote>
  <w:footnote w:id="1">
    <w:p w14:paraId="6C9CDD37" w14:textId="614AFE7A" w:rsidR="0094775C" w:rsidRPr="00DA3FD9" w:rsidRDefault="0094775C" w:rsidP="00BA0032">
      <w:pPr>
        <w:pStyle w:val="FootnoteText"/>
        <w:ind w:left="567" w:hanging="567"/>
        <w:rPr>
          <w:sz w:val="24"/>
          <w:lang w:val="fi-FI"/>
        </w:rPr>
      </w:pPr>
      <w:r w:rsidRPr="00DA3FD9">
        <w:rPr>
          <w:rStyle w:val="FootnoteReference"/>
          <w:sz w:val="24"/>
          <w:lang w:val="en-GB"/>
        </w:rPr>
        <w:footnoteRef/>
      </w:r>
      <w:r w:rsidR="00BA0032" w:rsidRPr="00DA3FD9">
        <w:rPr>
          <w:sz w:val="24"/>
          <w:lang w:val="fi-FI"/>
        </w:rPr>
        <w:t xml:space="preserve"> </w:t>
      </w:r>
      <w:r w:rsidR="00BA0032" w:rsidRPr="00DA3FD9">
        <w:rPr>
          <w:sz w:val="24"/>
          <w:lang w:val="fi-FI"/>
        </w:rPr>
        <w:tab/>
      </w:r>
      <w:r w:rsidRPr="00DA3FD9">
        <w:rPr>
          <w:sz w:val="24"/>
          <w:lang w:val="fi-FI"/>
        </w:rPr>
        <w:t>OJ C</w:t>
      </w:r>
      <w:r w:rsidR="00E3234B" w:rsidRPr="00DA3FD9">
        <w:rPr>
          <w:sz w:val="24"/>
          <w:lang w:val="fi-FI"/>
        </w:rPr>
        <w:t>,</w:t>
      </w:r>
      <w:r w:rsidRPr="00DA3FD9">
        <w:rPr>
          <w:sz w:val="24"/>
          <w:lang w:val="fi-FI"/>
        </w:rPr>
        <w:t xml:space="preserve"> C/2024/1577, 5.3.2024, ELI: </w:t>
      </w:r>
      <w:hyperlink r:id="rId1" w:history="1">
        <w:r w:rsidRPr="00DA3FD9">
          <w:rPr>
            <w:rStyle w:val="Hyperlink"/>
            <w:sz w:val="24"/>
            <w:lang w:val="fi-FI"/>
          </w:rPr>
          <w:t>http://data.europa.eu/eli/C/2024/1577/oj</w:t>
        </w:r>
      </w:hyperlink>
      <w:r w:rsidRPr="00DA3FD9">
        <w:rPr>
          <w:sz w:val="24"/>
          <w:lang w:val="fi-FI"/>
        </w:rPr>
        <w:t>.</w:t>
      </w:r>
    </w:p>
  </w:footnote>
  <w:footnote w:id="2">
    <w:p w14:paraId="58DF6B9C" w14:textId="7E08C9B9" w:rsidR="0094775C" w:rsidRPr="00123D89" w:rsidRDefault="0094775C" w:rsidP="00BA0032">
      <w:pPr>
        <w:pStyle w:val="FootnoteText"/>
        <w:ind w:left="567" w:hanging="567"/>
        <w:rPr>
          <w:sz w:val="24"/>
          <w:lang w:val="fi-FI"/>
        </w:rPr>
      </w:pPr>
      <w:r w:rsidRPr="00DA3FD9">
        <w:rPr>
          <w:rStyle w:val="FootnoteReference"/>
          <w:sz w:val="24"/>
          <w:lang w:val="en-GB"/>
        </w:rPr>
        <w:footnoteRef/>
      </w:r>
      <w:r w:rsidR="00BA0032" w:rsidRPr="00DA3FD9">
        <w:rPr>
          <w:sz w:val="24"/>
          <w:lang w:val="fi-FI"/>
        </w:rPr>
        <w:t xml:space="preserve"> </w:t>
      </w:r>
      <w:r w:rsidR="00BA0032" w:rsidRPr="00DA3FD9">
        <w:rPr>
          <w:sz w:val="24"/>
          <w:lang w:val="fi-FI"/>
        </w:rPr>
        <w:tab/>
      </w:r>
      <w:r w:rsidRPr="00DA3FD9">
        <w:rPr>
          <w:sz w:val="24"/>
          <w:lang w:val="fi-FI"/>
        </w:rPr>
        <w:t>OJ C</w:t>
      </w:r>
      <w:r w:rsidR="00E3234B" w:rsidRPr="00DA3FD9">
        <w:rPr>
          <w:sz w:val="24"/>
          <w:lang w:val="fi-FI"/>
        </w:rPr>
        <w:t>,</w:t>
      </w:r>
      <w:r w:rsidRPr="00DA3FD9">
        <w:rPr>
          <w:sz w:val="24"/>
          <w:lang w:val="fi-FI"/>
        </w:rPr>
        <w:t xml:space="preserve"> C/2025/1032, 27.2.2025, ELI: </w:t>
      </w:r>
      <w:r w:rsidR="00DA3FD9" w:rsidRPr="00DA3FD9">
        <w:fldChar w:fldCharType="begin"/>
      </w:r>
      <w:r w:rsidR="00DA3FD9" w:rsidRPr="00DA3FD9">
        <w:rPr>
          <w:lang w:val="fi-FI"/>
        </w:rPr>
        <w:instrText>HYPERLINK "http://data.europa.eu/eli/C/2025/1032/oj"</w:instrText>
      </w:r>
      <w:r w:rsidR="00DA3FD9" w:rsidRPr="00DA3FD9">
        <w:fldChar w:fldCharType="separate"/>
      </w:r>
      <w:r w:rsidRPr="00DA3FD9">
        <w:rPr>
          <w:rStyle w:val="Hyperlink"/>
          <w:sz w:val="24"/>
          <w:lang w:val="fi-FI"/>
        </w:rPr>
        <w:t>http://data.europa.eu/eli/C/2025/1032/oj</w:t>
      </w:r>
      <w:r w:rsidR="00DA3FD9" w:rsidRPr="00DA3FD9">
        <w:rPr>
          <w:rStyle w:val="Hyperlink"/>
          <w:sz w:val="24"/>
          <w:lang w:val="fi-FI"/>
        </w:rPr>
        <w:fldChar w:fldCharType="end"/>
      </w:r>
      <w:r w:rsidRPr="00DA3FD9">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D1F7" w14:textId="77777777" w:rsidR="00064002" w:rsidRPr="00BA003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2677" w14:textId="77777777" w:rsidR="00064002" w:rsidRPr="00BA003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3298" w14:textId="77777777" w:rsidR="00064002" w:rsidRPr="00BA003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18770964">
    <w:abstractNumId w:val="9"/>
  </w:num>
  <w:num w:numId="2" w16cid:durableId="1100443052">
    <w:abstractNumId w:val="9"/>
  </w:num>
  <w:num w:numId="3" w16cid:durableId="327367646">
    <w:abstractNumId w:val="7"/>
  </w:num>
  <w:num w:numId="4" w16cid:durableId="1510483772">
    <w:abstractNumId w:val="7"/>
  </w:num>
  <w:num w:numId="5" w16cid:durableId="1351836553">
    <w:abstractNumId w:val="6"/>
  </w:num>
  <w:num w:numId="6" w16cid:durableId="419718786">
    <w:abstractNumId w:val="6"/>
  </w:num>
  <w:num w:numId="7" w16cid:durableId="1973097150">
    <w:abstractNumId w:val="5"/>
  </w:num>
  <w:num w:numId="8" w16cid:durableId="2051151389">
    <w:abstractNumId w:val="5"/>
  </w:num>
  <w:num w:numId="9" w16cid:durableId="1909653734">
    <w:abstractNumId w:val="4"/>
  </w:num>
  <w:num w:numId="10" w16cid:durableId="1664968978">
    <w:abstractNumId w:val="4"/>
  </w:num>
  <w:num w:numId="11" w16cid:durableId="1469274802">
    <w:abstractNumId w:val="8"/>
  </w:num>
  <w:num w:numId="12" w16cid:durableId="1285117394">
    <w:abstractNumId w:val="8"/>
  </w:num>
  <w:num w:numId="13" w16cid:durableId="1955557172">
    <w:abstractNumId w:val="3"/>
  </w:num>
  <w:num w:numId="14" w16cid:durableId="651494089">
    <w:abstractNumId w:val="3"/>
  </w:num>
  <w:num w:numId="15" w16cid:durableId="1961374579">
    <w:abstractNumId w:val="2"/>
  </w:num>
  <w:num w:numId="16" w16cid:durableId="941646679">
    <w:abstractNumId w:val="2"/>
  </w:num>
  <w:num w:numId="17" w16cid:durableId="1681394850">
    <w:abstractNumId w:val="1"/>
  </w:num>
  <w:num w:numId="18" w16cid:durableId="1253855335">
    <w:abstractNumId w:val="1"/>
  </w:num>
  <w:num w:numId="19" w16cid:durableId="746802501">
    <w:abstractNumId w:val="0"/>
  </w:num>
  <w:num w:numId="20" w16cid:durableId="1686320362">
    <w:abstractNumId w:val="0"/>
  </w:num>
  <w:num w:numId="21" w16cid:durableId="582305000">
    <w:abstractNumId w:val="9"/>
  </w:num>
  <w:num w:numId="22" w16cid:durableId="1142577337">
    <w:abstractNumId w:val="7"/>
  </w:num>
  <w:num w:numId="23" w16cid:durableId="1710258853">
    <w:abstractNumId w:val="6"/>
  </w:num>
  <w:num w:numId="24" w16cid:durableId="1078593810">
    <w:abstractNumId w:val="5"/>
  </w:num>
  <w:num w:numId="25" w16cid:durableId="1687290429">
    <w:abstractNumId w:val="4"/>
  </w:num>
  <w:num w:numId="26" w16cid:durableId="533540811">
    <w:abstractNumId w:val="8"/>
  </w:num>
  <w:num w:numId="27" w16cid:durableId="147018911">
    <w:abstractNumId w:val="3"/>
  </w:num>
  <w:num w:numId="28" w16cid:durableId="744180930">
    <w:abstractNumId w:val="2"/>
  </w:num>
  <w:num w:numId="29" w16cid:durableId="1506701158">
    <w:abstractNumId w:val="1"/>
  </w:num>
  <w:num w:numId="30" w16cid:durableId="550725559">
    <w:abstractNumId w:val="0"/>
  </w:num>
  <w:num w:numId="31" w16cid:durableId="1190754151">
    <w:abstractNumId w:val="9"/>
  </w:num>
  <w:num w:numId="32" w16cid:durableId="1251541501">
    <w:abstractNumId w:val="7"/>
  </w:num>
  <w:num w:numId="33" w16cid:durableId="1231384550">
    <w:abstractNumId w:val="6"/>
  </w:num>
  <w:num w:numId="34" w16cid:durableId="1168593187">
    <w:abstractNumId w:val="5"/>
  </w:num>
  <w:num w:numId="35" w16cid:durableId="1970890054">
    <w:abstractNumId w:val="4"/>
  </w:num>
  <w:num w:numId="36" w16cid:durableId="656999528">
    <w:abstractNumId w:val="8"/>
  </w:num>
  <w:num w:numId="37" w16cid:durableId="1606111185">
    <w:abstractNumId w:val="3"/>
  </w:num>
  <w:num w:numId="38" w16cid:durableId="1769764448">
    <w:abstractNumId w:val="2"/>
  </w:num>
  <w:num w:numId="39" w16cid:durableId="1462575140">
    <w:abstractNumId w:val="1"/>
  </w:num>
  <w:num w:numId="40" w16cid:durableId="213129743">
    <w:abstractNumId w:val="0"/>
  </w:num>
  <w:num w:numId="41" w16cid:durableId="229930411">
    <w:abstractNumId w:val="10"/>
  </w:num>
  <w:num w:numId="42" w16cid:durableId="1969433310">
    <w:abstractNumId w:val="10"/>
  </w:num>
  <w:num w:numId="43" w16cid:durableId="1811290541">
    <w:abstractNumId w:val="10"/>
  </w:num>
  <w:num w:numId="44" w16cid:durableId="1615490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7/2025"/>
    <w:docVar w:name="dvlangue" w:val="EN"/>
    <w:docVar w:name="dvnumam" w:val="0"/>
    <w:docVar w:name="dvpe" w:val="779.456"/>
    <w:docVar w:name="dvrapporteur" w:val="Rapporteur: "/>
    <w:docVar w:name="dvstar" w:val="***II"/>
    <w:docVar w:name="dvtitre" w:val="European Parliament legislative resolution of 25 November 2025 on the Council position at first reading with a view to the adoption of a regulation of the European Parliament and of the Council on the safety of toys and repealing Directive 2009/48/EC(09663/1/2025 – C10-0251/2025 – 2023/0290(COD))"/>
  </w:docVars>
  <w:rsids>
    <w:rsidRoot w:val="00B93385"/>
    <w:rsid w:val="00002272"/>
    <w:rsid w:val="00064002"/>
    <w:rsid w:val="000677B9"/>
    <w:rsid w:val="000831BA"/>
    <w:rsid w:val="000A42CC"/>
    <w:rsid w:val="000E7DD9"/>
    <w:rsid w:val="0010095E"/>
    <w:rsid w:val="00123D89"/>
    <w:rsid w:val="00125B37"/>
    <w:rsid w:val="00187494"/>
    <w:rsid w:val="001B17BB"/>
    <w:rsid w:val="001E07A2"/>
    <w:rsid w:val="001F15D1"/>
    <w:rsid w:val="001F32AE"/>
    <w:rsid w:val="002767FF"/>
    <w:rsid w:val="002B18FE"/>
    <w:rsid w:val="002B5493"/>
    <w:rsid w:val="00343214"/>
    <w:rsid w:val="00361C00"/>
    <w:rsid w:val="00395FA1"/>
    <w:rsid w:val="003E15D4"/>
    <w:rsid w:val="00411CCE"/>
    <w:rsid w:val="0041666E"/>
    <w:rsid w:val="00421060"/>
    <w:rsid w:val="00471C19"/>
    <w:rsid w:val="004859CB"/>
    <w:rsid w:val="004867E3"/>
    <w:rsid w:val="00494A28"/>
    <w:rsid w:val="004C0004"/>
    <w:rsid w:val="004C5D52"/>
    <w:rsid w:val="0050519A"/>
    <w:rsid w:val="005072A1"/>
    <w:rsid w:val="00514517"/>
    <w:rsid w:val="00545827"/>
    <w:rsid w:val="00560270"/>
    <w:rsid w:val="00573A51"/>
    <w:rsid w:val="005C2568"/>
    <w:rsid w:val="005E7FE9"/>
    <w:rsid w:val="005F1B17"/>
    <w:rsid w:val="006036F3"/>
    <w:rsid w:val="006037C0"/>
    <w:rsid w:val="006459CB"/>
    <w:rsid w:val="006631B6"/>
    <w:rsid w:val="00680577"/>
    <w:rsid w:val="006F74FA"/>
    <w:rsid w:val="00731ADD"/>
    <w:rsid w:val="00734777"/>
    <w:rsid w:val="00747932"/>
    <w:rsid w:val="00751A4A"/>
    <w:rsid w:val="00756632"/>
    <w:rsid w:val="00762C74"/>
    <w:rsid w:val="00781ABD"/>
    <w:rsid w:val="00786EC0"/>
    <w:rsid w:val="007D1690"/>
    <w:rsid w:val="007E22AD"/>
    <w:rsid w:val="00817416"/>
    <w:rsid w:val="00842779"/>
    <w:rsid w:val="00865F67"/>
    <w:rsid w:val="00881A7B"/>
    <w:rsid w:val="008840E5"/>
    <w:rsid w:val="00887B3E"/>
    <w:rsid w:val="008C2AC6"/>
    <w:rsid w:val="00930C23"/>
    <w:rsid w:val="0093193B"/>
    <w:rsid w:val="00934E21"/>
    <w:rsid w:val="0094300B"/>
    <w:rsid w:val="0094775C"/>
    <w:rsid w:val="009509D8"/>
    <w:rsid w:val="00950B64"/>
    <w:rsid w:val="00981893"/>
    <w:rsid w:val="00A1687D"/>
    <w:rsid w:val="00A43E52"/>
    <w:rsid w:val="00A4678D"/>
    <w:rsid w:val="00A77653"/>
    <w:rsid w:val="00A778C7"/>
    <w:rsid w:val="00AB441E"/>
    <w:rsid w:val="00AB6293"/>
    <w:rsid w:val="00AE0928"/>
    <w:rsid w:val="00AF3B82"/>
    <w:rsid w:val="00B12E95"/>
    <w:rsid w:val="00B22876"/>
    <w:rsid w:val="00B558F0"/>
    <w:rsid w:val="00B93385"/>
    <w:rsid w:val="00BA0032"/>
    <w:rsid w:val="00BD48FE"/>
    <w:rsid w:val="00BD7BD8"/>
    <w:rsid w:val="00BE6ADC"/>
    <w:rsid w:val="00C05BFE"/>
    <w:rsid w:val="00C23CD4"/>
    <w:rsid w:val="00C61C0C"/>
    <w:rsid w:val="00C62071"/>
    <w:rsid w:val="00C941CB"/>
    <w:rsid w:val="00CC2357"/>
    <w:rsid w:val="00CF071A"/>
    <w:rsid w:val="00D058B8"/>
    <w:rsid w:val="00D331B2"/>
    <w:rsid w:val="00D56C11"/>
    <w:rsid w:val="00D834A0"/>
    <w:rsid w:val="00D872DF"/>
    <w:rsid w:val="00D91E21"/>
    <w:rsid w:val="00DA3FD9"/>
    <w:rsid w:val="00DA7FCD"/>
    <w:rsid w:val="00DC6ECB"/>
    <w:rsid w:val="00E3234B"/>
    <w:rsid w:val="00E365E1"/>
    <w:rsid w:val="00E820A4"/>
    <w:rsid w:val="00EB006A"/>
    <w:rsid w:val="00EB3F9F"/>
    <w:rsid w:val="00EB4772"/>
    <w:rsid w:val="00ED169E"/>
    <w:rsid w:val="00ED4235"/>
    <w:rsid w:val="00F04346"/>
    <w:rsid w:val="00F075DC"/>
    <w:rsid w:val="00F13302"/>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42665"/>
  <w15:chartTrackingRefBased/>
  <w15:docId w15:val="{DAB517D0-A893-4FF5-BDF4-27BF8E18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4775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4775C"/>
    <w:pPr>
      <w:spacing w:before="480" w:after="240"/>
    </w:pPr>
  </w:style>
  <w:style w:type="paragraph" w:customStyle="1" w:styleId="PageHeading">
    <w:name w:val="PageHeading"/>
    <w:basedOn w:val="Normal"/>
    <w:rsid w:val="0094775C"/>
    <w:pPr>
      <w:keepNext/>
      <w:spacing w:after="480"/>
      <w:jc w:val="center"/>
    </w:pPr>
    <w:rPr>
      <w:rFonts w:ascii="Arial" w:hAnsi="Arial" w:cs="Arial"/>
      <w:b/>
    </w:rPr>
  </w:style>
  <w:style w:type="paragraph" w:customStyle="1" w:styleId="NormalBold">
    <w:name w:val="NormalBold"/>
    <w:basedOn w:val="Normal"/>
    <w:rsid w:val="0094775C"/>
    <w:rPr>
      <w:b/>
    </w:rPr>
  </w:style>
  <w:style w:type="paragraph" w:customStyle="1" w:styleId="NormalHanging12a">
    <w:name w:val="NormalHanging12a"/>
    <w:basedOn w:val="Normal"/>
    <w:rsid w:val="0094775C"/>
    <w:pPr>
      <w:spacing w:after="240"/>
      <w:ind w:left="567" w:hanging="567"/>
    </w:pPr>
  </w:style>
  <w:style w:type="paragraph" w:styleId="Header">
    <w:name w:val="header"/>
    <w:basedOn w:val="Normal"/>
    <w:link w:val="HeaderChar"/>
    <w:rsid w:val="0094775C"/>
    <w:pPr>
      <w:tabs>
        <w:tab w:val="center" w:pos="4513"/>
        <w:tab w:val="right" w:pos="9026"/>
      </w:tabs>
    </w:pPr>
  </w:style>
  <w:style w:type="character" w:customStyle="1" w:styleId="HeaderChar">
    <w:name w:val="Header Char"/>
    <w:basedOn w:val="DefaultParagraphFont"/>
    <w:link w:val="Header"/>
    <w:rsid w:val="0094775C"/>
    <w:rPr>
      <w:sz w:val="24"/>
    </w:rPr>
  </w:style>
  <w:style w:type="paragraph" w:customStyle="1" w:styleId="EPFooter">
    <w:name w:val="EPFooter"/>
    <w:basedOn w:val="Normal"/>
    <w:rsid w:val="0094775C"/>
    <w:pPr>
      <w:tabs>
        <w:tab w:val="center" w:pos="4535"/>
        <w:tab w:val="right" w:pos="9071"/>
      </w:tabs>
      <w:spacing w:before="240" w:after="240"/>
    </w:pPr>
    <w:rPr>
      <w:color w:val="010000"/>
      <w:sz w:val="22"/>
    </w:rPr>
  </w:style>
  <w:style w:type="paragraph" w:styleId="Footer">
    <w:name w:val="footer"/>
    <w:basedOn w:val="Normal"/>
    <w:link w:val="FooterChar"/>
    <w:rsid w:val="00DC6ECB"/>
    <w:pPr>
      <w:tabs>
        <w:tab w:val="center" w:pos="4513"/>
        <w:tab w:val="right" w:pos="9026"/>
      </w:tabs>
    </w:pPr>
  </w:style>
  <w:style w:type="character" w:customStyle="1" w:styleId="FooterChar">
    <w:name w:val="Footer Char"/>
    <w:basedOn w:val="DefaultParagraphFont"/>
    <w:link w:val="Footer"/>
    <w:rsid w:val="00DC6ECB"/>
    <w:rPr>
      <w:sz w:val="24"/>
    </w:rPr>
  </w:style>
  <w:style w:type="character" w:styleId="Hyperlink">
    <w:name w:val="Hyperlink"/>
    <w:basedOn w:val="DefaultParagraphFont"/>
    <w:rsid w:val="006036F3"/>
    <w:rPr>
      <w:color w:val="0563C1" w:themeColor="hyperlink"/>
      <w:u w:val="single"/>
    </w:rPr>
  </w:style>
  <w:style w:type="character" w:styleId="UnresolvedMention">
    <w:name w:val="Unresolved Mention"/>
    <w:basedOn w:val="DefaultParagraphFont"/>
    <w:uiPriority w:val="99"/>
    <w:semiHidden/>
    <w:unhideWhenUsed/>
    <w:rsid w:val="006036F3"/>
    <w:rPr>
      <w:color w:val="605E5C"/>
      <w:shd w:val="clear" w:color="auto" w:fill="E1DFDD"/>
    </w:rPr>
  </w:style>
  <w:style w:type="paragraph" w:styleId="Revision">
    <w:name w:val="Revision"/>
    <w:hidden/>
    <w:uiPriority w:val="99"/>
    <w:semiHidden/>
    <w:rsid w:val="00934E21"/>
    <w:rPr>
      <w:sz w:val="24"/>
    </w:rPr>
  </w:style>
  <w:style w:type="character" w:styleId="CommentReference">
    <w:name w:val="annotation reference"/>
    <w:basedOn w:val="DefaultParagraphFont"/>
    <w:rsid w:val="004859CB"/>
    <w:rPr>
      <w:sz w:val="16"/>
      <w:szCs w:val="16"/>
    </w:rPr>
  </w:style>
  <w:style w:type="paragraph" w:styleId="CommentText">
    <w:name w:val="annotation text"/>
    <w:basedOn w:val="Normal"/>
    <w:link w:val="CommentTextChar"/>
    <w:rsid w:val="004859CB"/>
    <w:rPr>
      <w:sz w:val="20"/>
    </w:rPr>
  </w:style>
  <w:style w:type="character" w:customStyle="1" w:styleId="CommentTextChar">
    <w:name w:val="Comment Text Char"/>
    <w:basedOn w:val="DefaultParagraphFont"/>
    <w:link w:val="CommentText"/>
    <w:rsid w:val="004859CB"/>
  </w:style>
  <w:style w:type="paragraph" w:styleId="CommentSubject">
    <w:name w:val="annotation subject"/>
    <w:basedOn w:val="CommentText"/>
    <w:next w:val="CommentText"/>
    <w:link w:val="CommentSubjectChar"/>
    <w:rsid w:val="004859CB"/>
    <w:rPr>
      <w:b/>
      <w:bCs/>
    </w:rPr>
  </w:style>
  <w:style w:type="character" w:customStyle="1" w:styleId="CommentSubjectChar">
    <w:name w:val="Comment Subject Char"/>
    <w:basedOn w:val="CommentTextChar"/>
    <w:link w:val="CommentSubject"/>
    <w:rsid w:val="004859CB"/>
    <w:rPr>
      <w:b/>
      <w:bCs/>
    </w:rPr>
  </w:style>
  <w:style w:type="character" w:styleId="FollowedHyperlink">
    <w:name w:val="FollowedHyperlink"/>
    <w:basedOn w:val="DefaultParagraphFont"/>
    <w:rsid w:val="00E32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7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70789-D9C2-49C5-87AB-CECF0A797047}">
  <ds:schemaRefs>
    <ds:schemaRef ds:uri="http://schemas.microsoft.com/sharepoint/v3/contenttype/forms"/>
  </ds:schemaRefs>
</ds:datastoreItem>
</file>

<file path=customXml/itemProps2.xml><?xml version="1.0" encoding="utf-8"?>
<ds:datastoreItem xmlns:ds="http://schemas.openxmlformats.org/officeDocument/2006/customXml" ds:itemID="{65D452B4-E473-46DC-A52B-6CA922DFA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4.xml><?xml version="1.0" encoding="utf-8"?>
<ds:datastoreItem xmlns:ds="http://schemas.openxmlformats.org/officeDocument/2006/customXml" ds:itemID="{1ECC7AE9-5AFA-4413-AD09-603C19684D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472</Words>
  <Characters>2720</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2026-01-27T11:20:00Z</dcterms:created>
  <dcterms:modified xsi:type="dcterms:W3CDTF">2026-01-27T11:20:00Z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A10-0227/2025</vt:lpwstr>
  </property>
  <property fmtid="{D5CDD505-2E9C-101B-9397-08002B2CF9AE}" pid="4" name="&lt;Type&gt;">
    <vt:lpwstr>RR</vt:lpwstr>
  </property>
  <property fmtid="{D5CDD505-2E9C-101B-9397-08002B2CF9AE}" pid="5" name="ContentTypeId">
    <vt:lpwstr>0x010100899E3BDEB9E2C641AB20B9B5ECEF7390</vt:lpwstr>
  </property>
</Properties>
</file>