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10379" w14:paraId="48BB701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6F020D" w14:textId="77777777" w:rsidR="00751A4A" w:rsidRPr="00B10379" w:rsidRDefault="009F391C" w:rsidP="0010095E">
            <w:pPr>
              <w:pStyle w:val="EPName"/>
            </w:pPr>
            <w:r w:rsidRPr="00B10379">
              <w:t>Parlamento Europeo</w:t>
            </w:r>
          </w:p>
          <w:p w14:paraId="32AE9B05" w14:textId="77777777" w:rsidR="00751A4A" w:rsidRPr="00B1037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10379">
              <w:t>2024</w:t>
            </w:r>
            <w:r w:rsidR="00817416" w:rsidRPr="00B10379">
              <w:t>-202</w:t>
            </w:r>
            <w:r w:rsidRPr="00B10379">
              <w:t>9</w:t>
            </w:r>
          </w:p>
        </w:tc>
        <w:tc>
          <w:tcPr>
            <w:tcW w:w="2268" w:type="dxa"/>
            <w:shd w:val="clear" w:color="auto" w:fill="auto"/>
          </w:tcPr>
          <w:p w14:paraId="6F7DD0AD" w14:textId="77777777" w:rsidR="00751A4A" w:rsidRPr="00B10379" w:rsidRDefault="00187494" w:rsidP="0010095E">
            <w:pPr>
              <w:pStyle w:val="EPLogo"/>
            </w:pPr>
            <w:r w:rsidRPr="00B10379">
              <w:rPr>
                <w:noProof/>
                <w:lang w:eastAsia="ja-JP"/>
              </w:rPr>
              <w:drawing>
                <wp:inline distT="0" distB="0" distL="0" distR="0" wp14:anchorId="1416515D" wp14:editId="373C0FF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C7E3EB" w14:textId="77777777" w:rsidR="00D058B8" w:rsidRPr="00B10379" w:rsidRDefault="00D058B8" w:rsidP="004C5D52">
      <w:pPr>
        <w:pStyle w:val="LineTop"/>
      </w:pPr>
    </w:p>
    <w:p w14:paraId="647F85BC" w14:textId="77777777" w:rsidR="00680577" w:rsidRPr="00B10379" w:rsidRDefault="009F391C" w:rsidP="00680577">
      <w:pPr>
        <w:pStyle w:val="EPBodyTA1"/>
      </w:pPr>
      <w:r w:rsidRPr="00B10379">
        <w:t>TEXTOS APROBADOS</w:t>
      </w:r>
    </w:p>
    <w:p w14:paraId="0B3A758F" w14:textId="77777777" w:rsidR="00D058B8" w:rsidRPr="00B10379" w:rsidRDefault="00D058B8" w:rsidP="00D058B8">
      <w:pPr>
        <w:pStyle w:val="LineBottom"/>
      </w:pPr>
    </w:p>
    <w:p w14:paraId="5CBCB6E1" w14:textId="230F15CE" w:rsidR="009F391C" w:rsidRPr="00FE731C" w:rsidRDefault="009F391C" w:rsidP="009F391C">
      <w:pPr>
        <w:pStyle w:val="ATHeading1"/>
      </w:pPr>
      <w:bookmarkStart w:id="0" w:name="TANumber"/>
      <w:r w:rsidRPr="00FE731C">
        <w:t>P10_</w:t>
      </w:r>
      <w:proofErr w:type="gramStart"/>
      <w:r w:rsidRPr="00FE731C">
        <w:t>TA(</w:t>
      </w:r>
      <w:proofErr w:type="gramEnd"/>
      <w:r w:rsidRPr="00FE731C">
        <w:t>2025)</w:t>
      </w:r>
      <w:bookmarkEnd w:id="0"/>
      <w:r w:rsidR="00B10379" w:rsidRPr="00FE731C">
        <w:t>0279</w:t>
      </w:r>
    </w:p>
    <w:p w14:paraId="4EC0BDF7" w14:textId="77777777" w:rsidR="009F391C" w:rsidRPr="00FE731C" w:rsidRDefault="009F391C" w:rsidP="009F391C">
      <w:pPr>
        <w:pStyle w:val="ATHeading2"/>
      </w:pPr>
      <w:bookmarkStart w:id="1" w:name="title"/>
      <w:r w:rsidRPr="00FE731C">
        <w:t>Seguridad de los juguetes y derogación de la Directiva 2009/48/CE</w:t>
      </w:r>
      <w:bookmarkEnd w:id="1"/>
    </w:p>
    <w:p w14:paraId="5344799B" w14:textId="77777777" w:rsidR="009F391C" w:rsidRPr="00B10379" w:rsidRDefault="009F391C" w:rsidP="009F391C">
      <w:pPr>
        <w:rPr>
          <w:i/>
          <w:vanish/>
        </w:rPr>
      </w:pPr>
      <w:r w:rsidRPr="00B10379">
        <w:rPr>
          <w:i/>
        </w:rPr>
        <w:fldChar w:fldCharType="begin"/>
      </w:r>
      <w:r w:rsidRPr="00B10379">
        <w:rPr>
          <w:i/>
        </w:rPr>
        <w:instrText xml:space="preserve"> TC"(</w:instrText>
      </w:r>
      <w:bookmarkStart w:id="2" w:name="DocNumber"/>
      <w:r w:rsidRPr="00B10379">
        <w:rPr>
          <w:i/>
        </w:rPr>
        <w:instrText>A10-0227/2025</w:instrText>
      </w:r>
      <w:bookmarkEnd w:id="2"/>
      <w:r w:rsidRPr="00B10379">
        <w:rPr>
          <w:i/>
        </w:rPr>
        <w:instrText xml:space="preserve"> - Ponente: Marion Walsmann)"\l3 \n&gt; \* MERGEFORMAT </w:instrText>
      </w:r>
      <w:r w:rsidRPr="00B10379">
        <w:rPr>
          <w:i/>
        </w:rPr>
        <w:fldChar w:fldCharType="end"/>
      </w:r>
    </w:p>
    <w:p w14:paraId="04FA1717" w14:textId="77777777" w:rsidR="009F391C" w:rsidRPr="00B10379" w:rsidRDefault="009F391C" w:rsidP="009F391C">
      <w:pPr>
        <w:rPr>
          <w:vanish/>
        </w:rPr>
      </w:pPr>
      <w:bookmarkStart w:id="3" w:name="Commission"/>
      <w:r w:rsidRPr="00B10379">
        <w:rPr>
          <w:vanish/>
        </w:rPr>
        <w:t>Comisión de Mercado Interior y Protección del Consumidor</w:t>
      </w:r>
      <w:bookmarkEnd w:id="3"/>
    </w:p>
    <w:p w14:paraId="0954706D" w14:textId="77777777" w:rsidR="009F391C" w:rsidRPr="00B10379" w:rsidRDefault="009F391C" w:rsidP="009F391C">
      <w:pPr>
        <w:rPr>
          <w:vanish/>
        </w:rPr>
      </w:pPr>
      <w:bookmarkStart w:id="4" w:name="PE"/>
      <w:r w:rsidRPr="00B10379">
        <w:rPr>
          <w:vanish/>
        </w:rPr>
        <w:t>PE779.456</w:t>
      </w:r>
      <w:bookmarkEnd w:id="4"/>
    </w:p>
    <w:p w14:paraId="0769B960" w14:textId="77777777" w:rsidR="009F391C" w:rsidRPr="00FE731C" w:rsidRDefault="009F391C" w:rsidP="009F391C">
      <w:pPr>
        <w:pStyle w:val="ATHeading3"/>
      </w:pPr>
      <w:bookmarkStart w:id="5" w:name="Sujet"/>
      <w:r w:rsidRPr="00FE731C">
        <w:t>Resolución legislativa del Parlamento Europeo, de 25 de noviembre de 2025, sobre la Posición del Consejo en primera lectura con vistas a la adopción del Reglamento del Parlamento Europeo y del Consejo relativo a la seguridad de los juguetes y por el que se deroga la Directiva 2009/48/CE</w:t>
      </w:r>
      <w:bookmarkEnd w:id="5"/>
      <w:r w:rsidRPr="00FE731C">
        <w:t xml:space="preserve"> </w:t>
      </w:r>
      <w:bookmarkStart w:id="6" w:name="References"/>
      <w:r w:rsidRPr="00FE731C">
        <w:t>(09663/1/2025 – C10-0251/2025 – 2023/0290(COD))</w:t>
      </w:r>
      <w:bookmarkEnd w:id="6"/>
    </w:p>
    <w:p w14:paraId="7DF95F0E" w14:textId="77777777" w:rsidR="009F391C" w:rsidRPr="00B10379" w:rsidRDefault="009F391C" w:rsidP="009F391C"/>
    <w:p w14:paraId="4DB978E4" w14:textId="77777777" w:rsidR="003F5FDE" w:rsidRPr="00B10379" w:rsidRDefault="003F5FDE" w:rsidP="003F5FDE">
      <w:pPr>
        <w:pStyle w:val="NormalBold"/>
      </w:pPr>
      <w:bookmarkStart w:id="7" w:name="TextBodyBegin"/>
      <w:bookmarkEnd w:id="7"/>
      <w:r w:rsidRPr="00B10379">
        <w:t>(Procedimiento legislativo ordinario: segunda lectura)</w:t>
      </w:r>
    </w:p>
    <w:p w14:paraId="5F5F92DA" w14:textId="77777777" w:rsidR="003F5FDE" w:rsidRPr="00B10379" w:rsidRDefault="003F5FDE" w:rsidP="003F5FDE">
      <w:pPr>
        <w:pStyle w:val="EPComma"/>
      </w:pPr>
      <w:r w:rsidRPr="00B10379">
        <w:rPr>
          <w:i/>
          <w:iCs/>
        </w:rPr>
        <w:t>El Parlamento Europeo</w:t>
      </w:r>
      <w:r w:rsidRPr="00B10379">
        <w:t>,</w:t>
      </w:r>
    </w:p>
    <w:p w14:paraId="70919D1E" w14:textId="77777777" w:rsidR="003F5FDE" w:rsidRPr="00B10379" w:rsidRDefault="003F5FDE" w:rsidP="003F5FDE">
      <w:pPr>
        <w:pStyle w:val="NormalHanging12a"/>
      </w:pPr>
      <w:r w:rsidRPr="00B10379">
        <w:t>–</w:t>
      </w:r>
      <w:r w:rsidRPr="00B10379">
        <w:tab/>
        <w:t>Vista la Posición del Consejo en primera lectura (09663/1/2025 – C10</w:t>
      </w:r>
      <w:r w:rsidRPr="00B10379">
        <w:noBreakHyphen/>
        <w:t>0251/2025),</w:t>
      </w:r>
    </w:p>
    <w:p w14:paraId="1D4585A1" w14:textId="51877FEE" w:rsidR="003F5FDE" w:rsidRPr="00B10379" w:rsidRDefault="003F5FDE" w:rsidP="003F5FDE">
      <w:pPr>
        <w:pStyle w:val="NormalHanging12a"/>
      </w:pPr>
      <w:r w:rsidRPr="00B10379">
        <w:t>–</w:t>
      </w:r>
      <w:r w:rsidRPr="00B10379">
        <w:tab/>
        <w:t>Visto el dictamen del Comité Económico y Social Europeo de 13 de diciembre de 2023</w:t>
      </w:r>
      <w:r w:rsidRPr="00B10379">
        <w:rPr>
          <w:rStyle w:val="FootnoteReference"/>
        </w:rPr>
        <w:footnoteReference w:id="1"/>
      </w:r>
      <w:r w:rsidRPr="00B10379">
        <w:t>,</w:t>
      </w:r>
    </w:p>
    <w:p w14:paraId="0F24438A" w14:textId="77777777" w:rsidR="003F5FDE" w:rsidRPr="00B10379" w:rsidRDefault="003F5FDE" w:rsidP="003F5FDE">
      <w:pPr>
        <w:pStyle w:val="NormalHanging12a"/>
      </w:pPr>
      <w:r w:rsidRPr="00B10379">
        <w:t>–</w:t>
      </w:r>
      <w:r w:rsidRPr="00B10379">
        <w:tab/>
        <w:t>Vista su Posición en primera lectura</w:t>
      </w:r>
      <w:r w:rsidRPr="00B10379">
        <w:rPr>
          <w:rStyle w:val="FootnoteReference"/>
        </w:rPr>
        <w:footnoteReference w:id="2"/>
      </w:r>
      <w:r w:rsidRPr="00B10379">
        <w:t xml:space="preserve"> sobre la propuesta de la Comisión al Parlamento Europeo y al Consejo (</w:t>
      </w:r>
      <w:proofErr w:type="gramStart"/>
      <w:r w:rsidRPr="00B10379">
        <w:t>COM(</w:t>
      </w:r>
      <w:proofErr w:type="gramEnd"/>
      <w:r w:rsidRPr="00B10379">
        <w:t>2023)0462),</w:t>
      </w:r>
    </w:p>
    <w:p w14:paraId="7D3FB4A2" w14:textId="77777777" w:rsidR="003F5FDE" w:rsidRPr="00B10379" w:rsidRDefault="003F5FDE" w:rsidP="003F5FDE">
      <w:pPr>
        <w:pStyle w:val="NormalHanging12a"/>
      </w:pPr>
      <w:r w:rsidRPr="00B10379">
        <w:t>–</w:t>
      </w:r>
      <w:r w:rsidRPr="00B10379">
        <w:tab/>
        <w:t>Visto el artículo 294, apartado 7, del Tratado de Funcionamiento de la Unión Europea,</w:t>
      </w:r>
    </w:p>
    <w:p w14:paraId="1001B134" w14:textId="77777777" w:rsidR="003F5FDE" w:rsidRPr="00B10379" w:rsidRDefault="003F5FDE" w:rsidP="003F5FDE">
      <w:pPr>
        <w:pStyle w:val="NormalHanging12a"/>
      </w:pPr>
      <w:r w:rsidRPr="00B10379">
        <w:t>–</w:t>
      </w:r>
      <w:r w:rsidRPr="00B10379">
        <w:tab/>
        <w:t>Visto el acuerdo provisional aprobado por la comisión competente con arreglo al artículo 75, apartado 4, de su Reglamento interno,</w:t>
      </w:r>
    </w:p>
    <w:p w14:paraId="2BF7BF3B" w14:textId="77777777" w:rsidR="003F5FDE" w:rsidRPr="00B10379" w:rsidRDefault="003F5FDE" w:rsidP="003F5FDE">
      <w:pPr>
        <w:pStyle w:val="NormalHanging12a"/>
      </w:pPr>
      <w:r w:rsidRPr="00B10379">
        <w:t>–</w:t>
      </w:r>
      <w:r w:rsidRPr="00B10379">
        <w:tab/>
        <w:t>Visto el artículo 68 de su Reglamento interno,</w:t>
      </w:r>
    </w:p>
    <w:p w14:paraId="5A6FFBC5" w14:textId="77777777" w:rsidR="003F5FDE" w:rsidRPr="00B10379" w:rsidRDefault="003F5FDE" w:rsidP="003F5FDE">
      <w:pPr>
        <w:pStyle w:val="NormalHanging12a"/>
      </w:pPr>
      <w:r w:rsidRPr="00B10379">
        <w:t>–</w:t>
      </w:r>
      <w:r w:rsidRPr="00B10379">
        <w:tab/>
        <w:t>Vista la Recomendación para la segunda lectura de la Comisión de Mercado Interior y Protección del Consumidor (A10-0227/2025),</w:t>
      </w:r>
    </w:p>
    <w:p w14:paraId="151A9D65" w14:textId="77777777" w:rsidR="003F5FDE" w:rsidRPr="00B10379" w:rsidRDefault="003F5FDE" w:rsidP="003F5FDE">
      <w:pPr>
        <w:pStyle w:val="NormalHanging12a"/>
      </w:pPr>
      <w:r w:rsidRPr="00B10379">
        <w:t>1.</w:t>
      </w:r>
      <w:r w:rsidRPr="00B10379">
        <w:tab/>
        <w:t>Aprueba la Posición del Consejo en primera lectura;</w:t>
      </w:r>
    </w:p>
    <w:p w14:paraId="3914E397" w14:textId="77777777" w:rsidR="003F5FDE" w:rsidRPr="00B10379" w:rsidRDefault="003F5FDE" w:rsidP="003F5FDE">
      <w:pPr>
        <w:pStyle w:val="NormalHanging12a"/>
      </w:pPr>
      <w:r w:rsidRPr="00B10379">
        <w:t>2.</w:t>
      </w:r>
      <w:r w:rsidRPr="00B10379">
        <w:tab/>
        <w:t xml:space="preserve">Toma nota de la declaración de la Comisión adjunta a la presente Resolución, que se publicará en la serie C del </w:t>
      </w:r>
      <w:r w:rsidRPr="00B10379">
        <w:rPr>
          <w:i/>
        </w:rPr>
        <w:t>Diario Oficial de la Unión Europea</w:t>
      </w:r>
      <w:r w:rsidRPr="00B10379">
        <w:t>;</w:t>
      </w:r>
    </w:p>
    <w:p w14:paraId="716BDEA9" w14:textId="77777777" w:rsidR="003F5FDE" w:rsidRPr="00B10379" w:rsidRDefault="003F5FDE" w:rsidP="003F5FDE">
      <w:pPr>
        <w:pStyle w:val="NormalHanging12a"/>
      </w:pPr>
      <w:r w:rsidRPr="00B10379">
        <w:t>3.</w:t>
      </w:r>
      <w:r w:rsidRPr="00B10379">
        <w:tab/>
        <w:t>Constata que el acto se adopta con arreglo a la Posición del Consejo;</w:t>
      </w:r>
    </w:p>
    <w:p w14:paraId="5249EC2F" w14:textId="77777777" w:rsidR="003F5FDE" w:rsidRPr="00B10379" w:rsidRDefault="003F5FDE" w:rsidP="003F5FDE">
      <w:pPr>
        <w:pStyle w:val="NormalHanging12a"/>
      </w:pPr>
      <w:r w:rsidRPr="00B10379">
        <w:t>4.</w:t>
      </w:r>
      <w:r w:rsidRPr="00B10379">
        <w:tab/>
        <w:t xml:space="preserve">Encarga a su presidenta que firme el acto, </w:t>
      </w:r>
      <w:proofErr w:type="gramStart"/>
      <w:r w:rsidRPr="00B10379">
        <w:t>conjuntamente con</w:t>
      </w:r>
      <w:proofErr w:type="gramEnd"/>
      <w:r w:rsidRPr="00B10379">
        <w:t xml:space="preserve"> el presidente del Consejo, </w:t>
      </w:r>
      <w:r w:rsidRPr="00B10379">
        <w:lastRenderedPageBreak/>
        <w:t>de conformidad con el artículo 297, apartado 1, del Tratado de Funcionamiento de la Unión Europea;</w:t>
      </w:r>
    </w:p>
    <w:p w14:paraId="78F6AB66" w14:textId="77777777" w:rsidR="003F5FDE" w:rsidRPr="00B10379" w:rsidRDefault="003F5FDE" w:rsidP="003F5FDE">
      <w:pPr>
        <w:pStyle w:val="NormalHanging12a"/>
      </w:pPr>
      <w:r w:rsidRPr="00B10379">
        <w:t>5.</w:t>
      </w:r>
      <w:r w:rsidRPr="00B10379">
        <w:tab/>
        <w:t xml:space="preserve">Encarga a su secretario general que firme el acto, tras haber comprobado que se han cumplido en debida forma todos los procedimientos, y que proceda, de acuerdo con la secretaria general del Consejo, a su publicación en el </w:t>
      </w:r>
      <w:r w:rsidRPr="00B10379">
        <w:rPr>
          <w:i/>
          <w:iCs/>
        </w:rPr>
        <w:t>Diario Oficial de la Unión Europea</w:t>
      </w:r>
      <w:r w:rsidRPr="00B10379">
        <w:t>;</w:t>
      </w:r>
    </w:p>
    <w:p w14:paraId="4062008F" w14:textId="77777777" w:rsidR="00FA0D8A" w:rsidRPr="00B10379" w:rsidRDefault="003F5FDE" w:rsidP="00DB22C6">
      <w:pPr>
        <w:pStyle w:val="NormalHanging12a"/>
        <w:sectPr w:rsidR="00FA0D8A" w:rsidRPr="00B10379" w:rsidSect="00DB22C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10379">
        <w:t>6.</w:t>
      </w:r>
      <w:r w:rsidRPr="00B10379">
        <w:tab/>
        <w:t>Encarga a su presidenta que transmita la Posición del Parlamento al Consejo y a la Comisión, así como a los Parlamentos nacionales.</w:t>
      </w:r>
    </w:p>
    <w:p w14:paraId="7468833C" w14:textId="77777777" w:rsidR="00FA0D8A" w:rsidRPr="00B10379" w:rsidRDefault="00FA0D8A" w:rsidP="00FA0D8A">
      <w:pPr>
        <w:pStyle w:val="PageHeading"/>
        <w:jc w:val="right"/>
        <w:outlineLvl w:val="0"/>
        <w:rPr>
          <w:rFonts w:ascii="Times New Roman" w:hAnsi="Times New Roman" w:cs="Times New Roman"/>
          <w:b w:val="0"/>
          <w:bCs/>
        </w:rPr>
      </w:pPr>
      <w:bookmarkStart w:id="9" w:name="_Toc214527885"/>
      <w:r w:rsidRPr="00B10379">
        <w:rPr>
          <w:rFonts w:ascii="Times New Roman" w:hAnsi="Times New Roman" w:cs="Times New Roman"/>
          <w:b w:val="0"/>
          <w:bCs/>
        </w:rPr>
        <w:lastRenderedPageBreak/>
        <w:t>ANEXO A LA RESOLUCIÓN LEGISLATIVA</w:t>
      </w:r>
    </w:p>
    <w:p w14:paraId="3294AF85" w14:textId="45FF377C" w:rsidR="00FA0D8A" w:rsidRPr="00B10379" w:rsidRDefault="00FA0D8A" w:rsidP="00FA0D8A">
      <w:pPr>
        <w:pStyle w:val="PageHeading"/>
        <w:outlineLvl w:val="0"/>
        <w:rPr>
          <w:rFonts w:ascii="Times New Roman" w:hAnsi="Times New Roman" w:cs="Times New Roman"/>
        </w:rPr>
      </w:pPr>
      <w:r w:rsidRPr="00B10379">
        <w:rPr>
          <w:rFonts w:ascii="Times New Roman" w:hAnsi="Times New Roman" w:cs="Times New Roman"/>
        </w:rPr>
        <w:t>DECLARACIÓN DE LA COMISIÓN</w:t>
      </w:r>
      <w:bookmarkEnd w:id="9"/>
      <w:r w:rsidR="00A164BE" w:rsidRPr="00B10379">
        <w:rPr>
          <w:rFonts w:ascii="Times New Roman" w:hAnsi="Times New Roman" w:cs="Times New Roman"/>
        </w:rPr>
        <w:t xml:space="preserve"> CON OCASIÓN DE LA ADOPCIÓN DEL REGLAMENTO </w:t>
      </w:r>
      <w:r w:rsidR="00263A05">
        <w:rPr>
          <w:rFonts w:ascii="Times New Roman" w:hAnsi="Times New Roman" w:cs="Times New Roman"/>
        </w:rPr>
        <w:t xml:space="preserve">(UE) </w:t>
      </w:r>
      <w:r w:rsidR="00A164BE" w:rsidRPr="00B10379">
        <w:rPr>
          <w:rFonts w:ascii="Times New Roman" w:hAnsi="Times New Roman" w:cs="Times New Roman"/>
        </w:rPr>
        <w:t>2025/</w:t>
      </w:r>
      <w:r w:rsidR="00263A05">
        <w:rPr>
          <w:rFonts w:ascii="Times New Roman" w:hAnsi="Times New Roman" w:cs="Times New Roman"/>
        </w:rPr>
        <w:t>2509</w:t>
      </w:r>
    </w:p>
    <w:p w14:paraId="0FAEF1DC" w14:textId="315784F0" w:rsidR="00E365E1" w:rsidRPr="00B10379" w:rsidRDefault="00FA0D8A" w:rsidP="00B10379">
      <w:pPr>
        <w:pStyle w:val="NormalHanging12a"/>
        <w:ind w:left="0" w:firstLine="0"/>
      </w:pPr>
      <w:bookmarkStart w:id="10" w:name="_Hlk196383635"/>
      <w:r w:rsidRPr="00B10379">
        <w:t>La Comisión evalúa periódica y sistemáticamente la presencia de sustancias químicas peligrosas en los juguetes, teniendo en cuenta las pruebas científicas disponibles, con vistas a adaptar los valores límite o las condiciones para la presencia de sustancias o mezclas químicas específicas en los juguetes de conformidad con el artículo 46 del Reglamento </w:t>
      </w:r>
      <w:r w:rsidR="00263A05">
        <w:t xml:space="preserve">(UE) </w:t>
      </w:r>
      <w:r w:rsidRPr="00B10379">
        <w:t>2025/</w:t>
      </w:r>
      <w:r w:rsidR="00263A05">
        <w:t>2509</w:t>
      </w:r>
      <w:r w:rsidRPr="00B10379">
        <w:t xml:space="preserve"> sobre la seguridad de los Juguetes. A tal fin, la Comisión solicitará un dictamen a la Agencia Europea de Sustancias y Mezclas Químicas sobre la seguridad de las nitrosaminas y las sustancias nitrosables en los juguetes, habida cuenta de la exposición global, en un plazo de 12 meses a partir de la entrada en vigor del presente Reglamento. Con el mismo fin, la Comisión solicitará un dictamen a la Agencia Europea de Sustancias y Mezclas Químicas sobre la seguridad del plomo, el cadmio, el mercurio y el cromo</w:t>
      </w:r>
      <w:r w:rsidR="008F62CD" w:rsidRPr="00B10379">
        <w:t xml:space="preserve"> </w:t>
      </w:r>
      <w:r w:rsidRPr="00B10379">
        <w:t>(VI) en los juguetes, habida cuenta de la exposición global, en un plazo de 24 meses a partir de la entrada en vigor del presente Reglamento.</w:t>
      </w:r>
      <w:bookmarkEnd w:id="10"/>
    </w:p>
    <w:sectPr w:rsidR="00E365E1" w:rsidRPr="00B10379" w:rsidSect="00DB22C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30E2C" w14:textId="77777777" w:rsidR="009F391C" w:rsidRPr="00DB22C6" w:rsidRDefault="009F391C">
      <w:r w:rsidRPr="00DB22C6">
        <w:separator/>
      </w:r>
    </w:p>
  </w:endnote>
  <w:endnote w:type="continuationSeparator" w:id="0">
    <w:p w14:paraId="3B60EF5F" w14:textId="77777777" w:rsidR="009F391C" w:rsidRPr="00DB22C6" w:rsidRDefault="009F391C">
      <w:r w:rsidRPr="00DB22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6BBA2" w14:textId="77777777" w:rsidR="00064002" w:rsidRPr="00DB22C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92105" w14:textId="77777777" w:rsidR="00064002" w:rsidRPr="00DB22C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9CF09" w14:textId="77777777" w:rsidR="00064002" w:rsidRPr="00DB22C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220EB" w14:textId="77777777" w:rsidR="009F391C" w:rsidRPr="00DB22C6" w:rsidRDefault="009F391C">
      <w:r w:rsidRPr="00DB22C6">
        <w:separator/>
      </w:r>
    </w:p>
  </w:footnote>
  <w:footnote w:type="continuationSeparator" w:id="0">
    <w:p w14:paraId="3A452CEC" w14:textId="77777777" w:rsidR="009F391C" w:rsidRPr="00DB22C6" w:rsidRDefault="009F391C">
      <w:r w:rsidRPr="00DB22C6">
        <w:continuationSeparator/>
      </w:r>
    </w:p>
  </w:footnote>
  <w:footnote w:id="1">
    <w:p w14:paraId="1B2E6F2E" w14:textId="69F4D85B" w:rsidR="003F5FDE" w:rsidRPr="00B10379" w:rsidRDefault="003F5FDE" w:rsidP="00DB22C6">
      <w:pPr>
        <w:pStyle w:val="FootnoteText"/>
        <w:ind w:left="567" w:hanging="567"/>
        <w:rPr>
          <w:sz w:val="24"/>
          <w:lang w:val="pt-PT"/>
        </w:rPr>
      </w:pPr>
      <w:r w:rsidRPr="00DB22C6">
        <w:rPr>
          <w:rStyle w:val="FootnoteReference"/>
          <w:sz w:val="24"/>
          <w:lang w:val="es-ES_tradnl"/>
        </w:rPr>
        <w:footnoteRef/>
      </w:r>
      <w:r w:rsidR="00DB22C6" w:rsidRPr="00B10379">
        <w:rPr>
          <w:sz w:val="24"/>
          <w:lang w:val="pt-PT"/>
        </w:rPr>
        <w:t xml:space="preserve"> </w:t>
      </w:r>
      <w:r w:rsidR="00DB22C6" w:rsidRPr="00B10379">
        <w:rPr>
          <w:sz w:val="24"/>
          <w:lang w:val="pt-PT"/>
        </w:rPr>
        <w:tab/>
      </w:r>
      <w:r w:rsidRPr="00B10379">
        <w:rPr>
          <w:sz w:val="24"/>
          <w:lang w:val="pt-PT"/>
        </w:rPr>
        <w:t xml:space="preserve">DO C, C/2024/1577, 5.3.2024, ELI: </w:t>
      </w:r>
      <w:r w:rsidR="00263A05">
        <w:fldChar w:fldCharType="begin"/>
      </w:r>
      <w:r w:rsidR="00263A05" w:rsidRPr="00263A05">
        <w:rPr>
          <w:lang w:val="pt-PT"/>
          <w:rPrChange w:id="8" w:author="Fernan Rodriguez" w:date="2026-01-27T15:08:00Z">
            <w:rPr/>
          </w:rPrChange>
        </w:rPr>
        <w:instrText>HYPERLINK "http://data.europa.eu/eli/C/2024/1577/oj"</w:instrText>
      </w:r>
      <w:r w:rsidR="00263A05">
        <w:fldChar w:fldCharType="separate"/>
      </w:r>
      <w:r w:rsidR="00FA0D8A" w:rsidRPr="00B10379">
        <w:rPr>
          <w:rStyle w:val="Hyperlink"/>
          <w:sz w:val="24"/>
          <w:lang w:val="pt-PT"/>
        </w:rPr>
        <w:t>http://data.europa.eu/eli/C/2024/1577/oj</w:t>
      </w:r>
      <w:r w:rsidR="00263A05">
        <w:rPr>
          <w:rStyle w:val="Hyperlink"/>
          <w:sz w:val="24"/>
          <w:lang w:val="pt-PT"/>
        </w:rPr>
        <w:fldChar w:fldCharType="end"/>
      </w:r>
      <w:r w:rsidRPr="00B10379">
        <w:rPr>
          <w:sz w:val="24"/>
          <w:lang w:val="pt-PT"/>
        </w:rPr>
        <w:t>.</w:t>
      </w:r>
    </w:p>
  </w:footnote>
  <w:footnote w:id="2">
    <w:p w14:paraId="5F6BFCF1" w14:textId="224B0B39" w:rsidR="003F5FDE" w:rsidRPr="00B10379" w:rsidRDefault="003F5FDE" w:rsidP="00DB22C6">
      <w:pPr>
        <w:pStyle w:val="FootnoteText"/>
        <w:ind w:left="567" w:hanging="567"/>
        <w:rPr>
          <w:sz w:val="24"/>
          <w:lang w:val="pt-PT"/>
        </w:rPr>
      </w:pPr>
      <w:r w:rsidRPr="00DB22C6">
        <w:rPr>
          <w:rStyle w:val="FootnoteReference"/>
          <w:sz w:val="24"/>
          <w:lang w:val="es-ES_tradnl"/>
        </w:rPr>
        <w:footnoteRef/>
      </w:r>
      <w:r w:rsidR="00DB22C6" w:rsidRPr="00B10379">
        <w:rPr>
          <w:sz w:val="24"/>
          <w:lang w:val="pt-PT"/>
        </w:rPr>
        <w:t xml:space="preserve"> </w:t>
      </w:r>
      <w:r w:rsidR="00DB22C6" w:rsidRPr="00B10379">
        <w:rPr>
          <w:sz w:val="24"/>
          <w:lang w:val="pt-PT"/>
        </w:rPr>
        <w:tab/>
      </w:r>
      <w:r w:rsidRPr="00B10379">
        <w:rPr>
          <w:sz w:val="24"/>
          <w:lang w:val="pt-PT"/>
        </w:rPr>
        <w:t xml:space="preserve">DO C, C/2025/1032, 27.2.2025, ELI: </w:t>
      </w:r>
      <w:hyperlink r:id="rId1" w:history="1">
        <w:r w:rsidR="00FA0D8A" w:rsidRPr="00B10379">
          <w:rPr>
            <w:rStyle w:val="Hyperlink"/>
            <w:sz w:val="24"/>
            <w:lang w:val="pt-PT"/>
          </w:rPr>
          <w:t>http://data.europa.eu/eli/C/2025/1032/oj</w:t>
        </w:r>
      </w:hyperlink>
      <w:r w:rsidRPr="00B10379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02B4A" w14:textId="77777777" w:rsidR="00064002" w:rsidRPr="00DB22C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F24D9" w14:textId="77777777" w:rsidR="00064002" w:rsidRPr="00DB22C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6D18B" w14:textId="77777777" w:rsidR="00064002" w:rsidRPr="00DB22C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8766764">
    <w:abstractNumId w:val="9"/>
  </w:num>
  <w:num w:numId="2" w16cid:durableId="40595780">
    <w:abstractNumId w:val="9"/>
  </w:num>
  <w:num w:numId="3" w16cid:durableId="106972747">
    <w:abstractNumId w:val="7"/>
  </w:num>
  <w:num w:numId="4" w16cid:durableId="536238961">
    <w:abstractNumId w:val="7"/>
  </w:num>
  <w:num w:numId="5" w16cid:durableId="1450586474">
    <w:abstractNumId w:val="6"/>
  </w:num>
  <w:num w:numId="6" w16cid:durableId="1604412040">
    <w:abstractNumId w:val="6"/>
  </w:num>
  <w:num w:numId="7" w16cid:durableId="1701587984">
    <w:abstractNumId w:val="5"/>
  </w:num>
  <w:num w:numId="8" w16cid:durableId="1233587296">
    <w:abstractNumId w:val="5"/>
  </w:num>
  <w:num w:numId="9" w16cid:durableId="1076561327">
    <w:abstractNumId w:val="4"/>
  </w:num>
  <w:num w:numId="10" w16cid:durableId="1508593501">
    <w:abstractNumId w:val="4"/>
  </w:num>
  <w:num w:numId="11" w16cid:durableId="1264459799">
    <w:abstractNumId w:val="8"/>
  </w:num>
  <w:num w:numId="12" w16cid:durableId="2111462147">
    <w:abstractNumId w:val="8"/>
  </w:num>
  <w:num w:numId="13" w16cid:durableId="1225217158">
    <w:abstractNumId w:val="3"/>
  </w:num>
  <w:num w:numId="14" w16cid:durableId="1012727963">
    <w:abstractNumId w:val="3"/>
  </w:num>
  <w:num w:numId="15" w16cid:durableId="1490823946">
    <w:abstractNumId w:val="2"/>
  </w:num>
  <w:num w:numId="16" w16cid:durableId="1144469746">
    <w:abstractNumId w:val="2"/>
  </w:num>
  <w:num w:numId="17" w16cid:durableId="1307511398">
    <w:abstractNumId w:val="1"/>
  </w:num>
  <w:num w:numId="18" w16cid:durableId="1944805619">
    <w:abstractNumId w:val="1"/>
  </w:num>
  <w:num w:numId="19" w16cid:durableId="1782600991">
    <w:abstractNumId w:val="0"/>
  </w:num>
  <w:num w:numId="20" w16cid:durableId="1904948682">
    <w:abstractNumId w:val="0"/>
  </w:num>
  <w:num w:numId="21" w16cid:durableId="1249117518">
    <w:abstractNumId w:val="9"/>
  </w:num>
  <w:num w:numId="22" w16cid:durableId="1599214006">
    <w:abstractNumId w:val="7"/>
  </w:num>
  <w:num w:numId="23" w16cid:durableId="1043868136">
    <w:abstractNumId w:val="6"/>
  </w:num>
  <w:num w:numId="24" w16cid:durableId="793838811">
    <w:abstractNumId w:val="5"/>
  </w:num>
  <w:num w:numId="25" w16cid:durableId="2005742622">
    <w:abstractNumId w:val="4"/>
  </w:num>
  <w:num w:numId="26" w16cid:durableId="1938321997">
    <w:abstractNumId w:val="8"/>
  </w:num>
  <w:num w:numId="27" w16cid:durableId="1594586476">
    <w:abstractNumId w:val="3"/>
  </w:num>
  <w:num w:numId="28" w16cid:durableId="1722436225">
    <w:abstractNumId w:val="2"/>
  </w:num>
  <w:num w:numId="29" w16cid:durableId="1033072010">
    <w:abstractNumId w:val="1"/>
  </w:num>
  <w:num w:numId="30" w16cid:durableId="1067145285">
    <w:abstractNumId w:val="0"/>
  </w:num>
  <w:num w:numId="31" w16cid:durableId="1367870015">
    <w:abstractNumId w:val="9"/>
  </w:num>
  <w:num w:numId="32" w16cid:durableId="186791876">
    <w:abstractNumId w:val="7"/>
  </w:num>
  <w:num w:numId="33" w16cid:durableId="98988614">
    <w:abstractNumId w:val="6"/>
  </w:num>
  <w:num w:numId="34" w16cid:durableId="1931616198">
    <w:abstractNumId w:val="5"/>
  </w:num>
  <w:num w:numId="35" w16cid:durableId="1808551293">
    <w:abstractNumId w:val="4"/>
  </w:num>
  <w:num w:numId="36" w16cid:durableId="1740857406">
    <w:abstractNumId w:val="8"/>
  </w:num>
  <w:num w:numId="37" w16cid:durableId="1222251674">
    <w:abstractNumId w:val="3"/>
  </w:num>
  <w:num w:numId="38" w16cid:durableId="293339909">
    <w:abstractNumId w:val="2"/>
  </w:num>
  <w:num w:numId="39" w16cid:durableId="735393958">
    <w:abstractNumId w:val="1"/>
  </w:num>
  <w:num w:numId="40" w16cid:durableId="1115640665">
    <w:abstractNumId w:val="0"/>
  </w:num>
  <w:num w:numId="41" w16cid:durableId="2141535069">
    <w:abstractNumId w:val="10"/>
  </w:num>
  <w:num w:numId="42" w16cid:durableId="362093535">
    <w:abstractNumId w:val="10"/>
  </w:num>
  <w:num w:numId="43" w16cid:durableId="852184781">
    <w:abstractNumId w:val="10"/>
  </w:num>
  <w:num w:numId="44" w16cid:durableId="723986241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Fernan Rodriguez">
    <w15:presenceInfo w15:providerId="None" w15:userId="Fernan Rodrigue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7/2025"/>
    <w:docVar w:name="dvlangue" w:val="ES"/>
    <w:docVar w:name="dvnumam" w:val="0"/>
    <w:docVar w:name="dvpe" w:val="779.456"/>
    <w:docVar w:name="dvrapporteur" w:val="Ponente: "/>
    <w:docVar w:name="dvstar" w:val="***II"/>
    <w:docVar w:name="dvtitre" w:val="Resolución legislativa del Parlamento Europeo, de 25 de noviembre de 2025, sobre la Posición del Consejo en primera lectura con vistas a la adopción del Reglamento del Parlamento Europeo y del Consejo relativo a la seguridad de los juguetes y por el que se deroga la Directiva 2009/48/CE(09663/1/2025 – C10-0251/2025 – 2023/0290(COD))"/>
  </w:docVars>
  <w:rsids>
    <w:rsidRoot w:val="009F391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3A05"/>
    <w:rsid w:val="002767FF"/>
    <w:rsid w:val="002B18FE"/>
    <w:rsid w:val="002B5493"/>
    <w:rsid w:val="00343214"/>
    <w:rsid w:val="00361C00"/>
    <w:rsid w:val="00395FA1"/>
    <w:rsid w:val="003E15D4"/>
    <w:rsid w:val="003F5FD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019D"/>
    <w:rsid w:val="00751A4A"/>
    <w:rsid w:val="00756632"/>
    <w:rsid w:val="00762C74"/>
    <w:rsid w:val="00786EC0"/>
    <w:rsid w:val="007D1690"/>
    <w:rsid w:val="007E22AD"/>
    <w:rsid w:val="00817416"/>
    <w:rsid w:val="00842779"/>
    <w:rsid w:val="008428C4"/>
    <w:rsid w:val="00865F67"/>
    <w:rsid w:val="00881A7B"/>
    <w:rsid w:val="008840E5"/>
    <w:rsid w:val="00887B3E"/>
    <w:rsid w:val="008C2AC6"/>
    <w:rsid w:val="008F62CD"/>
    <w:rsid w:val="00930C23"/>
    <w:rsid w:val="0093193B"/>
    <w:rsid w:val="009509D8"/>
    <w:rsid w:val="00950B64"/>
    <w:rsid w:val="00981893"/>
    <w:rsid w:val="009F391C"/>
    <w:rsid w:val="00A164BE"/>
    <w:rsid w:val="00A1687D"/>
    <w:rsid w:val="00A43E52"/>
    <w:rsid w:val="00A4678D"/>
    <w:rsid w:val="00A778C7"/>
    <w:rsid w:val="00AB441E"/>
    <w:rsid w:val="00AB6293"/>
    <w:rsid w:val="00AE0928"/>
    <w:rsid w:val="00AF3B82"/>
    <w:rsid w:val="00B10379"/>
    <w:rsid w:val="00B12E95"/>
    <w:rsid w:val="00B22876"/>
    <w:rsid w:val="00B558F0"/>
    <w:rsid w:val="00BD48FE"/>
    <w:rsid w:val="00BD7BD8"/>
    <w:rsid w:val="00BE6ADC"/>
    <w:rsid w:val="00C05BFE"/>
    <w:rsid w:val="00C23CD4"/>
    <w:rsid w:val="00C34A32"/>
    <w:rsid w:val="00C61C0C"/>
    <w:rsid w:val="00C941CB"/>
    <w:rsid w:val="00CC2357"/>
    <w:rsid w:val="00CD5063"/>
    <w:rsid w:val="00CF071A"/>
    <w:rsid w:val="00D058B8"/>
    <w:rsid w:val="00D56C11"/>
    <w:rsid w:val="00D834A0"/>
    <w:rsid w:val="00D872DF"/>
    <w:rsid w:val="00D91E21"/>
    <w:rsid w:val="00DA7FCD"/>
    <w:rsid w:val="00DB22C6"/>
    <w:rsid w:val="00E0152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D8A"/>
    <w:rsid w:val="00FB4360"/>
    <w:rsid w:val="00FD0C70"/>
    <w:rsid w:val="00FE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46865C"/>
  <w15:chartTrackingRefBased/>
  <w15:docId w15:val="{DBCF3B48-43A1-4963-8BE9-43FB1B78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F5FDE"/>
    <w:pPr>
      <w:spacing w:before="480" w:after="240"/>
    </w:pPr>
  </w:style>
  <w:style w:type="paragraph" w:customStyle="1" w:styleId="PageHeading">
    <w:name w:val="PageHeading"/>
    <w:basedOn w:val="Normal"/>
    <w:rsid w:val="003F5FD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3F5FDE"/>
    <w:rPr>
      <w:b/>
    </w:rPr>
  </w:style>
  <w:style w:type="paragraph" w:customStyle="1" w:styleId="NormalHanging12a">
    <w:name w:val="NormalHanging12a"/>
    <w:basedOn w:val="Normal"/>
    <w:rsid w:val="003F5FD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A0D8A"/>
    <w:rPr>
      <w:sz w:val="24"/>
      <w:lang w:val="es-ES_tradnl"/>
    </w:rPr>
  </w:style>
  <w:style w:type="character" w:styleId="Hyperlink">
    <w:name w:val="Hyperlink"/>
    <w:basedOn w:val="DefaultParagraphFont"/>
    <w:rsid w:val="00FA0D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0D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03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516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Relfinale</dc:creator>
  <cp:keywords/>
  <cp:lastModifiedBy>Fernan Rodriguez</cp:lastModifiedBy>
  <cp:revision>2</cp:revision>
  <cp:lastPrinted>2004-11-19T15:42:00Z</cp:lastPrinted>
  <dcterms:created xsi:type="dcterms:W3CDTF">2026-01-27T14:10:00Z</dcterms:created>
  <dcterms:modified xsi:type="dcterms:W3CDTF">2026-01-27T14:10:00Z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P10_TA(2025)0279_</vt:lpwstr>
  </property>
  <property fmtid="{D5CDD505-2E9C-101B-9397-08002B2CF9AE}" pid="4" name="&lt;Type&gt;">
    <vt:lpwstr>RR</vt:lpwstr>
  </property>
</Properties>
</file>