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09AA" w14:paraId="02FE72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D404F4" w14:textId="77777777" w:rsidR="00751A4A" w:rsidRPr="00FB09AA" w:rsidRDefault="00EF346C" w:rsidP="0010095E">
            <w:pPr>
              <w:pStyle w:val="EPName"/>
            </w:pPr>
            <w:r w:rsidRPr="00FB09AA">
              <w:t>Europos Parlamentas</w:t>
            </w:r>
          </w:p>
          <w:p w14:paraId="16CED26B" w14:textId="77777777" w:rsidR="00751A4A" w:rsidRPr="00FB09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09AA">
              <w:t>2024</w:t>
            </w:r>
            <w:r w:rsidR="00817416" w:rsidRPr="00FB09AA">
              <w:t>-202</w:t>
            </w:r>
            <w:r w:rsidRPr="00FB09AA">
              <w:t>9</w:t>
            </w:r>
          </w:p>
        </w:tc>
        <w:tc>
          <w:tcPr>
            <w:tcW w:w="2268" w:type="dxa"/>
            <w:shd w:val="clear" w:color="auto" w:fill="auto"/>
          </w:tcPr>
          <w:p w14:paraId="176B1B2E" w14:textId="77777777" w:rsidR="00751A4A" w:rsidRPr="00FB09AA" w:rsidRDefault="00187494" w:rsidP="0010095E">
            <w:pPr>
              <w:pStyle w:val="EPLogo"/>
            </w:pPr>
            <w:r w:rsidRPr="00FB09AA">
              <w:rPr>
                <w:noProof/>
                <w:lang w:eastAsia="ja-JP"/>
              </w:rPr>
              <w:drawing>
                <wp:inline distT="0" distB="0" distL="0" distR="0" wp14:anchorId="569A3B1E" wp14:editId="75DAD9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6A3B5B" w14:textId="77777777" w:rsidR="00D058B8" w:rsidRPr="00FB09AA" w:rsidRDefault="00D058B8" w:rsidP="004C5D52">
      <w:pPr>
        <w:pStyle w:val="LineTop"/>
      </w:pPr>
    </w:p>
    <w:p w14:paraId="6473FBB5" w14:textId="77777777" w:rsidR="00680577" w:rsidRPr="00FB09AA" w:rsidRDefault="00EF346C" w:rsidP="00680577">
      <w:pPr>
        <w:pStyle w:val="EPBodyTA1"/>
      </w:pPr>
      <w:r w:rsidRPr="00FB09AA">
        <w:t>PRIIMTI TEKSTAI</w:t>
      </w:r>
    </w:p>
    <w:p w14:paraId="508C4404" w14:textId="77777777" w:rsidR="00D058B8" w:rsidRPr="00FB09AA" w:rsidRDefault="00D058B8" w:rsidP="00D058B8">
      <w:pPr>
        <w:pStyle w:val="LineBottom"/>
      </w:pPr>
    </w:p>
    <w:p w14:paraId="301A318F" w14:textId="0D347F2B" w:rsidR="00EF346C" w:rsidRPr="00FB09AA" w:rsidRDefault="00EF346C" w:rsidP="00EF346C">
      <w:pPr>
        <w:pStyle w:val="ATHeading1"/>
      </w:pPr>
      <w:bookmarkStart w:id="0" w:name="TANumber"/>
      <w:r w:rsidRPr="00FB09AA">
        <w:t>P10_TA(2025)0</w:t>
      </w:r>
      <w:r w:rsidR="00717765">
        <w:t>279</w:t>
      </w:r>
      <w:bookmarkEnd w:id="0"/>
    </w:p>
    <w:p w14:paraId="77EC0832" w14:textId="10845F33" w:rsidR="00EF346C" w:rsidRPr="00FB09AA" w:rsidRDefault="005E5124" w:rsidP="00EF346C">
      <w:pPr>
        <w:pStyle w:val="ATHeading2"/>
      </w:pPr>
      <w:bookmarkStart w:id="1" w:name="title"/>
      <w:r w:rsidRPr="005E5124">
        <w:t>Žaislų saug</w:t>
      </w:r>
      <w:r>
        <w:t>a</w:t>
      </w:r>
      <w:r w:rsidRPr="005E5124">
        <w:t xml:space="preserve"> </w:t>
      </w:r>
      <w:r>
        <w:t xml:space="preserve">ir </w:t>
      </w:r>
      <w:r w:rsidRPr="005E5124">
        <w:t>Direktyv</w:t>
      </w:r>
      <w:r>
        <w:t>os</w:t>
      </w:r>
      <w:r w:rsidRPr="005E5124">
        <w:t xml:space="preserve"> 2009/48/EB </w:t>
      </w:r>
      <w:r>
        <w:t>panaikinimas</w:t>
      </w:r>
      <w:bookmarkEnd w:id="1"/>
    </w:p>
    <w:p w14:paraId="350370C8" w14:textId="77777777" w:rsidR="00EF346C" w:rsidRPr="00FB09AA" w:rsidRDefault="00EF346C" w:rsidP="00EF346C">
      <w:pPr>
        <w:rPr>
          <w:i/>
          <w:vanish/>
        </w:rPr>
      </w:pPr>
      <w:r w:rsidRPr="00FB09AA">
        <w:rPr>
          <w:i/>
        </w:rPr>
        <w:fldChar w:fldCharType="begin"/>
      </w:r>
      <w:r w:rsidRPr="00FB09AA">
        <w:rPr>
          <w:i/>
        </w:rPr>
        <w:instrText xml:space="preserve"> TC"(</w:instrText>
      </w:r>
      <w:bookmarkStart w:id="2" w:name="DocNumber"/>
      <w:r w:rsidRPr="00FB09AA">
        <w:rPr>
          <w:i/>
        </w:rPr>
        <w:instrText>A10-0227/2025</w:instrText>
      </w:r>
      <w:bookmarkEnd w:id="2"/>
      <w:r w:rsidRPr="00FB09AA">
        <w:rPr>
          <w:i/>
        </w:rPr>
        <w:instrText xml:space="preserve"> - Pranešėja: Marion Walsmann)"\l3 \n&gt; \* MERGEFORMAT </w:instrText>
      </w:r>
      <w:r w:rsidRPr="00FB09AA">
        <w:rPr>
          <w:i/>
        </w:rPr>
        <w:fldChar w:fldCharType="end"/>
      </w:r>
    </w:p>
    <w:p w14:paraId="600A83FE" w14:textId="77777777" w:rsidR="00EF346C" w:rsidRPr="00FB09AA" w:rsidRDefault="00EF346C" w:rsidP="00EF346C">
      <w:pPr>
        <w:rPr>
          <w:vanish/>
        </w:rPr>
      </w:pPr>
      <w:bookmarkStart w:id="3" w:name="Commission"/>
      <w:r w:rsidRPr="00FB09AA">
        <w:rPr>
          <w:vanish/>
        </w:rPr>
        <w:t>Vidaus rinkos ir vartotojų apsaugos komitetas</w:t>
      </w:r>
      <w:bookmarkEnd w:id="3"/>
    </w:p>
    <w:p w14:paraId="0E76913A" w14:textId="77777777" w:rsidR="00EF346C" w:rsidRPr="00FB09AA" w:rsidRDefault="00EF346C" w:rsidP="00EF346C">
      <w:pPr>
        <w:rPr>
          <w:vanish/>
        </w:rPr>
      </w:pPr>
      <w:bookmarkStart w:id="4" w:name="PE"/>
      <w:r w:rsidRPr="00FB09AA">
        <w:rPr>
          <w:vanish/>
        </w:rPr>
        <w:t>PE779.456</w:t>
      </w:r>
      <w:bookmarkEnd w:id="4"/>
    </w:p>
    <w:p w14:paraId="75AE0B66" w14:textId="4144D4DC" w:rsidR="00EF346C" w:rsidRPr="00FB09AA" w:rsidRDefault="00EF346C" w:rsidP="00EF346C">
      <w:pPr>
        <w:pStyle w:val="ATHeading3"/>
      </w:pPr>
      <w:bookmarkStart w:id="5" w:name="Sujet"/>
      <w:r w:rsidRPr="00FB09AA">
        <w:t xml:space="preserve">2025 m. </w:t>
      </w:r>
      <w:r w:rsidR="00032850" w:rsidRPr="00FB09AA">
        <w:t>lapkričio</w:t>
      </w:r>
      <w:r w:rsidRPr="00FB09AA">
        <w:t xml:space="preserve"> </w:t>
      </w:r>
      <w:r w:rsidR="00032850">
        <w:t>25</w:t>
      </w:r>
      <w:r w:rsidRPr="00FB09AA">
        <w:t xml:space="preserve"> d. Europos Parlamento teisėkūros rezoliucija dėl per pirmąjį svarstymą priimtos Tarybos pozicijos siekiant priimti Europos Parlamento ir Tarybos reglamentą dėl žaislų saugos, kuriuo panaikinama Direktyva 2009/48/EB</w:t>
      </w:r>
      <w:bookmarkEnd w:id="5"/>
      <w:r w:rsidRPr="00FB09AA">
        <w:t xml:space="preserve"> </w:t>
      </w:r>
      <w:bookmarkStart w:id="6" w:name="References"/>
      <w:r w:rsidRPr="00FB09AA">
        <w:t>(09663/1/2025 – C10-0251/2025 – 2023/0290(COD))</w:t>
      </w:r>
      <w:bookmarkEnd w:id="6"/>
    </w:p>
    <w:p w14:paraId="30F84423" w14:textId="77777777" w:rsidR="00EF346C" w:rsidRPr="00FB09AA" w:rsidRDefault="00EF346C" w:rsidP="00EF346C"/>
    <w:p w14:paraId="2C8E4D8A" w14:textId="77777777" w:rsidR="004F176B" w:rsidRPr="00FB09AA" w:rsidRDefault="004F176B" w:rsidP="004F176B">
      <w:pPr>
        <w:pStyle w:val="NormalBold"/>
      </w:pPr>
      <w:bookmarkStart w:id="7" w:name="TextBodyBegin"/>
      <w:bookmarkEnd w:id="7"/>
      <w:r w:rsidRPr="00FB09AA">
        <w:t>(Įprasta teisėkūros procedūra: antrasis svarstymas)</w:t>
      </w:r>
    </w:p>
    <w:p w14:paraId="6A416B3E" w14:textId="77777777" w:rsidR="004F176B" w:rsidRPr="00FB09AA" w:rsidRDefault="004F176B" w:rsidP="004F176B">
      <w:pPr>
        <w:pStyle w:val="EPComma"/>
      </w:pPr>
      <w:r w:rsidRPr="00FB09AA">
        <w:rPr>
          <w:i/>
        </w:rPr>
        <w:t>Europos Parlamentas</w:t>
      </w:r>
      <w:r w:rsidRPr="00FB09AA">
        <w:t>,</w:t>
      </w:r>
    </w:p>
    <w:p w14:paraId="6ABC07A2" w14:textId="77777777" w:rsidR="004F176B" w:rsidRPr="00FB09AA" w:rsidRDefault="004F176B" w:rsidP="004F176B">
      <w:pPr>
        <w:pStyle w:val="NormalHanging12a"/>
      </w:pPr>
      <w:r w:rsidRPr="00FB09AA">
        <w:t>–</w:t>
      </w:r>
      <w:r w:rsidRPr="00FB09AA">
        <w:tab/>
        <w:t>atsižvelgdamas į per pirmąjį svarstymą priimtą Tarybos poziciją (09663/1/2025 – C10</w:t>
      </w:r>
      <w:r w:rsidRPr="00FB09AA">
        <w:noBreakHyphen/>
        <w:t>0251/2025),</w:t>
      </w:r>
    </w:p>
    <w:p w14:paraId="4A7DB116" w14:textId="77777777" w:rsidR="004F176B" w:rsidRPr="00FB09AA" w:rsidRDefault="004F176B" w:rsidP="004F176B">
      <w:pPr>
        <w:pStyle w:val="NormalHanging12a"/>
      </w:pPr>
      <w:r w:rsidRPr="00FB09AA">
        <w:t>–</w:t>
      </w:r>
      <w:r w:rsidRPr="00FB09AA">
        <w:tab/>
        <w:t>atsižvelgdamas į 2023 m. gruodžio 13 d. Europos ekonomikos ir socialinių reikalų komiteto nuomonę</w:t>
      </w:r>
      <w:r w:rsidRPr="00FB09AA">
        <w:rPr>
          <w:rStyle w:val="FootnoteReference"/>
        </w:rPr>
        <w:footnoteReference w:id="1"/>
      </w:r>
      <w:r w:rsidRPr="00FB09AA">
        <w:t>,</w:t>
      </w:r>
    </w:p>
    <w:p w14:paraId="52FF6DA9" w14:textId="04ED7A47" w:rsidR="004F176B" w:rsidRPr="00FB09AA" w:rsidRDefault="004F176B" w:rsidP="004F176B">
      <w:pPr>
        <w:pStyle w:val="NormalHanging12a"/>
      </w:pPr>
      <w:r w:rsidRPr="00FB09AA">
        <w:t>–</w:t>
      </w:r>
      <w:r w:rsidRPr="00FB09AA">
        <w:tab/>
        <w:t>atsižvelgdamas į per pirmąjį svarstymą priimtą savo poziciją</w:t>
      </w:r>
      <w:r w:rsidRPr="00FB09AA">
        <w:rPr>
          <w:rStyle w:val="FootnoteReference"/>
        </w:rPr>
        <w:footnoteReference w:id="2"/>
      </w:r>
      <w:r w:rsidRPr="00FB09AA">
        <w:t xml:space="preserve"> dėl Komisijos pasiūlymo Europos Parlamentui ir Tarybai (COM(2023)</w:t>
      </w:r>
      <w:r w:rsidR="00032850">
        <w:t>0</w:t>
      </w:r>
      <w:r w:rsidRPr="00FB09AA">
        <w:t>462),</w:t>
      </w:r>
    </w:p>
    <w:p w14:paraId="2C1ECFFA" w14:textId="77777777" w:rsidR="004F176B" w:rsidRPr="00FB09AA" w:rsidRDefault="004F176B" w:rsidP="004F176B">
      <w:pPr>
        <w:pStyle w:val="NormalHanging12a"/>
      </w:pPr>
      <w:r w:rsidRPr="00FB09AA">
        <w:t>–</w:t>
      </w:r>
      <w:r w:rsidRPr="00FB09AA">
        <w:tab/>
        <w:t>atsižvelgdamas į Sutarties dėl Europos Sąjungos veikimo 294 straipsnio 7 dalį,</w:t>
      </w:r>
    </w:p>
    <w:p w14:paraId="351D6CA8" w14:textId="77777777" w:rsidR="004F176B" w:rsidRPr="00FB09AA" w:rsidRDefault="004F176B" w:rsidP="004F176B">
      <w:pPr>
        <w:pStyle w:val="NormalHanging12a"/>
      </w:pPr>
      <w:r w:rsidRPr="00FB09AA">
        <w:t>–</w:t>
      </w:r>
      <w:r w:rsidRPr="00FB09AA">
        <w:tab/>
        <w:t>atsižvelgdamas į preliminarų susitarimą, kurį atsakingas komitetas patvirtino pagal Darbo tvarkos taisyklių 75 straipsnio 4 dalį,</w:t>
      </w:r>
    </w:p>
    <w:p w14:paraId="44DE43C5" w14:textId="77777777" w:rsidR="004F176B" w:rsidRPr="00FB09AA" w:rsidRDefault="004F176B" w:rsidP="004F176B">
      <w:pPr>
        <w:pStyle w:val="NormalHanging12a"/>
      </w:pPr>
      <w:r w:rsidRPr="00FB09AA">
        <w:t>–</w:t>
      </w:r>
      <w:r w:rsidRPr="00FB09AA">
        <w:tab/>
        <w:t>atsižvelgdamas į Darbo tvarkos taisyklių 68 straipsnį,</w:t>
      </w:r>
    </w:p>
    <w:p w14:paraId="1DDAB522" w14:textId="77777777" w:rsidR="004F176B" w:rsidRPr="00FB09AA" w:rsidRDefault="004F176B" w:rsidP="004F176B">
      <w:pPr>
        <w:pStyle w:val="NormalHanging12a"/>
      </w:pPr>
      <w:r w:rsidRPr="00FB09AA">
        <w:t>–</w:t>
      </w:r>
      <w:r w:rsidRPr="00FB09AA">
        <w:tab/>
        <w:t>atsižvelgdamas į Vidaus rinkos ir vartotojų apsaugos komiteto rekomendaciją antrajam svarstymui (A10-0227/2025),</w:t>
      </w:r>
    </w:p>
    <w:p w14:paraId="6A63A7A6" w14:textId="77777777" w:rsidR="004F176B" w:rsidRPr="00FB09AA" w:rsidRDefault="004F176B" w:rsidP="004F176B">
      <w:pPr>
        <w:pStyle w:val="NormalHanging12a"/>
      </w:pPr>
      <w:r w:rsidRPr="00FB09AA">
        <w:t>1.</w:t>
      </w:r>
      <w:r w:rsidRPr="00FB09AA">
        <w:tab/>
        <w:t>pritaria per pirmąjį svarstymą priimtai Tarybos pozicijai;</w:t>
      </w:r>
    </w:p>
    <w:p w14:paraId="0C238464" w14:textId="77777777" w:rsidR="004F176B" w:rsidRPr="00FB09AA" w:rsidRDefault="004F176B" w:rsidP="004F176B">
      <w:pPr>
        <w:pStyle w:val="NormalHanging12a"/>
      </w:pPr>
      <w:r w:rsidRPr="00FB09AA">
        <w:t>2.</w:t>
      </w:r>
      <w:r w:rsidRPr="00FB09AA">
        <w:tab/>
        <w:t xml:space="preserve">atsižvelgia į Komisijos pareiškimą, pridėtą prie šios rezoliucijos; jis bus paskelbtas </w:t>
      </w:r>
      <w:r w:rsidRPr="00FB09AA">
        <w:rPr>
          <w:i/>
        </w:rPr>
        <w:lastRenderedPageBreak/>
        <w:t>Europos Sąjungos oficialiojo leidinio</w:t>
      </w:r>
      <w:r w:rsidRPr="00FB09AA">
        <w:t xml:space="preserve"> C serijoje;</w:t>
      </w:r>
    </w:p>
    <w:p w14:paraId="499AB82F" w14:textId="77777777" w:rsidR="004F176B" w:rsidRPr="00FB09AA" w:rsidRDefault="004F176B" w:rsidP="004F176B">
      <w:pPr>
        <w:pStyle w:val="NormalHanging12a"/>
      </w:pPr>
      <w:r w:rsidRPr="00FB09AA">
        <w:t>3.</w:t>
      </w:r>
      <w:r w:rsidRPr="00FB09AA">
        <w:tab/>
        <w:t>pažymi, kad aktas priimtas remiantis Tarybos pozicija;</w:t>
      </w:r>
    </w:p>
    <w:p w14:paraId="4F98C455" w14:textId="77777777" w:rsidR="004F176B" w:rsidRPr="00FB09AA" w:rsidRDefault="004F176B" w:rsidP="004F176B">
      <w:pPr>
        <w:pStyle w:val="NormalHanging12a"/>
      </w:pPr>
      <w:r w:rsidRPr="00FB09AA">
        <w:t>4.</w:t>
      </w:r>
      <w:r w:rsidRPr="00FB09AA">
        <w:tab/>
        <w:t>paveda Pirmininkei pasirašyti aktą su Tarybos Pirmininke pagal Sutarties dėl Europos Sąjungos veikimo 297 straipsnio 1 dalį;</w:t>
      </w:r>
    </w:p>
    <w:p w14:paraId="32B0C1E1" w14:textId="77777777" w:rsidR="004F176B" w:rsidRPr="00FB09AA" w:rsidRDefault="004F176B" w:rsidP="004F176B">
      <w:pPr>
        <w:pStyle w:val="NormalHanging12a"/>
      </w:pPr>
      <w:r w:rsidRPr="00FB09AA">
        <w:t>5.</w:t>
      </w:r>
      <w:r w:rsidRPr="00FB09AA">
        <w:tab/>
        <w:t xml:space="preserve">paveda generaliniam sekretoriui pasirašyti aktą, patikrinus, ar tinkamai įvykdytos visos procedūros, ir, susitarus su Tarybos generaliniu sekretoriumi, pasirūpinti, kad šis aktas būtų paskelbtas </w:t>
      </w:r>
      <w:r w:rsidRPr="00FB09AA">
        <w:rPr>
          <w:i/>
        </w:rPr>
        <w:t>Europos Sąjungos oficialiajame leidinyje</w:t>
      </w:r>
      <w:r w:rsidRPr="00FB09AA">
        <w:t>;</w:t>
      </w:r>
    </w:p>
    <w:p w14:paraId="0F5E1D17" w14:textId="77777777" w:rsidR="00E31C08" w:rsidRDefault="004F176B" w:rsidP="004F176B">
      <w:pPr>
        <w:pStyle w:val="NormalHanging12a"/>
        <w:sectPr w:rsidR="00E31C08" w:rsidSect="00FB09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B09AA">
        <w:t>6.</w:t>
      </w:r>
      <w:r w:rsidRPr="00FB09AA">
        <w:tab/>
        <w:t>paveda Pirmininkei perduoti Parlamento poziciją Tarybai, Komisijai ir nacionaliniams parlamentams.</w:t>
      </w:r>
    </w:p>
    <w:p w14:paraId="0AA962DF" w14:textId="77777777" w:rsidR="00E31C08" w:rsidRPr="001708BF" w:rsidRDefault="004F176B" w:rsidP="00E31C08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8" w:name="_Toc213238566"/>
      <w:bookmarkStart w:id="9" w:name="_Toc214549219"/>
      <w:r w:rsidRPr="001708BF">
        <w:rPr>
          <w:rFonts w:ascii="Times New Roman" w:hAnsi="Times New Roman" w:cs="Times New Roman"/>
          <w:b w:val="0"/>
          <w:bCs/>
        </w:rPr>
        <w:lastRenderedPageBreak/>
        <w:t>TEISĖKŪROS REZOLIUCIJOS PRIEDAS</w:t>
      </w:r>
    </w:p>
    <w:p w14:paraId="227BF945" w14:textId="7BC5CB10" w:rsidR="004F176B" w:rsidRPr="001708BF" w:rsidRDefault="004F176B" w:rsidP="004F176B">
      <w:pPr>
        <w:pStyle w:val="PageHeading"/>
        <w:outlineLvl w:val="0"/>
        <w:rPr>
          <w:rFonts w:ascii="Times New Roman" w:hAnsi="Times New Roman" w:cs="Times New Roman"/>
        </w:rPr>
      </w:pPr>
      <w:r w:rsidRPr="001708BF">
        <w:rPr>
          <w:rFonts w:ascii="Times New Roman" w:hAnsi="Times New Roman" w:cs="Times New Roman"/>
        </w:rPr>
        <w:t>KOMISIJOS PAREIŠKIMAS</w:t>
      </w:r>
      <w:bookmarkEnd w:id="8"/>
      <w:bookmarkEnd w:id="9"/>
      <w:r w:rsidR="00746426">
        <w:rPr>
          <w:rFonts w:ascii="Times New Roman" w:hAnsi="Times New Roman" w:cs="Times New Roman"/>
        </w:rPr>
        <w:t xml:space="preserve"> </w:t>
      </w:r>
      <w:r w:rsidR="00746426" w:rsidRPr="00746426">
        <w:rPr>
          <w:rFonts w:ascii="Times New Roman" w:hAnsi="Times New Roman" w:cs="Times New Roman"/>
        </w:rPr>
        <w:t xml:space="preserve">DĖL REGLAMENTO </w:t>
      </w:r>
      <w:r w:rsidR="009A1137">
        <w:rPr>
          <w:rFonts w:ascii="Times New Roman" w:hAnsi="Times New Roman" w:cs="Times New Roman"/>
        </w:rPr>
        <w:t xml:space="preserve">(ES) </w:t>
      </w:r>
      <w:r w:rsidR="00746426" w:rsidRPr="00746426">
        <w:rPr>
          <w:rFonts w:ascii="Times New Roman" w:hAnsi="Times New Roman" w:cs="Times New Roman"/>
        </w:rPr>
        <w:t>2025/</w:t>
      </w:r>
      <w:r w:rsidR="009A1137">
        <w:rPr>
          <w:rFonts w:ascii="Times New Roman" w:hAnsi="Times New Roman" w:cs="Times New Roman"/>
        </w:rPr>
        <w:t>2509</w:t>
      </w:r>
      <w:r w:rsidR="00746426" w:rsidRPr="00746426">
        <w:rPr>
          <w:rFonts w:ascii="Times New Roman" w:hAnsi="Times New Roman" w:cs="Times New Roman"/>
        </w:rPr>
        <w:t xml:space="preserve"> </w:t>
      </w:r>
      <w:r w:rsidR="009A1137" w:rsidRPr="00746426">
        <w:rPr>
          <w:rFonts w:ascii="Times New Roman" w:hAnsi="Times New Roman" w:cs="Times New Roman"/>
        </w:rPr>
        <w:t>PRIĖMIMO</w:t>
      </w:r>
    </w:p>
    <w:p w14:paraId="183B42B6" w14:textId="009C37C0" w:rsidR="00E365E1" w:rsidRPr="001708BF" w:rsidRDefault="004F176B" w:rsidP="00EF346C">
      <w:bookmarkStart w:id="10" w:name="_Hlk196383635"/>
      <w:r w:rsidRPr="001708BF">
        <w:t xml:space="preserve">Komisija reguliariai ir sistemingai vertina žaisluose esančių pavojingų cheminių medžiagų buvimą, atsižvelgdama į turimus mokslinius įrodymus, siekdama pritaikyti konkrečių cheminių medžiagų ar mišinių žaisluose ribines vertes arba sąlygas pagal Reglamento </w:t>
      </w:r>
      <w:r w:rsidR="009A1137">
        <w:t xml:space="preserve">(ES) </w:t>
      </w:r>
      <w:r w:rsidRPr="001708BF">
        <w:t>2025/</w:t>
      </w:r>
      <w:r w:rsidR="009A1137">
        <w:t>2509</w:t>
      </w:r>
      <w:r w:rsidRPr="001708BF">
        <w:t xml:space="preserve"> dėl žaislų saugos 46 straipsnį. Tuo tikslu Komisija paprašys Europos cheminių medžiagų agentūros pateikti nuomonę dėl nitrozoaminų ir nitrozuojamų medžiagų žaisluose saugos, atsižvelgiant į bendrą ekspoziciją, per 12 mėnesių nuo šio reglamento įsigaliojimo. Tuo pačiu tikslu Komisija paprašys Europos cheminių medžiagų agentūros pateikti nuomonę dėl švino, kadmio, gyvsidabrio ir chromo (VI) žaisluose saugos, atsižvelgiant į bendrą ekspoziciją, per 24 mėnesius nuo šio reglamento įsigaliojimo.</w:t>
      </w:r>
      <w:bookmarkEnd w:id="10"/>
    </w:p>
    <w:sectPr w:rsidR="00E365E1" w:rsidRPr="001708BF" w:rsidSect="00FB09A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DECE4" w14:textId="77777777" w:rsidR="00EF346C" w:rsidRPr="00FB09AA" w:rsidRDefault="00EF346C">
      <w:r w:rsidRPr="00FB09AA">
        <w:separator/>
      </w:r>
    </w:p>
  </w:endnote>
  <w:endnote w:type="continuationSeparator" w:id="0">
    <w:p w14:paraId="64AC32E2" w14:textId="77777777" w:rsidR="00EF346C" w:rsidRPr="00FB09AA" w:rsidRDefault="00EF346C">
      <w:r w:rsidRPr="00FB09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73F7" w14:textId="77777777" w:rsidR="00064002" w:rsidRPr="00FB09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99B9" w14:textId="77777777" w:rsidR="00064002" w:rsidRPr="00FB09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389DD" w14:textId="77777777" w:rsidR="00064002" w:rsidRPr="00FB09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E879D" w14:textId="77777777" w:rsidR="00EF346C" w:rsidRPr="00FB09AA" w:rsidRDefault="00EF346C">
      <w:r w:rsidRPr="00FB09AA">
        <w:separator/>
      </w:r>
    </w:p>
  </w:footnote>
  <w:footnote w:type="continuationSeparator" w:id="0">
    <w:p w14:paraId="6541C9DC" w14:textId="77777777" w:rsidR="00EF346C" w:rsidRPr="00FB09AA" w:rsidRDefault="00EF346C">
      <w:r w:rsidRPr="00FB09AA">
        <w:continuationSeparator/>
      </w:r>
    </w:p>
  </w:footnote>
  <w:footnote w:id="1">
    <w:p w14:paraId="0279D19E" w14:textId="543CDF1C" w:rsidR="004F176B" w:rsidRPr="00FB09AA" w:rsidRDefault="004F176B" w:rsidP="00FB09AA">
      <w:pPr>
        <w:pStyle w:val="FootnoteText"/>
        <w:ind w:left="567" w:hanging="567"/>
        <w:rPr>
          <w:sz w:val="24"/>
          <w:lang w:val="lt-LT"/>
        </w:rPr>
      </w:pPr>
      <w:r w:rsidRPr="00FB09AA">
        <w:rPr>
          <w:rStyle w:val="FootnoteReference"/>
          <w:sz w:val="24"/>
          <w:lang w:val="lt-LT"/>
        </w:rPr>
        <w:footnoteRef/>
      </w:r>
      <w:r w:rsidR="00FB09AA" w:rsidRPr="00FB09AA">
        <w:rPr>
          <w:sz w:val="24"/>
          <w:lang w:val="lt-LT"/>
        </w:rPr>
        <w:t xml:space="preserve"> </w:t>
      </w:r>
      <w:r w:rsidR="00FB09AA" w:rsidRPr="00FB09AA">
        <w:rPr>
          <w:sz w:val="24"/>
          <w:lang w:val="lt-LT"/>
        </w:rPr>
        <w:tab/>
      </w:r>
      <w:r w:rsidRPr="00FB09AA">
        <w:rPr>
          <w:sz w:val="24"/>
          <w:lang w:val="lt-LT"/>
        </w:rPr>
        <w:t xml:space="preserve">OL C, C/2024/1577, 2024 3 5, ELI: </w:t>
      </w:r>
      <w:hyperlink r:id="rId1" w:history="1">
        <w:r w:rsidRPr="00746426">
          <w:rPr>
            <w:rStyle w:val="Hyperlink"/>
            <w:sz w:val="24"/>
            <w:lang w:val="lt-LT"/>
          </w:rPr>
          <w:t>http://data.europa.eu/eli/C/2024/1577/oj</w:t>
        </w:r>
      </w:hyperlink>
      <w:r w:rsidRPr="00FB09AA">
        <w:rPr>
          <w:sz w:val="24"/>
          <w:lang w:val="lt-LT"/>
        </w:rPr>
        <w:t>.</w:t>
      </w:r>
    </w:p>
  </w:footnote>
  <w:footnote w:id="2">
    <w:p w14:paraId="166B40C4" w14:textId="793E284A" w:rsidR="004F176B" w:rsidRPr="00FB09AA" w:rsidRDefault="004F176B" w:rsidP="00FB09AA">
      <w:pPr>
        <w:pStyle w:val="FootnoteText"/>
        <w:ind w:left="567" w:hanging="567"/>
        <w:rPr>
          <w:sz w:val="24"/>
          <w:lang w:val="lt-LT"/>
        </w:rPr>
      </w:pPr>
      <w:r w:rsidRPr="00FB09AA">
        <w:rPr>
          <w:rStyle w:val="FootnoteReference"/>
          <w:sz w:val="24"/>
          <w:lang w:val="lt-LT"/>
        </w:rPr>
        <w:footnoteRef/>
      </w:r>
      <w:r w:rsidR="00FB09AA" w:rsidRPr="00FB09AA">
        <w:rPr>
          <w:sz w:val="24"/>
          <w:lang w:val="lt-LT"/>
        </w:rPr>
        <w:t xml:space="preserve"> </w:t>
      </w:r>
      <w:r w:rsidR="00FB09AA" w:rsidRPr="00FB09AA">
        <w:rPr>
          <w:sz w:val="24"/>
          <w:lang w:val="lt-LT"/>
        </w:rPr>
        <w:tab/>
      </w:r>
      <w:r w:rsidRPr="00FB09AA">
        <w:rPr>
          <w:sz w:val="24"/>
          <w:lang w:val="lt-LT"/>
        </w:rPr>
        <w:t xml:space="preserve">OL C, C/2025/1032, 2025 2 27, ELI: </w:t>
      </w:r>
      <w:hyperlink r:id="rId2" w:history="1">
        <w:r w:rsidRPr="00746426">
          <w:rPr>
            <w:rStyle w:val="Hyperlink"/>
            <w:sz w:val="24"/>
            <w:lang w:val="lt-LT"/>
          </w:rPr>
          <w:t>http://data.europa.eu/eli/C/2025/1032/oj</w:t>
        </w:r>
      </w:hyperlink>
      <w:r w:rsidRPr="00FB09AA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25745" w14:textId="77777777" w:rsidR="00064002" w:rsidRPr="00FB09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BAE29" w14:textId="77777777" w:rsidR="00064002" w:rsidRPr="00FB09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F20CE" w14:textId="77777777" w:rsidR="00064002" w:rsidRPr="00FB09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08062">
    <w:abstractNumId w:val="9"/>
  </w:num>
  <w:num w:numId="2" w16cid:durableId="1875262725">
    <w:abstractNumId w:val="9"/>
  </w:num>
  <w:num w:numId="3" w16cid:durableId="495657415">
    <w:abstractNumId w:val="7"/>
  </w:num>
  <w:num w:numId="4" w16cid:durableId="747384255">
    <w:abstractNumId w:val="7"/>
  </w:num>
  <w:num w:numId="5" w16cid:durableId="2133283109">
    <w:abstractNumId w:val="6"/>
  </w:num>
  <w:num w:numId="6" w16cid:durableId="1159927282">
    <w:abstractNumId w:val="6"/>
  </w:num>
  <w:num w:numId="7" w16cid:durableId="1885675866">
    <w:abstractNumId w:val="5"/>
  </w:num>
  <w:num w:numId="8" w16cid:durableId="1642727769">
    <w:abstractNumId w:val="5"/>
  </w:num>
  <w:num w:numId="9" w16cid:durableId="211499918">
    <w:abstractNumId w:val="4"/>
  </w:num>
  <w:num w:numId="10" w16cid:durableId="1737243948">
    <w:abstractNumId w:val="4"/>
  </w:num>
  <w:num w:numId="11" w16cid:durableId="1716196738">
    <w:abstractNumId w:val="8"/>
  </w:num>
  <w:num w:numId="12" w16cid:durableId="576743665">
    <w:abstractNumId w:val="8"/>
  </w:num>
  <w:num w:numId="13" w16cid:durableId="1791901012">
    <w:abstractNumId w:val="3"/>
  </w:num>
  <w:num w:numId="14" w16cid:durableId="298003356">
    <w:abstractNumId w:val="3"/>
  </w:num>
  <w:num w:numId="15" w16cid:durableId="30999832">
    <w:abstractNumId w:val="2"/>
  </w:num>
  <w:num w:numId="16" w16cid:durableId="1542548858">
    <w:abstractNumId w:val="2"/>
  </w:num>
  <w:num w:numId="17" w16cid:durableId="918832145">
    <w:abstractNumId w:val="1"/>
  </w:num>
  <w:num w:numId="18" w16cid:durableId="617371417">
    <w:abstractNumId w:val="1"/>
  </w:num>
  <w:num w:numId="19" w16cid:durableId="1724134884">
    <w:abstractNumId w:val="0"/>
  </w:num>
  <w:num w:numId="20" w16cid:durableId="1962808928">
    <w:abstractNumId w:val="0"/>
  </w:num>
  <w:num w:numId="21" w16cid:durableId="879853364">
    <w:abstractNumId w:val="9"/>
  </w:num>
  <w:num w:numId="22" w16cid:durableId="765616812">
    <w:abstractNumId w:val="7"/>
  </w:num>
  <w:num w:numId="23" w16cid:durableId="322707913">
    <w:abstractNumId w:val="6"/>
  </w:num>
  <w:num w:numId="24" w16cid:durableId="1342468554">
    <w:abstractNumId w:val="5"/>
  </w:num>
  <w:num w:numId="25" w16cid:durableId="595555994">
    <w:abstractNumId w:val="4"/>
  </w:num>
  <w:num w:numId="26" w16cid:durableId="1117871130">
    <w:abstractNumId w:val="8"/>
  </w:num>
  <w:num w:numId="27" w16cid:durableId="1063065687">
    <w:abstractNumId w:val="3"/>
  </w:num>
  <w:num w:numId="28" w16cid:durableId="1164584065">
    <w:abstractNumId w:val="2"/>
  </w:num>
  <w:num w:numId="29" w16cid:durableId="1485319390">
    <w:abstractNumId w:val="1"/>
  </w:num>
  <w:num w:numId="30" w16cid:durableId="1703358451">
    <w:abstractNumId w:val="0"/>
  </w:num>
  <w:num w:numId="31" w16cid:durableId="26218998">
    <w:abstractNumId w:val="9"/>
  </w:num>
  <w:num w:numId="32" w16cid:durableId="605815465">
    <w:abstractNumId w:val="7"/>
  </w:num>
  <w:num w:numId="33" w16cid:durableId="162748615">
    <w:abstractNumId w:val="6"/>
  </w:num>
  <w:num w:numId="34" w16cid:durableId="1640375682">
    <w:abstractNumId w:val="5"/>
  </w:num>
  <w:num w:numId="35" w16cid:durableId="233584853">
    <w:abstractNumId w:val="4"/>
  </w:num>
  <w:num w:numId="36" w16cid:durableId="59527338">
    <w:abstractNumId w:val="8"/>
  </w:num>
  <w:num w:numId="37" w16cid:durableId="33576775">
    <w:abstractNumId w:val="3"/>
  </w:num>
  <w:num w:numId="38" w16cid:durableId="759567493">
    <w:abstractNumId w:val="2"/>
  </w:num>
  <w:num w:numId="39" w16cid:durableId="1251307709">
    <w:abstractNumId w:val="1"/>
  </w:num>
  <w:num w:numId="40" w16cid:durableId="719087689">
    <w:abstractNumId w:val="0"/>
  </w:num>
  <w:num w:numId="41" w16cid:durableId="16927099">
    <w:abstractNumId w:val="10"/>
  </w:num>
  <w:num w:numId="42" w16cid:durableId="1334066926">
    <w:abstractNumId w:val="10"/>
  </w:num>
  <w:num w:numId="43" w16cid:durableId="1134059223">
    <w:abstractNumId w:val="10"/>
  </w:num>
  <w:num w:numId="44" w16cid:durableId="8844824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LT"/>
    <w:docVar w:name="dvnumam" w:val="0"/>
    <w:docVar w:name="dvpe" w:val="779.456"/>
    <w:docVar w:name="dvrapporteur" w:val="Pranešėja: "/>
    <w:docVar w:name="dvstar" w:val="***II"/>
    <w:docVar w:name="dvtitre" w:val="2025 m. lapkricio XX d. Europos Parlamento teisėkūros rezoliucija dėl per pirmąjį svarstymą priimtos Tarybos pozicijos siekiant priimti Europos Parlamento ir Tarybos reglamentą dėl žaislų saugos, kuriuo panaikinama Direktyva 2009/48/EB(09663/1/2025 – C10-0251/2025 – 2023/0290(COD))"/>
  </w:docVars>
  <w:rsids>
    <w:rsidRoot w:val="00EF346C"/>
    <w:rsid w:val="00002272"/>
    <w:rsid w:val="00032850"/>
    <w:rsid w:val="00032F9C"/>
    <w:rsid w:val="00064002"/>
    <w:rsid w:val="000677B9"/>
    <w:rsid w:val="000831BA"/>
    <w:rsid w:val="000A42CC"/>
    <w:rsid w:val="000E7DD9"/>
    <w:rsid w:val="0010095E"/>
    <w:rsid w:val="00125B37"/>
    <w:rsid w:val="001708B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7952"/>
    <w:rsid w:val="00411CCE"/>
    <w:rsid w:val="0041666E"/>
    <w:rsid w:val="00421060"/>
    <w:rsid w:val="00471C19"/>
    <w:rsid w:val="004867E3"/>
    <w:rsid w:val="00494A28"/>
    <w:rsid w:val="004C0004"/>
    <w:rsid w:val="004C5D52"/>
    <w:rsid w:val="004F176B"/>
    <w:rsid w:val="0050519A"/>
    <w:rsid w:val="005072A1"/>
    <w:rsid w:val="00514517"/>
    <w:rsid w:val="00545827"/>
    <w:rsid w:val="00560270"/>
    <w:rsid w:val="005905A2"/>
    <w:rsid w:val="005C2568"/>
    <w:rsid w:val="005E5124"/>
    <w:rsid w:val="005F1B17"/>
    <w:rsid w:val="005F59D2"/>
    <w:rsid w:val="006037C0"/>
    <w:rsid w:val="006631B6"/>
    <w:rsid w:val="00680577"/>
    <w:rsid w:val="006F74FA"/>
    <w:rsid w:val="00717765"/>
    <w:rsid w:val="00731ADD"/>
    <w:rsid w:val="00734777"/>
    <w:rsid w:val="00746426"/>
    <w:rsid w:val="00747932"/>
    <w:rsid w:val="00751A4A"/>
    <w:rsid w:val="00756632"/>
    <w:rsid w:val="00762C74"/>
    <w:rsid w:val="00786EC0"/>
    <w:rsid w:val="007D1690"/>
    <w:rsid w:val="007E22AD"/>
    <w:rsid w:val="0081327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137"/>
    <w:rsid w:val="00A1687D"/>
    <w:rsid w:val="00A43E52"/>
    <w:rsid w:val="00A4678D"/>
    <w:rsid w:val="00A7672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2F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C08"/>
    <w:rsid w:val="00E365E1"/>
    <w:rsid w:val="00E727B5"/>
    <w:rsid w:val="00E820A4"/>
    <w:rsid w:val="00EB006A"/>
    <w:rsid w:val="00EB4772"/>
    <w:rsid w:val="00ED169E"/>
    <w:rsid w:val="00ED4235"/>
    <w:rsid w:val="00EF346C"/>
    <w:rsid w:val="00F04346"/>
    <w:rsid w:val="00F075DC"/>
    <w:rsid w:val="00F149E9"/>
    <w:rsid w:val="00F5134D"/>
    <w:rsid w:val="00F74202"/>
    <w:rsid w:val="00F87713"/>
    <w:rsid w:val="00F961F8"/>
    <w:rsid w:val="00FB09A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61B30"/>
  <w15:chartTrackingRefBased/>
  <w15:docId w15:val="{6D11F0E1-95F6-40DB-99E9-C53DAF2D5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F17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F176B"/>
    <w:pPr>
      <w:spacing w:before="480" w:after="240"/>
    </w:pPr>
  </w:style>
  <w:style w:type="paragraph" w:customStyle="1" w:styleId="PageHeading">
    <w:name w:val="PageHeading"/>
    <w:basedOn w:val="Normal"/>
    <w:rsid w:val="004F17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F176B"/>
    <w:rPr>
      <w:b/>
    </w:rPr>
  </w:style>
  <w:style w:type="paragraph" w:customStyle="1" w:styleId="NormalHanging12a">
    <w:name w:val="NormalHanging12a"/>
    <w:basedOn w:val="Normal"/>
    <w:rsid w:val="004F176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F1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176B"/>
    <w:rPr>
      <w:sz w:val="24"/>
      <w:lang w:val="lt-LT"/>
    </w:rPr>
  </w:style>
  <w:style w:type="paragraph" w:customStyle="1" w:styleId="EPFooter">
    <w:name w:val="EPFooter"/>
    <w:basedOn w:val="Normal"/>
    <w:rsid w:val="004F17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4F176B"/>
    <w:pPr>
      <w:spacing w:after="240"/>
    </w:pPr>
  </w:style>
  <w:style w:type="character" w:styleId="Hyperlink">
    <w:name w:val="Hyperlink"/>
    <w:basedOn w:val="DefaultParagraphFont"/>
    <w:rsid w:val="004F176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32850"/>
    <w:rPr>
      <w:sz w:val="24"/>
      <w:lang w:val="lt-LT"/>
    </w:rPr>
  </w:style>
  <w:style w:type="character" w:styleId="CommentReference">
    <w:name w:val="annotation reference"/>
    <w:basedOn w:val="DefaultParagraphFont"/>
    <w:rsid w:val="00A767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72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6723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A76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6723"/>
    <w:rPr>
      <w:b/>
      <w:bCs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746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2</cp:revision>
  <cp:lastPrinted>2004-11-19T15:42:00Z</cp:lastPrinted>
  <dcterms:created xsi:type="dcterms:W3CDTF">2026-01-27T10:34:00Z</dcterms:created>
  <dcterms:modified xsi:type="dcterms:W3CDTF">2026-01-27T10:34:00Z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