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6171" w14:paraId="43F9992C" w14:textId="77777777" w:rsidTr="0010095E">
        <w:trPr>
          <w:trHeight w:hRule="exact" w:val="1418"/>
        </w:trPr>
        <w:tc>
          <w:tcPr>
            <w:tcW w:w="6804" w:type="dxa"/>
            <w:shd w:val="clear" w:color="auto" w:fill="auto"/>
            <w:vAlign w:val="center"/>
          </w:tcPr>
          <w:p w14:paraId="0374616A" w14:textId="77777777" w:rsidR="00751A4A" w:rsidRPr="00056171" w:rsidRDefault="003F7986" w:rsidP="0010095E">
            <w:pPr>
              <w:pStyle w:val="EPName"/>
            </w:pPr>
            <w:r w:rsidRPr="00056171">
              <w:t>Eiropas Parlaments</w:t>
            </w:r>
          </w:p>
          <w:p w14:paraId="22C9D2B0" w14:textId="77777777" w:rsidR="00751A4A" w:rsidRPr="00056171" w:rsidRDefault="005F1B17" w:rsidP="005F1B17">
            <w:pPr>
              <w:pStyle w:val="EPTerm"/>
              <w:rPr>
                <w:rStyle w:val="HideTWBExt"/>
                <w:noProof w:val="0"/>
                <w:vanish w:val="0"/>
                <w:color w:val="auto"/>
              </w:rPr>
            </w:pPr>
            <w:r w:rsidRPr="00056171">
              <w:t>2024</w:t>
            </w:r>
            <w:r w:rsidR="00817416" w:rsidRPr="00056171">
              <w:t>-202</w:t>
            </w:r>
            <w:r w:rsidRPr="00056171">
              <w:t>9</w:t>
            </w:r>
          </w:p>
        </w:tc>
        <w:tc>
          <w:tcPr>
            <w:tcW w:w="2268" w:type="dxa"/>
            <w:shd w:val="clear" w:color="auto" w:fill="auto"/>
          </w:tcPr>
          <w:p w14:paraId="33A45FBD" w14:textId="77777777" w:rsidR="00751A4A" w:rsidRPr="00056171" w:rsidRDefault="00187494" w:rsidP="0010095E">
            <w:pPr>
              <w:pStyle w:val="EPLogo"/>
            </w:pPr>
            <w:r w:rsidRPr="00056171">
              <w:rPr>
                <w:noProof/>
                <w:lang w:eastAsia="ja-JP"/>
              </w:rPr>
              <w:drawing>
                <wp:inline distT="0" distB="0" distL="0" distR="0" wp14:anchorId="14255603" wp14:editId="776175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75F9B6" w14:textId="77777777" w:rsidR="00D058B8" w:rsidRPr="00056171" w:rsidRDefault="00D058B8" w:rsidP="004C5D52">
      <w:pPr>
        <w:pStyle w:val="LineTop"/>
      </w:pPr>
    </w:p>
    <w:p w14:paraId="1DF994F5" w14:textId="77777777" w:rsidR="00680577" w:rsidRPr="00056171" w:rsidRDefault="003F7986" w:rsidP="00680577">
      <w:pPr>
        <w:pStyle w:val="EPBodyTA1"/>
      </w:pPr>
      <w:r w:rsidRPr="00056171">
        <w:t>PIEŅEMTIE TEKSTI</w:t>
      </w:r>
    </w:p>
    <w:p w14:paraId="0AD44CAE" w14:textId="77777777" w:rsidR="00D058B8" w:rsidRPr="00056171" w:rsidRDefault="00D058B8" w:rsidP="00D058B8">
      <w:pPr>
        <w:pStyle w:val="LineBottom"/>
      </w:pPr>
    </w:p>
    <w:p w14:paraId="0D8E623E" w14:textId="0A6BAF24" w:rsidR="003F7986" w:rsidRPr="00056171" w:rsidRDefault="003F7986" w:rsidP="003F7986">
      <w:pPr>
        <w:pStyle w:val="ATHeading1"/>
      </w:pPr>
      <w:bookmarkStart w:id="0" w:name="TANumber"/>
      <w:r w:rsidRPr="00056171">
        <w:t>P10_TA(2025)0</w:t>
      </w:r>
      <w:bookmarkEnd w:id="0"/>
      <w:r w:rsidR="00056171" w:rsidRPr="00056171">
        <w:t>279</w:t>
      </w:r>
    </w:p>
    <w:p w14:paraId="2A5B8C63" w14:textId="77777777" w:rsidR="003F7986" w:rsidRPr="00056171" w:rsidRDefault="003F7986" w:rsidP="003F7986">
      <w:pPr>
        <w:pStyle w:val="ATHeading2"/>
      </w:pPr>
      <w:bookmarkStart w:id="1" w:name="title"/>
      <w:r w:rsidRPr="00056171">
        <w:t>Rotaļlietu drošums un Direktīvas 2009/48/EK atcelšana</w:t>
      </w:r>
      <w:bookmarkEnd w:id="1"/>
    </w:p>
    <w:p w14:paraId="15257DB8" w14:textId="1DFB3712" w:rsidR="003F7986" w:rsidRPr="00056171" w:rsidRDefault="003F7986" w:rsidP="003F7986">
      <w:pPr>
        <w:rPr>
          <w:i/>
          <w:vanish/>
        </w:rPr>
      </w:pPr>
      <w:r w:rsidRPr="00056171">
        <w:rPr>
          <w:i/>
        </w:rPr>
        <w:fldChar w:fldCharType="begin"/>
      </w:r>
      <w:r w:rsidRPr="00056171">
        <w:rPr>
          <w:i/>
        </w:rPr>
        <w:instrText xml:space="preserve"> TC"(</w:instrText>
      </w:r>
      <w:bookmarkStart w:id="2" w:name="DocNumber"/>
      <w:r w:rsidRPr="00056171">
        <w:rPr>
          <w:i/>
        </w:rPr>
        <w:instrText>A10-0227/2025</w:instrText>
      </w:r>
      <w:bookmarkEnd w:id="2"/>
      <w:r w:rsidRPr="00056171">
        <w:rPr>
          <w:i/>
        </w:rPr>
        <w:instrText xml:space="preserve"> - Referent</w:instrText>
      </w:r>
      <w:r w:rsidR="00612DF8" w:rsidRPr="00056171">
        <w:rPr>
          <w:i/>
        </w:rPr>
        <w:instrText>e</w:instrText>
      </w:r>
      <w:r w:rsidRPr="00056171">
        <w:rPr>
          <w:i/>
        </w:rPr>
        <w:instrText xml:space="preserve">: </w:instrText>
      </w:r>
      <w:proofErr w:type="spellStart"/>
      <w:r w:rsidRPr="00056171">
        <w:rPr>
          <w:i/>
        </w:rPr>
        <w:instrText>Marion</w:instrText>
      </w:r>
      <w:proofErr w:type="spellEnd"/>
      <w:r w:rsidRPr="00056171">
        <w:rPr>
          <w:i/>
        </w:rPr>
        <w:instrText xml:space="preserve"> </w:instrText>
      </w:r>
      <w:proofErr w:type="spellStart"/>
      <w:r w:rsidRPr="00056171">
        <w:rPr>
          <w:i/>
        </w:rPr>
        <w:instrText>Walsmann</w:instrText>
      </w:r>
      <w:proofErr w:type="spellEnd"/>
      <w:r w:rsidRPr="00056171">
        <w:rPr>
          <w:i/>
        </w:rPr>
        <w:instrText xml:space="preserve">)"\l3 \n&gt; \* MERGEFORMAT </w:instrText>
      </w:r>
      <w:r w:rsidRPr="00056171">
        <w:rPr>
          <w:i/>
        </w:rPr>
        <w:fldChar w:fldCharType="end"/>
      </w:r>
    </w:p>
    <w:p w14:paraId="5A54C7D2" w14:textId="77777777" w:rsidR="003F7986" w:rsidRPr="00056171" w:rsidRDefault="003F7986" w:rsidP="003F7986">
      <w:pPr>
        <w:rPr>
          <w:vanish/>
        </w:rPr>
      </w:pPr>
      <w:bookmarkStart w:id="3" w:name="Commission"/>
      <w:r w:rsidRPr="00056171">
        <w:rPr>
          <w:vanish/>
        </w:rPr>
        <w:t>Iekšējā tirgus un patērētāju aizsardzības komiteja</w:t>
      </w:r>
      <w:bookmarkEnd w:id="3"/>
    </w:p>
    <w:p w14:paraId="0182A42D" w14:textId="77777777" w:rsidR="003F7986" w:rsidRPr="00056171" w:rsidRDefault="003F7986" w:rsidP="003F7986">
      <w:pPr>
        <w:rPr>
          <w:vanish/>
        </w:rPr>
      </w:pPr>
      <w:bookmarkStart w:id="4" w:name="PE"/>
      <w:r w:rsidRPr="00056171">
        <w:rPr>
          <w:vanish/>
        </w:rPr>
        <w:t>PE779.456</w:t>
      </w:r>
      <w:bookmarkEnd w:id="4"/>
    </w:p>
    <w:p w14:paraId="5BA001D4" w14:textId="2581976F" w:rsidR="00D53D41" w:rsidRPr="00056171" w:rsidRDefault="003F7986" w:rsidP="00612DF8">
      <w:pPr>
        <w:pStyle w:val="ATHeading3"/>
      </w:pPr>
      <w:bookmarkStart w:id="5" w:name="Sujet"/>
      <w:r w:rsidRPr="00056171">
        <w:t xml:space="preserve">Eiropas Parlamenta 2025. gada </w:t>
      </w:r>
      <w:r w:rsidR="00612DF8" w:rsidRPr="00056171">
        <w:t>25</w:t>
      </w:r>
      <w:r w:rsidRPr="00056171">
        <w:t xml:space="preserve">. </w:t>
      </w:r>
      <w:r w:rsidR="00612DF8" w:rsidRPr="00056171">
        <w:t>novembra</w:t>
      </w:r>
      <w:r w:rsidRPr="00056171">
        <w:t xml:space="preserve"> normatīvā rezolūcija par Padomes nostāju pirmajā lasījumā, lai pieņemtu Eiropas Parlamenta un Padomes regulu par rotaļlietu drošumu un ar ko atceļ Direktīvu 2009/48/EK</w:t>
      </w:r>
      <w:bookmarkEnd w:id="5"/>
      <w:r w:rsidRPr="00056171">
        <w:t xml:space="preserve"> </w:t>
      </w:r>
      <w:bookmarkStart w:id="6" w:name="References"/>
      <w:r w:rsidRPr="00056171">
        <w:t>(09663/1/2025 – C10-0251/2025 – 2023/0290(COD))</w:t>
      </w:r>
      <w:bookmarkStart w:id="7" w:name="TextBodyBegin"/>
      <w:bookmarkEnd w:id="6"/>
      <w:bookmarkEnd w:id="7"/>
    </w:p>
    <w:p w14:paraId="2472F7A9" w14:textId="77777777" w:rsidR="00D53D41" w:rsidRPr="00056171" w:rsidRDefault="00D53D41" w:rsidP="00D53D41">
      <w:pPr>
        <w:pStyle w:val="NormalBold"/>
      </w:pPr>
      <w:r w:rsidRPr="00056171">
        <w:t>(Parastā likumdošanas procedūra: otrais lasījums)</w:t>
      </w:r>
    </w:p>
    <w:p w14:paraId="6993D978" w14:textId="77777777" w:rsidR="00D53D41" w:rsidRPr="00056171" w:rsidRDefault="00D53D41" w:rsidP="00D53D41">
      <w:pPr>
        <w:pStyle w:val="EPComma"/>
      </w:pPr>
      <w:r w:rsidRPr="00056171">
        <w:rPr>
          <w:i/>
        </w:rPr>
        <w:t>Eiropas Parlaments</w:t>
      </w:r>
      <w:r w:rsidRPr="00056171">
        <w:t>,</w:t>
      </w:r>
    </w:p>
    <w:p w14:paraId="680AD0F2" w14:textId="77777777" w:rsidR="00D53D41" w:rsidRPr="00056171" w:rsidRDefault="00D53D41" w:rsidP="00D53D41">
      <w:pPr>
        <w:pStyle w:val="NormalHanging12a"/>
      </w:pPr>
      <w:r w:rsidRPr="00056171">
        <w:t>–</w:t>
      </w:r>
      <w:r w:rsidRPr="00056171">
        <w:tab/>
        <w:t>ņemot vērā Padomes nostāju pirmajā lasījumā (09663/1/2025 – C10</w:t>
      </w:r>
      <w:r w:rsidRPr="00056171">
        <w:noBreakHyphen/>
        <w:t>0251/2025),</w:t>
      </w:r>
    </w:p>
    <w:p w14:paraId="01FEB387" w14:textId="77777777" w:rsidR="00D53D41" w:rsidRPr="00056171" w:rsidRDefault="00D53D41" w:rsidP="00D53D41">
      <w:pPr>
        <w:pStyle w:val="NormalHanging12a"/>
      </w:pPr>
      <w:r w:rsidRPr="00056171">
        <w:t>–</w:t>
      </w:r>
      <w:r w:rsidRPr="00056171">
        <w:tab/>
        <w:t>ņemot vērā Eiropas Ekonomikas un sociālo lietu komitejas 2023. gada 13. decembra atzinumu</w:t>
      </w:r>
      <w:r w:rsidRPr="00056171">
        <w:rPr>
          <w:rStyle w:val="FootnoteReference"/>
        </w:rPr>
        <w:footnoteReference w:id="1"/>
      </w:r>
      <w:r w:rsidRPr="00056171">
        <w:t>,</w:t>
      </w:r>
    </w:p>
    <w:p w14:paraId="2339ECD4" w14:textId="4E165C79" w:rsidR="00D53D41" w:rsidRPr="00056171" w:rsidRDefault="00D53D41" w:rsidP="00D53D41">
      <w:pPr>
        <w:pStyle w:val="NormalHanging12a"/>
      </w:pPr>
      <w:r w:rsidRPr="00056171">
        <w:t>–</w:t>
      </w:r>
      <w:r w:rsidRPr="00056171">
        <w:tab/>
        <w:t>ņemot vērā Parlamenta nostāju pirmajā lasījumā</w:t>
      </w:r>
      <w:r w:rsidRPr="00056171">
        <w:rPr>
          <w:rStyle w:val="FootnoteReference"/>
        </w:rPr>
        <w:footnoteReference w:id="2"/>
      </w:r>
      <w:r w:rsidRPr="00056171">
        <w:t xml:space="preserve"> attiecībā uz Komisijas priekšlikumu Eiropas Parlamentam un Padomei (COM(2023)</w:t>
      </w:r>
      <w:r w:rsidR="00434759">
        <w:t>0</w:t>
      </w:r>
      <w:r w:rsidRPr="00056171">
        <w:t>462),</w:t>
      </w:r>
    </w:p>
    <w:p w14:paraId="003F4FFF" w14:textId="77777777" w:rsidR="00D53D41" w:rsidRPr="00056171" w:rsidRDefault="00D53D41" w:rsidP="00D53D41">
      <w:pPr>
        <w:pStyle w:val="NormalHanging12a"/>
      </w:pPr>
      <w:r w:rsidRPr="00056171">
        <w:t>–</w:t>
      </w:r>
      <w:r w:rsidRPr="00056171">
        <w:tab/>
        <w:t>ņemot vērā Līguma par Eiropas Savienības darbību 294. panta 7. punktu,</w:t>
      </w:r>
    </w:p>
    <w:p w14:paraId="17EC9EFD" w14:textId="77777777" w:rsidR="00D53D41" w:rsidRPr="00056171" w:rsidRDefault="00D53D41" w:rsidP="00D53D41">
      <w:pPr>
        <w:pStyle w:val="NormalHanging12a"/>
      </w:pPr>
      <w:r w:rsidRPr="00056171">
        <w:t>–</w:t>
      </w:r>
      <w:r w:rsidRPr="00056171">
        <w:tab/>
        <w:t>ņemot vērā provizorisko vienošanos, ko atbildīgā komiteja apstiprināja saskaņā ar Reglamenta 75. panta 4. punktu,</w:t>
      </w:r>
    </w:p>
    <w:p w14:paraId="6B9C0FF9" w14:textId="77777777" w:rsidR="00D53D41" w:rsidRPr="00056171" w:rsidRDefault="00D53D41" w:rsidP="00D53D41">
      <w:pPr>
        <w:pStyle w:val="NormalHanging12a"/>
      </w:pPr>
      <w:r w:rsidRPr="00056171">
        <w:t>–</w:t>
      </w:r>
      <w:r w:rsidRPr="00056171">
        <w:tab/>
        <w:t>ņemot vērā Reglamenta 68. pantu,</w:t>
      </w:r>
    </w:p>
    <w:p w14:paraId="5D1DB747" w14:textId="77777777" w:rsidR="00D53D41" w:rsidRPr="00056171" w:rsidRDefault="00D53D41" w:rsidP="00D53D41">
      <w:pPr>
        <w:pStyle w:val="NormalHanging12a"/>
      </w:pPr>
      <w:r w:rsidRPr="00056171">
        <w:t>–</w:t>
      </w:r>
      <w:r w:rsidRPr="00056171">
        <w:tab/>
        <w:t>ņemot vērā Iekšējā tirgus un patērētāju aizsardzības komitejas ieteikumu otrajam lasījumam (A10-0227/2025),</w:t>
      </w:r>
    </w:p>
    <w:p w14:paraId="580CF988" w14:textId="77777777" w:rsidR="00D53D41" w:rsidRPr="00056171" w:rsidRDefault="00D53D41" w:rsidP="00D53D41">
      <w:pPr>
        <w:pStyle w:val="NormalHanging12a"/>
      </w:pPr>
      <w:r w:rsidRPr="00056171">
        <w:t>1.</w:t>
      </w:r>
      <w:r w:rsidRPr="00056171">
        <w:tab/>
        <w:t>apstiprina Padomes nostāju pirmajā lasījumā;</w:t>
      </w:r>
    </w:p>
    <w:p w14:paraId="04CDAEFA" w14:textId="77777777" w:rsidR="00D53D41" w:rsidRPr="00056171" w:rsidRDefault="00D53D41" w:rsidP="00D53D41">
      <w:pPr>
        <w:pStyle w:val="NormalHanging12a"/>
      </w:pPr>
      <w:r w:rsidRPr="00056171">
        <w:t>2.</w:t>
      </w:r>
      <w:r w:rsidRPr="00056171">
        <w:tab/>
        <w:t xml:space="preserve">pieņem zināšanai Komisijas paziņojumu, kas pievienots šai rezolūcijai un kas tiks publicēts </w:t>
      </w:r>
      <w:r w:rsidRPr="00056171">
        <w:rPr>
          <w:i/>
        </w:rPr>
        <w:t>Eiropas Savienības Oficiālā Vēstneša</w:t>
      </w:r>
      <w:r w:rsidRPr="00056171">
        <w:t xml:space="preserve"> C sērijā;</w:t>
      </w:r>
    </w:p>
    <w:p w14:paraId="61BE54C1" w14:textId="77777777" w:rsidR="00D53D41" w:rsidRPr="00056171" w:rsidRDefault="00D53D41" w:rsidP="00D53D41">
      <w:pPr>
        <w:pStyle w:val="NormalHanging12a"/>
      </w:pPr>
      <w:r w:rsidRPr="00056171">
        <w:lastRenderedPageBreak/>
        <w:t>3.</w:t>
      </w:r>
      <w:r w:rsidRPr="00056171">
        <w:tab/>
        <w:t>konstatē, ka akts ir pieņemts saskaņā ar Padomes nostāju;</w:t>
      </w:r>
    </w:p>
    <w:p w14:paraId="5DC66932" w14:textId="77777777" w:rsidR="00D53D41" w:rsidRPr="00056171" w:rsidRDefault="00D53D41" w:rsidP="00D53D41">
      <w:pPr>
        <w:pStyle w:val="NormalHanging12a"/>
      </w:pPr>
      <w:r w:rsidRPr="00056171">
        <w:t>4.</w:t>
      </w:r>
      <w:r w:rsidRPr="00056171">
        <w:tab/>
        <w:t>uzdod priekšsēdētājai parakstīt aktu kopā ar Padomes priekšsēdētāju saskaņā ar Līguma par Eiropas Savienības darbību 297. panta 1. punktu;</w:t>
      </w:r>
    </w:p>
    <w:p w14:paraId="1FBE9163" w14:textId="77777777" w:rsidR="00D53D41" w:rsidRPr="00056171" w:rsidRDefault="00D53D41" w:rsidP="00D53D41">
      <w:pPr>
        <w:pStyle w:val="NormalHanging12a"/>
      </w:pPr>
      <w:r w:rsidRPr="00056171">
        <w:t>5.</w:t>
      </w:r>
      <w:r w:rsidRPr="00056171">
        <w:tab/>
        <w:t xml:space="preserve">uzdod ģenerālsekretāram parakstīt aktu pēc tam, kad ir notikusi pārbaude, ka ir pienācīgi ievērotas visas procedūras, un pēc saskaņošanas ar Padomes ģenerālsekretāru nodrošināt tā publicēšanu </w:t>
      </w:r>
      <w:r w:rsidRPr="00056171">
        <w:rPr>
          <w:i/>
        </w:rPr>
        <w:t>Eiropas Savienības Oficiālajā Vēstnesī</w:t>
      </w:r>
      <w:r w:rsidRPr="00056171">
        <w:t>;</w:t>
      </w:r>
    </w:p>
    <w:p w14:paraId="6CDC3DDB" w14:textId="6BBE840C" w:rsidR="00CC33B0" w:rsidRPr="00056171" w:rsidRDefault="00D53D41" w:rsidP="00CC33B0">
      <w:pPr>
        <w:pStyle w:val="NormalHanging12a"/>
      </w:pPr>
      <w:r w:rsidRPr="00056171">
        <w:t>6.</w:t>
      </w:r>
      <w:r w:rsidRPr="00056171">
        <w:tab/>
        <w:t>uzdod priekšsēdētājai Parlamenta nostāju nosūtīt Padomei un Komisijai, kā arī dalībvalstu parlamentiem.</w:t>
      </w:r>
    </w:p>
    <w:p w14:paraId="779B439B" w14:textId="77777777" w:rsidR="00612DF8" w:rsidRPr="00056171" w:rsidRDefault="00612DF8" w:rsidP="003F7986">
      <w:pPr>
        <w:sectPr w:rsidR="00612DF8" w:rsidRPr="00056171" w:rsidSect="00CC33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F4F0AF" w14:textId="77777777" w:rsidR="00612DF8" w:rsidRPr="00056171" w:rsidRDefault="00612DF8" w:rsidP="00612DF8">
      <w:pPr>
        <w:pStyle w:val="Normal12Hanging"/>
        <w:jc w:val="right"/>
        <w:rPr>
          <w:rFonts w:eastAsia="MS Outlook"/>
          <w:szCs w:val="24"/>
        </w:rPr>
      </w:pPr>
      <w:r w:rsidRPr="00056171">
        <w:rPr>
          <w:rFonts w:eastAsia="MS Outlook"/>
          <w:szCs w:val="24"/>
        </w:rPr>
        <w:lastRenderedPageBreak/>
        <w:t>NORMATĪVĀS REZOLŪCIJAS PIELIKUMS</w:t>
      </w:r>
    </w:p>
    <w:p w14:paraId="099A31B7" w14:textId="01DB0199" w:rsidR="00612DF8" w:rsidRPr="00056171" w:rsidRDefault="00612DF8" w:rsidP="00612DF8">
      <w:pPr>
        <w:spacing w:after="480"/>
        <w:jc w:val="center"/>
        <w:rPr>
          <w:b/>
          <w:bCs/>
          <w:noProof/>
        </w:rPr>
      </w:pPr>
      <w:r w:rsidRPr="00056171">
        <w:rPr>
          <w:b/>
          <w:bCs/>
          <w:noProof/>
        </w:rPr>
        <w:t xml:space="preserve">KOMISIJAS PAZIŅOJUMS </w:t>
      </w:r>
      <w:r w:rsidR="00E969AB" w:rsidRPr="00056171">
        <w:rPr>
          <w:b/>
          <w:bCs/>
          <w:noProof/>
        </w:rPr>
        <w:t xml:space="preserve">SAISTĪBĀ </w:t>
      </w:r>
      <w:r w:rsidRPr="00056171">
        <w:rPr>
          <w:b/>
          <w:bCs/>
          <w:noProof/>
        </w:rPr>
        <w:t xml:space="preserve">AR REGULAS </w:t>
      </w:r>
      <w:r w:rsidR="00434759">
        <w:rPr>
          <w:b/>
          <w:bCs/>
          <w:noProof/>
        </w:rPr>
        <w:t xml:space="preserve">(ES) </w:t>
      </w:r>
      <w:r w:rsidRPr="00056171">
        <w:rPr>
          <w:b/>
          <w:bCs/>
          <w:noProof/>
        </w:rPr>
        <w:t>2025/</w:t>
      </w:r>
      <w:r w:rsidR="00434759">
        <w:rPr>
          <w:b/>
          <w:bCs/>
          <w:noProof/>
        </w:rPr>
        <w:t>2509</w:t>
      </w:r>
      <w:r w:rsidRPr="00056171">
        <w:rPr>
          <w:b/>
          <w:bCs/>
          <w:noProof/>
          <w:vertAlign w:val="superscript"/>
        </w:rPr>
        <w:t xml:space="preserve"> </w:t>
      </w:r>
      <w:r w:rsidRPr="00056171">
        <w:rPr>
          <w:b/>
          <w:bCs/>
          <w:noProof/>
        </w:rPr>
        <w:t xml:space="preserve">PIEŅEMŠANU </w:t>
      </w:r>
    </w:p>
    <w:p w14:paraId="22D7964F" w14:textId="7BCBE6B4" w:rsidR="00612DF8" w:rsidRPr="00056171" w:rsidRDefault="00612DF8" w:rsidP="00612DF8">
      <w:pPr>
        <w:rPr>
          <w:noProof/>
        </w:rPr>
      </w:pPr>
      <w:bookmarkStart w:id="8" w:name="_Hlk196383635"/>
      <w:r w:rsidRPr="00056171">
        <w:t>Komisija regulāri un sistemātiski izvērtē bīstamu ķimikāliju sastopamību rotaļlietās, ņemot vērā pieejamos zinātniskos pierādījumus, lai pielāgotu robežvērtības vai nosacījumus attiecībā uz konkrētu ķimikāliju vai maisījumu klātbūtni rotaļlietās saskaņā ar 46. pantu Regulā </w:t>
      </w:r>
      <w:r w:rsidR="00434759" w:rsidRPr="00434759">
        <w:t xml:space="preserve">(ES) 2025/2509 </w:t>
      </w:r>
      <w:r w:rsidRPr="00056171">
        <w:t xml:space="preserve">par rotaļlietu drošumu. Šajā nolūkā Komisija 12 mēnešu laikā pēc šīs regulas stāšanās spēkā lūgs Eiropas Ķimikāliju aģentūras atzinumu par rotaļlietās esošo </w:t>
      </w:r>
      <w:proofErr w:type="spellStart"/>
      <w:r w:rsidRPr="00056171">
        <w:t>nitrozamīnu</w:t>
      </w:r>
      <w:proofErr w:type="spellEnd"/>
      <w:r w:rsidRPr="00056171">
        <w:t xml:space="preserve"> un </w:t>
      </w:r>
      <w:proofErr w:type="spellStart"/>
      <w:r w:rsidRPr="00056171">
        <w:t>nitrozējamo</w:t>
      </w:r>
      <w:proofErr w:type="spellEnd"/>
      <w:r w:rsidRPr="00056171">
        <w:t xml:space="preserve"> vielu drošumu, ņemot vērā kopējo </w:t>
      </w:r>
      <w:proofErr w:type="spellStart"/>
      <w:r w:rsidRPr="00056171">
        <w:t>eksponētību</w:t>
      </w:r>
      <w:proofErr w:type="spellEnd"/>
      <w:r w:rsidRPr="00056171">
        <w:t xml:space="preserve">. Šajā pašā nolūkā Komisija 24 mēnešu laikā pēc šīs regulas stāšanās spēkā lūgs Eiropas Ķimikāliju aģentūras atzinumu par svina, kadmija, dzīvsudraba un hroma VI drošumu rotaļlietās, ņemot vērā kopējo </w:t>
      </w:r>
      <w:proofErr w:type="spellStart"/>
      <w:r w:rsidRPr="00056171">
        <w:t>eksponētību</w:t>
      </w:r>
      <w:proofErr w:type="spellEnd"/>
      <w:r w:rsidRPr="00056171">
        <w:t>.</w:t>
      </w:r>
      <w:bookmarkEnd w:id="8"/>
    </w:p>
    <w:p w14:paraId="26972E70" w14:textId="20304AC7" w:rsidR="00E365E1" w:rsidRPr="00056171" w:rsidRDefault="00E365E1" w:rsidP="003F7986"/>
    <w:sectPr w:rsidR="00E365E1" w:rsidRPr="00056171" w:rsidSect="00CC33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206F0" w14:textId="77777777" w:rsidR="003F7986" w:rsidRPr="00CC33B0" w:rsidRDefault="003F7986">
      <w:r w:rsidRPr="00CC33B0">
        <w:separator/>
      </w:r>
    </w:p>
  </w:endnote>
  <w:endnote w:type="continuationSeparator" w:id="0">
    <w:p w14:paraId="00B190F2" w14:textId="77777777" w:rsidR="003F7986" w:rsidRPr="00CC33B0" w:rsidRDefault="003F7986">
      <w:r w:rsidRPr="00CC33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Outlook">
    <w:panose1 w:val="0501010001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7A8D" w14:textId="77777777" w:rsidR="00064002" w:rsidRPr="00CC33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BFB7E" w14:textId="77777777" w:rsidR="00064002" w:rsidRPr="00CC33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C05B" w14:textId="77777777" w:rsidR="00064002" w:rsidRPr="00CC33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A6372" w14:textId="77777777" w:rsidR="003F7986" w:rsidRPr="00CC33B0" w:rsidRDefault="003F7986">
      <w:r w:rsidRPr="00CC33B0">
        <w:separator/>
      </w:r>
    </w:p>
  </w:footnote>
  <w:footnote w:type="continuationSeparator" w:id="0">
    <w:p w14:paraId="786B63F0" w14:textId="77777777" w:rsidR="003F7986" w:rsidRPr="00CC33B0" w:rsidRDefault="003F7986">
      <w:r w:rsidRPr="00CC33B0">
        <w:continuationSeparator/>
      </w:r>
    </w:p>
  </w:footnote>
  <w:footnote w:id="1">
    <w:p w14:paraId="5B76ABD9" w14:textId="013706DF" w:rsidR="00D53D41" w:rsidRPr="00CC33B0" w:rsidRDefault="00D53D41" w:rsidP="00CC33B0">
      <w:pPr>
        <w:pStyle w:val="FootnoteText"/>
        <w:ind w:left="567" w:hanging="567"/>
        <w:rPr>
          <w:sz w:val="24"/>
          <w:lang w:val="lv-LV"/>
        </w:rPr>
      </w:pPr>
      <w:r w:rsidRPr="00CC33B0">
        <w:rPr>
          <w:rStyle w:val="FootnoteReference"/>
          <w:sz w:val="24"/>
          <w:lang w:val="lv-LV"/>
        </w:rPr>
        <w:footnoteRef/>
      </w:r>
      <w:r w:rsidR="00CC33B0" w:rsidRPr="00CC33B0">
        <w:rPr>
          <w:sz w:val="24"/>
          <w:lang w:val="lv-LV"/>
        </w:rPr>
        <w:t xml:space="preserve"> </w:t>
      </w:r>
      <w:r w:rsidR="00CC33B0" w:rsidRPr="00CC33B0">
        <w:rPr>
          <w:sz w:val="24"/>
          <w:lang w:val="lv-LV"/>
        </w:rPr>
        <w:tab/>
      </w:r>
      <w:r w:rsidRPr="00CC33B0">
        <w:rPr>
          <w:sz w:val="24"/>
          <w:lang w:val="lv-LV"/>
        </w:rPr>
        <w:t xml:space="preserve">OV C, C/2024/1577, 5.3.2024., ELI: </w:t>
      </w:r>
      <w:hyperlink r:id="rId1" w:history="1">
        <w:r w:rsidR="00612DF8" w:rsidRPr="00F25470">
          <w:rPr>
            <w:rStyle w:val="Hyperlink"/>
            <w:sz w:val="24"/>
            <w:lang w:val="fi-FI"/>
          </w:rPr>
          <w:t>http://data.europa.eu/eli/C/2024/1577/oj</w:t>
        </w:r>
      </w:hyperlink>
      <w:r w:rsidRPr="00CC33B0">
        <w:rPr>
          <w:sz w:val="24"/>
          <w:lang w:val="lv-LV"/>
        </w:rPr>
        <w:t>.</w:t>
      </w:r>
    </w:p>
  </w:footnote>
  <w:footnote w:id="2">
    <w:p w14:paraId="72AB77C0" w14:textId="4AE6688C" w:rsidR="00D53D41" w:rsidRPr="00CC33B0" w:rsidRDefault="00D53D41" w:rsidP="00CC33B0">
      <w:pPr>
        <w:pStyle w:val="FootnoteText"/>
        <w:ind w:left="567" w:hanging="567"/>
        <w:rPr>
          <w:sz w:val="24"/>
          <w:lang w:val="lv-LV"/>
        </w:rPr>
      </w:pPr>
      <w:r w:rsidRPr="00CC33B0">
        <w:rPr>
          <w:rStyle w:val="FootnoteReference"/>
          <w:sz w:val="24"/>
          <w:lang w:val="lv-LV"/>
        </w:rPr>
        <w:footnoteRef/>
      </w:r>
      <w:r w:rsidR="00CC33B0" w:rsidRPr="00CC33B0">
        <w:rPr>
          <w:sz w:val="24"/>
          <w:lang w:val="lv-LV"/>
        </w:rPr>
        <w:t xml:space="preserve"> </w:t>
      </w:r>
      <w:r w:rsidR="00CC33B0" w:rsidRPr="00CC33B0">
        <w:rPr>
          <w:sz w:val="24"/>
          <w:lang w:val="lv-LV"/>
        </w:rPr>
        <w:tab/>
      </w:r>
      <w:r w:rsidRPr="00CC33B0">
        <w:rPr>
          <w:sz w:val="24"/>
          <w:lang w:val="lv-LV"/>
        </w:rPr>
        <w:t>OV C</w:t>
      </w:r>
      <w:r w:rsidR="00434759">
        <w:rPr>
          <w:sz w:val="24"/>
          <w:lang w:val="lv-LV"/>
        </w:rPr>
        <w:t>,</w:t>
      </w:r>
      <w:r w:rsidRPr="00CC33B0">
        <w:rPr>
          <w:sz w:val="24"/>
          <w:lang w:val="lv-LV"/>
        </w:rPr>
        <w:t xml:space="preserve"> C/2025/1032, 27.2.2025., ELI: </w:t>
      </w:r>
      <w:hyperlink r:id="rId2" w:history="1">
        <w:r w:rsidR="00612DF8" w:rsidRPr="00F25470">
          <w:rPr>
            <w:rStyle w:val="Hyperlink"/>
            <w:sz w:val="24"/>
            <w:lang w:val="fi-FI"/>
          </w:rPr>
          <w:t>http://data.europa.eu/eli/C/2025/1032/oj</w:t>
        </w:r>
      </w:hyperlink>
      <w:r w:rsidRPr="00CC33B0">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D4C45" w14:textId="77777777" w:rsidR="00064002" w:rsidRPr="00CC33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DE8E" w14:textId="77777777" w:rsidR="00064002" w:rsidRPr="00CC33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392C5" w14:textId="77777777" w:rsidR="00064002" w:rsidRPr="00CC33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5723830">
    <w:abstractNumId w:val="9"/>
  </w:num>
  <w:num w:numId="2" w16cid:durableId="1107625499">
    <w:abstractNumId w:val="9"/>
  </w:num>
  <w:num w:numId="3" w16cid:durableId="211968404">
    <w:abstractNumId w:val="7"/>
  </w:num>
  <w:num w:numId="4" w16cid:durableId="1963029333">
    <w:abstractNumId w:val="7"/>
  </w:num>
  <w:num w:numId="5" w16cid:durableId="235557823">
    <w:abstractNumId w:val="6"/>
  </w:num>
  <w:num w:numId="6" w16cid:durableId="684483736">
    <w:abstractNumId w:val="6"/>
  </w:num>
  <w:num w:numId="7" w16cid:durableId="1705475137">
    <w:abstractNumId w:val="5"/>
  </w:num>
  <w:num w:numId="8" w16cid:durableId="413283983">
    <w:abstractNumId w:val="5"/>
  </w:num>
  <w:num w:numId="9" w16cid:durableId="70853217">
    <w:abstractNumId w:val="4"/>
  </w:num>
  <w:num w:numId="10" w16cid:durableId="1349679948">
    <w:abstractNumId w:val="4"/>
  </w:num>
  <w:num w:numId="11" w16cid:durableId="1837838392">
    <w:abstractNumId w:val="8"/>
  </w:num>
  <w:num w:numId="12" w16cid:durableId="595332822">
    <w:abstractNumId w:val="8"/>
  </w:num>
  <w:num w:numId="13" w16cid:durableId="319776866">
    <w:abstractNumId w:val="3"/>
  </w:num>
  <w:num w:numId="14" w16cid:durableId="53048834">
    <w:abstractNumId w:val="3"/>
  </w:num>
  <w:num w:numId="15" w16cid:durableId="2045204495">
    <w:abstractNumId w:val="2"/>
  </w:num>
  <w:num w:numId="16" w16cid:durableId="773324858">
    <w:abstractNumId w:val="2"/>
  </w:num>
  <w:num w:numId="17" w16cid:durableId="1387485334">
    <w:abstractNumId w:val="1"/>
  </w:num>
  <w:num w:numId="18" w16cid:durableId="1623414030">
    <w:abstractNumId w:val="1"/>
  </w:num>
  <w:num w:numId="19" w16cid:durableId="641232737">
    <w:abstractNumId w:val="0"/>
  </w:num>
  <w:num w:numId="20" w16cid:durableId="220018146">
    <w:abstractNumId w:val="0"/>
  </w:num>
  <w:num w:numId="21" w16cid:durableId="1393965871">
    <w:abstractNumId w:val="9"/>
  </w:num>
  <w:num w:numId="22" w16cid:durableId="775519082">
    <w:abstractNumId w:val="7"/>
  </w:num>
  <w:num w:numId="23" w16cid:durableId="1497962652">
    <w:abstractNumId w:val="6"/>
  </w:num>
  <w:num w:numId="24" w16cid:durableId="1889292731">
    <w:abstractNumId w:val="5"/>
  </w:num>
  <w:num w:numId="25" w16cid:durableId="1009404390">
    <w:abstractNumId w:val="4"/>
  </w:num>
  <w:num w:numId="26" w16cid:durableId="1754862233">
    <w:abstractNumId w:val="8"/>
  </w:num>
  <w:num w:numId="27" w16cid:durableId="2054040584">
    <w:abstractNumId w:val="3"/>
  </w:num>
  <w:num w:numId="28" w16cid:durableId="543249534">
    <w:abstractNumId w:val="2"/>
  </w:num>
  <w:num w:numId="29" w16cid:durableId="907687786">
    <w:abstractNumId w:val="1"/>
  </w:num>
  <w:num w:numId="30" w16cid:durableId="87316410">
    <w:abstractNumId w:val="0"/>
  </w:num>
  <w:num w:numId="31" w16cid:durableId="1407727711">
    <w:abstractNumId w:val="9"/>
  </w:num>
  <w:num w:numId="32" w16cid:durableId="531766992">
    <w:abstractNumId w:val="7"/>
  </w:num>
  <w:num w:numId="33" w16cid:durableId="401372731">
    <w:abstractNumId w:val="6"/>
  </w:num>
  <w:num w:numId="34" w16cid:durableId="418210202">
    <w:abstractNumId w:val="5"/>
  </w:num>
  <w:num w:numId="35" w16cid:durableId="524904762">
    <w:abstractNumId w:val="4"/>
  </w:num>
  <w:num w:numId="36" w16cid:durableId="942298716">
    <w:abstractNumId w:val="8"/>
  </w:num>
  <w:num w:numId="37" w16cid:durableId="624848641">
    <w:abstractNumId w:val="3"/>
  </w:num>
  <w:num w:numId="38" w16cid:durableId="1507090079">
    <w:abstractNumId w:val="2"/>
  </w:num>
  <w:num w:numId="39" w16cid:durableId="1590457784">
    <w:abstractNumId w:val="1"/>
  </w:num>
  <w:num w:numId="40" w16cid:durableId="1566794640">
    <w:abstractNumId w:val="0"/>
  </w:num>
  <w:num w:numId="41" w16cid:durableId="643631480">
    <w:abstractNumId w:val="10"/>
  </w:num>
  <w:num w:numId="42" w16cid:durableId="478888047">
    <w:abstractNumId w:val="10"/>
  </w:num>
  <w:num w:numId="43" w16cid:durableId="1343704877">
    <w:abstractNumId w:val="10"/>
  </w:num>
  <w:num w:numId="44" w16cid:durableId="6499904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7/2025"/>
    <w:docVar w:name="dvlangue" w:val="LV"/>
    <w:docVar w:name="dvnumam" w:val="0"/>
    <w:docVar w:name="dvpe" w:val="779.456"/>
    <w:docVar w:name="dvrapporteur" w:val="Referents: "/>
    <w:docVar w:name="dvstar" w:val="***II"/>
    <w:docVar w:name="dvtitre" w:val="Eiropas Parlamenta 2025. gada XX. XXX normatīvā rezolūcija par Padomes nostāju pirmajā lasījumā, lai pieņemtu Eiropas Parlamenta un Padomes regulu par rotaļlietu drošumu un ar ko atceļ Direktīvu 2009/48/EK(09663/1/2025 – C10-0251/2025 – 2023/0290(COD))"/>
  </w:docVars>
  <w:rsids>
    <w:rsidRoot w:val="003F7986"/>
    <w:rsid w:val="00002272"/>
    <w:rsid w:val="00056171"/>
    <w:rsid w:val="00064002"/>
    <w:rsid w:val="000677B9"/>
    <w:rsid w:val="000831BA"/>
    <w:rsid w:val="000A42CC"/>
    <w:rsid w:val="000E7727"/>
    <w:rsid w:val="000E7DD9"/>
    <w:rsid w:val="0010095E"/>
    <w:rsid w:val="00125B37"/>
    <w:rsid w:val="00187494"/>
    <w:rsid w:val="001F32AE"/>
    <w:rsid w:val="002767FF"/>
    <w:rsid w:val="002B18FE"/>
    <w:rsid w:val="002B5493"/>
    <w:rsid w:val="00343214"/>
    <w:rsid w:val="00361C00"/>
    <w:rsid w:val="00395FA1"/>
    <w:rsid w:val="003E15D4"/>
    <w:rsid w:val="003F7986"/>
    <w:rsid w:val="00411CCE"/>
    <w:rsid w:val="0041666E"/>
    <w:rsid w:val="00421060"/>
    <w:rsid w:val="00434759"/>
    <w:rsid w:val="00471C19"/>
    <w:rsid w:val="004867E3"/>
    <w:rsid w:val="00494A28"/>
    <w:rsid w:val="004C0004"/>
    <w:rsid w:val="004C5D52"/>
    <w:rsid w:val="0050519A"/>
    <w:rsid w:val="005072A1"/>
    <w:rsid w:val="00514517"/>
    <w:rsid w:val="00545827"/>
    <w:rsid w:val="00560270"/>
    <w:rsid w:val="005C2568"/>
    <w:rsid w:val="005F1B17"/>
    <w:rsid w:val="006037C0"/>
    <w:rsid w:val="00612DF8"/>
    <w:rsid w:val="00644894"/>
    <w:rsid w:val="006631B6"/>
    <w:rsid w:val="00680577"/>
    <w:rsid w:val="006F55E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6E65"/>
    <w:rsid w:val="00CC2357"/>
    <w:rsid w:val="00CC33B0"/>
    <w:rsid w:val="00CF071A"/>
    <w:rsid w:val="00CF4A52"/>
    <w:rsid w:val="00D058B8"/>
    <w:rsid w:val="00D53D41"/>
    <w:rsid w:val="00D56C11"/>
    <w:rsid w:val="00D834A0"/>
    <w:rsid w:val="00D872DF"/>
    <w:rsid w:val="00D91E21"/>
    <w:rsid w:val="00DA7FCD"/>
    <w:rsid w:val="00E365E1"/>
    <w:rsid w:val="00E820A4"/>
    <w:rsid w:val="00E969A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19BDF"/>
  <w15:chartTrackingRefBased/>
  <w15:docId w15:val="{8B2416DB-7715-4EB5-A2D5-FDF2FA2BA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3D41"/>
    <w:pPr>
      <w:spacing w:before="480" w:after="240"/>
    </w:pPr>
  </w:style>
  <w:style w:type="paragraph" w:customStyle="1" w:styleId="NormalBold">
    <w:name w:val="NormalBold"/>
    <w:basedOn w:val="Normal"/>
    <w:rsid w:val="00D53D41"/>
    <w:rPr>
      <w:b/>
    </w:rPr>
  </w:style>
  <w:style w:type="paragraph" w:customStyle="1" w:styleId="NormalBold12a">
    <w:name w:val="NormalBold12a"/>
    <w:basedOn w:val="Normal"/>
    <w:rsid w:val="00D53D41"/>
    <w:pPr>
      <w:spacing w:after="240"/>
    </w:pPr>
    <w:rPr>
      <w:b/>
    </w:rPr>
  </w:style>
  <w:style w:type="paragraph" w:customStyle="1" w:styleId="NormalHanging12a">
    <w:name w:val="NormalHanging12a"/>
    <w:basedOn w:val="Normal"/>
    <w:rsid w:val="00D53D41"/>
    <w:pPr>
      <w:spacing w:after="240"/>
      <w:ind w:left="567" w:hanging="567"/>
    </w:pPr>
  </w:style>
  <w:style w:type="paragraph" w:customStyle="1" w:styleId="Normal12Hanging">
    <w:name w:val="Normal12Hanging"/>
    <w:basedOn w:val="Normal"/>
    <w:link w:val="Normal12HangingChar"/>
    <w:rsid w:val="00612DF8"/>
    <w:pPr>
      <w:spacing w:after="240"/>
      <w:ind w:left="357" w:hanging="357"/>
    </w:pPr>
  </w:style>
  <w:style w:type="character" w:customStyle="1" w:styleId="Normal12HangingChar">
    <w:name w:val="Normal12Hanging Char"/>
    <w:link w:val="Normal12Hanging"/>
    <w:locked/>
    <w:rsid w:val="00612DF8"/>
    <w:rPr>
      <w:sz w:val="24"/>
      <w:lang w:val="lv-LV"/>
    </w:rPr>
  </w:style>
  <w:style w:type="paragraph" w:customStyle="1" w:styleId="PageHeading">
    <w:name w:val="PageHeading"/>
    <w:basedOn w:val="Normal"/>
    <w:rsid w:val="00612DF8"/>
    <w:pPr>
      <w:keepNext/>
      <w:spacing w:after="480"/>
      <w:jc w:val="center"/>
    </w:pPr>
    <w:rPr>
      <w:rFonts w:ascii="Arial" w:hAnsi="Arial" w:cs="Arial"/>
      <w:b/>
    </w:rPr>
  </w:style>
  <w:style w:type="character" w:styleId="Hyperlink">
    <w:name w:val="Hyperlink"/>
    <w:basedOn w:val="DefaultParagraphFont"/>
    <w:rsid w:val="00612DF8"/>
    <w:rPr>
      <w:color w:val="0563C1" w:themeColor="hyperlink"/>
      <w:u w:val="single"/>
    </w:rPr>
  </w:style>
  <w:style w:type="paragraph" w:styleId="Revision">
    <w:name w:val="Revision"/>
    <w:hidden/>
    <w:uiPriority w:val="99"/>
    <w:semiHidden/>
    <w:rsid w:val="00E969AB"/>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2/oj" TargetMode="External"/><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335</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2026-02-02T09:12:00Z</dcterms:created>
  <dcterms:modified xsi:type="dcterms:W3CDTF">2026-02-02T09:12:00Z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P10_TA(2025)0279_</vt:lpwstr>
  </property>
  <property fmtid="{D5CDD505-2E9C-101B-9397-08002B2CF9AE}" pid="4" name="&lt;Type&gt;">
    <vt:lpwstr>RR</vt:lpwstr>
  </property>
</Properties>
</file>