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91C03" w14:paraId="50014214" w14:textId="77777777" w:rsidTr="0010095E">
        <w:trPr>
          <w:trHeight w:hRule="exact" w:val="1418"/>
        </w:trPr>
        <w:tc>
          <w:tcPr>
            <w:tcW w:w="6804" w:type="dxa"/>
            <w:shd w:val="clear" w:color="auto" w:fill="auto"/>
            <w:vAlign w:val="center"/>
          </w:tcPr>
          <w:p w14:paraId="3C38A20E" w14:textId="77777777" w:rsidR="00751A4A" w:rsidRPr="00D91C03" w:rsidRDefault="00F37FB9" w:rsidP="0010095E">
            <w:pPr>
              <w:pStyle w:val="EPName"/>
            </w:pPr>
            <w:r w:rsidRPr="00D91C03">
              <w:t>Europees Parlement</w:t>
            </w:r>
          </w:p>
          <w:p w14:paraId="63ADC8BA" w14:textId="77777777" w:rsidR="00751A4A" w:rsidRPr="00D91C03" w:rsidRDefault="005F1B17" w:rsidP="005F1B17">
            <w:pPr>
              <w:pStyle w:val="EPTerm"/>
              <w:rPr>
                <w:rStyle w:val="HideTWBExt"/>
                <w:noProof w:val="0"/>
                <w:vanish w:val="0"/>
                <w:color w:val="auto"/>
              </w:rPr>
            </w:pPr>
            <w:r w:rsidRPr="00D91C03">
              <w:t>2024</w:t>
            </w:r>
            <w:r w:rsidR="00817416" w:rsidRPr="00D91C03">
              <w:t>-202</w:t>
            </w:r>
            <w:r w:rsidRPr="00D91C03">
              <w:t>9</w:t>
            </w:r>
          </w:p>
        </w:tc>
        <w:tc>
          <w:tcPr>
            <w:tcW w:w="2268" w:type="dxa"/>
            <w:shd w:val="clear" w:color="auto" w:fill="auto"/>
          </w:tcPr>
          <w:p w14:paraId="1CFA7904" w14:textId="77777777" w:rsidR="00751A4A" w:rsidRPr="00D91C03" w:rsidRDefault="00187494" w:rsidP="0010095E">
            <w:pPr>
              <w:pStyle w:val="EPLogo"/>
            </w:pPr>
            <w:r w:rsidRPr="00D91C03">
              <w:rPr>
                <w:noProof/>
                <w:lang w:eastAsia="ja-JP"/>
              </w:rPr>
              <w:drawing>
                <wp:inline distT="0" distB="0" distL="0" distR="0" wp14:anchorId="1EE5A5FC" wp14:editId="6B1D84C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B50D8DF" w14:textId="77777777" w:rsidR="00D058B8" w:rsidRPr="00D91C03" w:rsidRDefault="00D058B8" w:rsidP="004C5D52">
      <w:pPr>
        <w:pStyle w:val="LineTop"/>
      </w:pPr>
    </w:p>
    <w:p w14:paraId="479CDA86" w14:textId="77777777" w:rsidR="00680577" w:rsidRPr="00D91C03" w:rsidRDefault="00F37FB9" w:rsidP="00680577">
      <w:pPr>
        <w:pStyle w:val="EPBodyTA1"/>
      </w:pPr>
      <w:r w:rsidRPr="00D91C03">
        <w:t>AANGENOMEN TEKSTEN</w:t>
      </w:r>
    </w:p>
    <w:p w14:paraId="677815A7" w14:textId="77777777" w:rsidR="00D058B8" w:rsidRPr="00D91C03" w:rsidRDefault="00D058B8" w:rsidP="00D058B8">
      <w:pPr>
        <w:pStyle w:val="LineBottom"/>
      </w:pPr>
    </w:p>
    <w:p w14:paraId="04E392BF" w14:textId="55F335AF" w:rsidR="00F37FB9" w:rsidRPr="00D91C03" w:rsidRDefault="00F37FB9" w:rsidP="00F37FB9">
      <w:pPr>
        <w:pStyle w:val="ATHeading1"/>
      </w:pPr>
      <w:bookmarkStart w:id="0" w:name="TANumber"/>
      <w:r w:rsidRPr="00D91C03">
        <w:t>P10_TA(2025)0</w:t>
      </w:r>
      <w:bookmarkEnd w:id="0"/>
      <w:r w:rsidR="00D91C03" w:rsidRPr="00D91C03">
        <w:t>279</w:t>
      </w:r>
    </w:p>
    <w:p w14:paraId="29814C28" w14:textId="77777777" w:rsidR="00F37FB9" w:rsidRPr="00D91C03" w:rsidRDefault="00F37FB9" w:rsidP="00F37FB9">
      <w:pPr>
        <w:pStyle w:val="ATHeading2"/>
      </w:pPr>
      <w:bookmarkStart w:id="1" w:name="title"/>
      <w:r w:rsidRPr="00D91C03">
        <w:t>Veiligheid van speelgoed en intrekking van Richtlijn 2009/48/EG</w:t>
      </w:r>
      <w:bookmarkEnd w:id="1"/>
    </w:p>
    <w:p w14:paraId="605358CC" w14:textId="77777777" w:rsidR="00F37FB9" w:rsidRPr="00D91C03" w:rsidRDefault="00F37FB9" w:rsidP="00F37FB9">
      <w:pPr>
        <w:rPr>
          <w:i/>
          <w:vanish/>
        </w:rPr>
      </w:pPr>
      <w:r w:rsidRPr="00D91C03">
        <w:rPr>
          <w:i/>
        </w:rPr>
        <w:fldChar w:fldCharType="begin"/>
      </w:r>
      <w:r w:rsidRPr="00D91C03">
        <w:rPr>
          <w:i/>
        </w:rPr>
        <w:instrText xml:space="preserve"> TC"(</w:instrText>
      </w:r>
      <w:bookmarkStart w:id="2" w:name="DocNumber"/>
      <w:r w:rsidRPr="00D91C03">
        <w:rPr>
          <w:i/>
        </w:rPr>
        <w:instrText>A10-0227/2025</w:instrText>
      </w:r>
      <w:bookmarkEnd w:id="2"/>
      <w:r w:rsidRPr="00D91C03">
        <w:rPr>
          <w:i/>
        </w:rPr>
        <w:instrText xml:space="preserve"> - Rapporteur: Marion Walsmann)"\l3 \n&gt; \* MERGEFORMAT </w:instrText>
      </w:r>
      <w:r w:rsidRPr="00D91C03">
        <w:rPr>
          <w:i/>
        </w:rPr>
        <w:fldChar w:fldCharType="end"/>
      </w:r>
    </w:p>
    <w:p w14:paraId="788261C6" w14:textId="77777777" w:rsidR="00F37FB9" w:rsidRPr="00D91C03" w:rsidRDefault="00F37FB9" w:rsidP="00F37FB9">
      <w:pPr>
        <w:rPr>
          <w:vanish/>
        </w:rPr>
      </w:pPr>
      <w:bookmarkStart w:id="3" w:name="Commission"/>
      <w:r w:rsidRPr="00D91C03">
        <w:rPr>
          <w:vanish/>
        </w:rPr>
        <w:t>Commissie interne markt en consumentenbescherming</w:t>
      </w:r>
      <w:bookmarkEnd w:id="3"/>
    </w:p>
    <w:p w14:paraId="3CEDD6B3" w14:textId="77777777" w:rsidR="00F37FB9" w:rsidRPr="00D91C03" w:rsidRDefault="00F37FB9" w:rsidP="00F37FB9">
      <w:pPr>
        <w:rPr>
          <w:vanish/>
        </w:rPr>
      </w:pPr>
      <w:bookmarkStart w:id="4" w:name="PE"/>
      <w:r w:rsidRPr="00D91C03">
        <w:rPr>
          <w:vanish/>
        </w:rPr>
        <w:t>PE779.456</w:t>
      </w:r>
      <w:bookmarkEnd w:id="4"/>
    </w:p>
    <w:p w14:paraId="0B526EEB" w14:textId="2BD69FE6" w:rsidR="00F37FB9" w:rsidRPr="00D91C03" w:rsidRDefault="00F37FB9" w:rsidP="00F37FB9">
      <w:pPr>
        <w:pStyle w:val="ATHeading3"/>
      </w:pPr>
      <w:bookmarkStart w:id="5" w:name="Sujet"/>
      <w:r w:rsidRPr="00D91C03">
        <w:t xml:space="preserve">Wetgevingsresolutie van het Europees Parlement van </w:t>
      </w:r>
      <w:r w:rsidR="00E21635" w:rsidRPr="00D91C03">
        <w:t>25</w:t>
      </w:r>
      <w:r w:rsidRPr="00D91C03">
        <w:t xml:space="preserve"> november 2025 over het standpunt van de Raad in eerste lezing met het oog op de vaststelling van een verordening van het Europees Parlement en de Raad betreffende de veiligheid van speelgoed en tot intrekking van Richtlijn 2009/48/EG</w:t>
      </w:r>
      <w:bookmarkEnd w:id="5"/>
      <w:r w:rsidRPr="00D91C03">
        <w:t xml:space="preserve"> </w:t>
      </w:r>
      <w:bookmarkStart w:id="6" w:name="References"/>
      <w:r w:rsidRPr="00D91C03">
        <w:t>(09663/1/2025 – C10-0251/2025 – 2023/0290(COD))</w:t>
      </w:r>
      <w:bookmarkEnd w:id="6"/>
    </w:p>
    <w:p w14:paraId="7475D155" w14:textId="77777777" w:rsidR="00F37FB9" w:rsidRPr="00D91C03" w:rsidRDefault="00F37FB9" w:rsidP="00F37FB9"/>
    <w:p w14:paraId="3AD8A2D2" w14:textId="77777777" w:rsidR="00A0258D" w:rsidRPr="00D91C03" w:rsidRDefault="00A0258D" w:rsidP="00A0258D">
      <w:pPr>
        <w:pStyle w:val="NormalBold"/>
      </w:pPr>
      <w:bookmarkStart w:id="7" w:name="TextBodyBegin"/>
      <w:bookmarkEnd w:id="7"/>
      <w:r w:rsidRPr="00D91C03">
        <w:t>(Gewone wetgevingsprocedure: tweede lezing)</w:t>
      </w:r>
    </w:p>
    <w:p w14:paraId="23EB1FFE" w14:textId="77777777" w:rsidR="00A0258D" w:rsidRPr="00D91C03" w:rsidRDefault="00A0258D" w:rsidP="00A0258D">
      <w:pPr>
        <w:pStyle w:val="EPComma"/>
      </w:pPr>
      <w:r w:rsidRPr="00D91C03">
        <w:rPr>
          <w:i/>
        </w:rPr>
        <w:t>Het Europees Parlement</w:t>
      </w:r>
      <w:r w:rsidRPr="00D91C03">
        <w:t>,</w:t>
      </w:r>
    </w:p>
    <w:p w14:paraId="0E37149D" w14:textId="77777777" w:rsidR="00A0258D" w:rsidRPr="00D91C03" w:rsidRDefault="00A0258D" w:rsidP="00A0258D">
      <w:pPr>
        <w:pStyle w:val="NormalHanging12a"/>
      </w:pPr>
      <w:r w:rsidRPr="00D91C03">
        <w:t>–</w:t>
      </w:r>
      <w:r w:rsidRPr="00D91C03">
        <w:tab/>
        <w:t>gezien het standpunt van de Raad in eerste lezing (09663/1/2025 – C10</w:t>
      </w:r>
      <w:r w:rsidRPr="00D91C03">
        <w:noBreakHyphen/>
        <w:t>0251/2025),</w:t>
      </w:r>
    </w:p>
    <w:p w14:paraId="721E8D7E" w14:textId="77777777" w:rsidR="00A0258D" w:rsidRPr="00D91C03" w:rsidRDefault="00A0258D" w:rsidP="00A0258D">
      <w:pPr>
        <w:pStyle w:val="NormalHanging12a"/>
      </w:pPr>
      <w:r w:rsidRPr="00D91C03">
        <w:t>–</w:t>
      </w:r>
      <w:r w:rsidRPr="00D91C03">
        <w:tab/>
        <w:t>gezien het advies van het Europees Economisch en Sociaal Comité van 13 december 2023</w:t>
      </w:r>
      <w:r w:rsidRPr="00D91C03">
        <w:rPr>
          <w:rStyle w:val="FootnoteReference"/>
        </w:rPr>
        <w:footnoteReference w:id="1"/>
      </w:r>
      <w:r w:rsidRPr="00D91C03">
        <w:t>,</w:t>
      </w:r>
    </w:p>
    <w:p w14:paraId="19271F66" w14:textId="2B9C9EF0" w:rsidR="00A0258D" w:rsidRPr="00D91C03" w:rsidRDefault="00A0258D" w:rsidP="00A0258D">
      <w:pPr>
        <w:pStyle w:val="NormalHanging12a"/>
      </w:pPr>
      <w:r w:rsidRPr="00D91C03">
        <w:t>–</w:t>
      </w:r>
      <w:r w:rsidRPr="00D91C03">
        <w:tab/>
        <w:t>gezien zijn in eerste lezing geformuleerde standpunt</w:t>
      </w:r>
      <w:r w:rsidRPr="00D91C03">
        <w:rPr>
          <w:rStyle w:val="FootnoteReference"/>
        </w:rPr>
        <w:footnoteReference w:id="2"/>
      </w:r>
      <w:r w:rsidRPr="00D91C03">
        <w:t xml:space="preserve"> inzake het voorstel van de Commissie aan het Europees Parlement en de Raad (COM(2023)</w:t>
      </w:r>
      <w:r w:rsidR="00A63CFE">
        <w:t>0</w:t>
      </w:r>
      <w:r w:rsidRPr="00D91C03">
        <w:t>462),</w:t>
      </w:r>
    </w:p>
    <w:p w14:paraId="0CEC5304" w14:textId="77777777" w:rsidR="00A0258D" w:rsidRPr="00D91C03" w:rsidRDefault="00A0258D" w:rsidP="00A0258D">
      <w:pPr>
        <w:pStyle w:val="NormalHanging12a"/>
      </w:pPr>
      <w:r w:rsidRPr="00D91C03">
        <w:t>–</w:t>
      </w:r>
      <w:r w:rsidRPr="00D91C03">
        <w:tab/>
        <w:t>gezien artikel 294, lid 7, van het Verdrag betreffende de werking van de Europese Unie,</w:t>
      </w:r>
    </w:p>
    <w:p w14:paraId="61397474" w14:textId="77777777" w:rsidR="00A0258D" w:rsidRPr="00D91C03" w:rsidRDefault="00A0258D" w:rsidP="00A0258D">
      <w:pPr>
        <w:pStyle w:val="NormalHanging12a"/>
      </w:pPr>
      <w:r w:rsidRPr="00D91C03">
        <w:t>–</w:t>
      </w:r>
      <w:r w:rsidRPr="00D91C03">
        <w:tab/>
        <w:t>gezien het overeenkomstig artikel 75, lid 4, van zijn Reglement door de bevoegde commissie goedgekeurde voorlopig akkoord,</w:t>
      </w:r>
    </w:p>
    <w:p w14:paraId="7435623A" w14:textId="77777777" w:rsidR="00A0258D" w:rsidRPr="00D91C03" w:rsidRDefault="00A0258D" w:rsidP="00A0258D">
      <w:pPr>
        <w:pStyle w:val="NormalHanging12a"/>
      </w:pPr>
      <w:r w:rsidRPr="00D91C03">
        <w:t>–</w:t>
      </w:r>
      <w:r w:rsidRPr="00D91C03">
        <w:tab/>
        <w:t>gezien artikel 68 van zijn Reglement,</w:t>
      </w:r>
    </w:p>
    <w:p w14:paraId="3F062DFA" w14:textId="77777777" w:rsidR="00A0258D" w:rsidRPr="00D91C03" w:rsidRDefault="00A0258D" w:rsidP="00A0258D">
      <w:pPr>
        <w:pStyle w:val="NormalHanging12a"/>
      </w:pPr>
      <w:r w:rsidRPr="00D91C03">
        <w:t>–</w:t>
      </w:r>
      <w:r w:rsidRPr="00D91C03">
        <w:tab/>
        <w:t>gezien de aanbeveling voor de tweede lezing van de Commissie interne markt en consumentenbescherming (A10-0227/2025),</w:t>
      </w:r>
    </w:p>
    <w:p w14:paraId="6B1EA0AA" w14:textId="77777777" w:rsidR="00A0258D" w:rsidRPr="00D91C03" w:rsidRDefault="00A0258D" w:rsidP="00A0258D">
      <w:pPr>
        <w:pStyle w:val="NormalHanging12a"/>
      </w:pPr>
      <w:r w:rsidRPr="00D91C03">
        <w:t>1.</w:t>
      </w:r>
      <w:r w:rsidRPr="00D91C03">
        <w:tab/>
        <w:t>hecht zijn goedkeuring aan het standpunt van de Raad in eerste lezing;</w:t>
      </w:r>
    </w:p>
    <w:p w14:paraId="11069997" w14:textId="6D1B85DB" w:rsidR="00A0258D" w:rsidRPr="00D91C03" w:rsidRDefault="00A0258D" w:rsidP="00A0258D">
      <w:pPr>
        <w:pStyle w:val="NormalHanging12a"/>
      </w:pPr>
      <w:r w:rsidRPr="00D91C03">
        <w:t>2.</w:t>
      </w:r>
      <w:r w:rsidRPr="00D91C03">
        <w:tab/>
        <w:t xml:space="preserve">neemt kennis van de verklaring van de Commissie die als bijlage bij deze resolutie is </w:t>
      </w:r>
      <w:r w:rsidRPr="00D91C03">
        <w:lastRenderedPageBreak/>
        <w:t>gevoegd en in de C</w:t>
      </w:r>
      <w:r w:rsidRPr="00D91C03">
        <w:noBreakHyphen/>
        <w:t xml:space="preserve">serie van het </w:t>
      </w:r>
      <w:r w:rsidRPr="00D91C03">
        <w:rPr>
          <w:i/>
        </w:rPr>
        <w:t>Publicatieblad van de Europese Unie</w:t>
      </w:r>
      <w:r w:rsidRPr="00D91C03">
        <w:t xml:space="preserve"> zal worden bekendgemaakt;</w:t>
      </w:r>
    </w:p>
    <w:p w14:paraId="453EE4D6" w14:textId="77777777" w:rsidR="00A0258D" w:rsidRPr="00D91C03" w:rsidRDefault="00A0258D" w:rsidP="00A0258D">
      <w:pPr>
        <w:pStyle w:val="NormalHanging12a"/>
      </w:pPr>
      <w:r w:rsidRPr="00D91C03">
        <w:t>3.</w:t>
      </w:r>
      <w:r w:rsidRPr="00D91C03">
        <w:tab/>
        <w:t>constateert dat de handeling is vastgesteld overeenkomstig het standpunt van de Raad;</w:t>
      </w:r>
    </w:p>
    <w:p w14:paraId="18DDBB50" w14:textId="77777777" w:rsidR="00A0258D" w:rsidRPr="00D91C03" w:rsidRDefault="00A0258D" w:rsidP="00A0258D">
      <w:pPr>
        <w:pStyle w:val="NormalHanging12a"/>
      </w:pPr>
      <w:r w:rsidRPr="00D91C03">
        <w:t>4.</w:t>
      </w:r>
      <w:r w:rsidRPr="00D91C03">
        <w:tab/>
        <w:t>verzoekt zijn Voorzitter de handeling samen met de voorzitter van de Raad overeenkomstig artikel 297, lid 1, van het Verdrag betreffende de werking van de Europese Unie te ondertekenen;</w:t>
      </w:r>
    </w:p>
    <w:p w14:paraId="0D67B02D" w14:textId="77777777" w:rsidR="00A0258D" w:rsidRPr="00D91C03" w:rsidRDefault="00A0258D" w:rsidP="00A0258D">
      <w:pPr>
        <w:pStyle w:val="NormalHanging12a"/>
      </w:pPr>
      <w:r w:rsidRPr="00D91C03">
        <w:t>5.</w:t>
      </w:r>
      <w:r w:rsidRPr="00D91C03">
        <w:tab/>
        <w:t xml:space="preserve">verzoekt zijn secretaris-generaal de handeling te ondertekenen nadat is nagegaan of alle procedures naar behoren zijn uitgevoerd, en met de secretaris-generaal van de Raad te zorgen voor bekendmaking ervan in het </w:t>
      </w:r>
      <w:r w:rsidRPr="00D91C03">
        <w:rPr>
          <w:i/>
        </w:rPr>
        <w:t>Publicatieblad van de Europese Unie</w:t>
      </w:r>
      <w:r w:rsidRPr="00D91C03">
        <w:t>;</w:t>
      </w:r>
    </w:p>
    <w:p w14:paraId="5DDE6618" w14:textId="4D24344F" w:rsidR="009306C7" w:rsidRPr="00D91C03" w:rsidRDefault="00A0258D" w:rsidP="009306C7">
      <w:pPr>
        <w:pStyle w:val="NormalHanging12a"/>
      </w:pPr>
      <w:r w:rsidRPr="00D91C03">
        <w:t>6.</w:t>
      </w:r>
      <w:r w:rsidRPr="00D91C03">
        <w:tab/>
        <w:t>verzoekt zijn Voorzitter het standpunt van het Parlement te doen toekomen aan de Raad en de Commissie alsook aan de nationale parlementen.</w:t>
      </w:r>
    </w:p>
    <w:p w14:paraId="18B88CFE" w14:textId="77777777" w:rsidR="00E21635" w:rsidRPr="00D91C03" w:rsidRDefault="00E21635" w:rsidP="00F37FB9">
      <w:pPr>
        <w:sectPr w:rsidR="00E21635" w:rsidRPr="00D91C03" w:rsidSect="009306C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E1E667C" w14:textId="77777777" w:rsidR="00E21635" w:rsidRPr="00D91C03" w:rsidRDefault="00E21635" w:rsidP="00E21635">
      <w:pPr>
        <w:pStyle w:val="PageHeading"/>
        <w:jc w:val="right"/>
        <w:outlineLvl w:val="0"/>
        <w:rPr>
          <w:rFonts w:ascii="Times New Roman" w:hAnsi="Times New Roman" w:cs="Times New Roman"/>
          <w:b w:val="0"/>
          <w:bCs/>
        </w:rPr>
      </w:pPr>
      <w:bookmarkStart w:id="8" w:name="_Toc214465376"/>
      <w:r w:rsidRPr="00D91C03">
        <w:rPr>
          <w:rFonts w:ascii="Times New Roman" w:hAnsi="Times New Roman" w:cs="Times New Roman"/>
          <w:b w:val="0"/>
          <w:bCs/>
        </w:rPr>
        <w:lastRenderedPageBreak/>
        <w:t>BIJLAGE BIJ DE WETGEVINGSRESOLUTIE</w:t>
      </w:r>
    </w:p>
    <w:p w14:paraId="0A823952" w14:textId="4315B65E" w:rsidR="00E21635" w:rsidRPr="00D91C03" w:rsidRDefault="00E21635" w:rsidP="00E21635">
      <w:pPr>
        <w:pStyle w:val="PageHeading"/>
        <w:outlineLvl w:val="0"/>
        <w:rPr>
          <w:rFonts w:ascii="Times New Roman" w:hAnsi="Times New Roman" w:cs="Times New Roman"/>
        </w:rPr>
      </w:pPr>
      <w:r w:rsidRPr="00D91C03">
        <w:rPr>
          <w:rFonts w:ascii="Times New Roman" w:hAnsi="Times New Roman" w:cs="Times New Roman"/>
        </w:rPr>
        <w:t>VERKLARING VAN DE COMMISSIE</w:t>
      </w:r>
      <w:bookmarkEnd w:id="8"/>
      <w:r w:rsidR="00A71AA5" w:rsidRPr="00D91C03">
        <w:rPr>
          <w:rFonts w:ascii="Times New Roman" w:hAnsi="Times New Roman" w:cs="Times New Roman"/>
        </w:rPr>
        <w:t xml:space="preserve"> TER GELEGENHEID VAN DE VASTSTELLING VAN VERORDENING </w:t>
      </w:r>
      <w:r w:rsidR="00A63CFE">
        <w:rPr>
          <w:rFonts w:ascii="Times New Roman" w:hAnsi="Times New Roman" w:cs="Times New Roman"/>
        </w:rPr>
        <w:t xml:space="preserve">(EU) </w:t>
      </w:r>
      <w:r w:rsidR="00A71AA5" w:rsidRPr="00D91C03">
        <w:rPr>
          <w:rFonts w:ascii="Times New Roman" w:hAnsi="Times New Roman" w:cs="Times New Roman"/>
          <w:bCs/>
        </w:rPr>
        <w:t>2025/</w:t>
      </w:r>
      <w:r w:rsidR="00A63CFE">
        <w:rPr>
          <w:rFonts w:ascii="Times New Roman" w:hAnsi="Times New Roman" w:cs="Times New Roman"/>
          <w:bCs/>
        </w:rPr>
        <w:t>2509</w:t>
      </w:r>
    </w:p>
    <w:p w14:paraId="2159ACF6" w14:textId="0DDD291E" w:rsidR="00E365E1" w:rsidRPr="00D91C03" w:rsidRDefault="00E21635" w:rsidP="00F37FB9">
      <w:bookmarkStart w:id="9" w:name="_Hlk196383635"/>
      <w:r w:rsidRPr="00D91C03">
        <w:t xml:space="preserve">De Commissie evalueert de aanwezigheid van gevaarlijke chemische stoffen in speelgoed regelmatig en systematisch en houdt daarbij rekening met de beschikbare wetenschappelijke gegevens, teneinde de grenswaarden of de voorwaarden voor de aanwezigheid van specifieke chemische stoffen of mengsels in speelgoed aan te passen overeenkomstig artikel 46 van Verordening </w:t>
      </w:r>
      <w:r w:rsidR="00A63CFE">
        <w:t xml:space="preserve">(EU) </w:t>
      </w:r>
      <w:r w:rsidRPr="00D91C03">
        <w:t>2025/</w:t>
      </w:r>
      <w:r w:rsidR="00A63CFE">
        <w:t>2509</w:t>
      </w:r>
      <w:r w:rsidRPr="00D91C03">
        <w:t xml:space="preserve"> betreffende de veiligheid van speelgoed. Daartoe zal de Commissie het Europees Agentschap voor chemische stoffen verzoeken binnen 12 maanden na de inwerkingtreding van deze verordening een advies uit te brengen over de veiligheid van </w:t>
      </w:r>
      <w:proofErr w:type="spellStart"/>
      <w:r w:rsidRPr="00D91C03">
        <w:t>nitrosaminen</w:t>
      </w:r>
      <w:proofErr w:type="spellEnd"/>
      <w:r w:rsidRPr="00D91C03">
        <w:t xml:space="preserve"> en </w:t>
      </w:r>
      <w:proofErr w:type="spellStart"/>
      <w:r w:rsidRPr="00D91C03">
        <w:t>nitroseerbare</w:t>
      </w:r>
      <w:proofErr w:type="spellEnd"/>
      <w:r w:rsidRPr="00D91C03">
        <w:t xml:space="preserve"> stoffen in speelgoed, met het oog op de totale blootstelling. Tevens zal de Commissie het Europees Agentschap voor chemische stoffen verzoeken binnen 24 maanden na de inwerkingtreding van deze verordening een advies uit te brengen over de veiligheid van lood, cadmium, kwik en </w:t>
      </w:r>
      <w:proofErr w:type="spellStart"/>
      <w:r w:rsidRPr="00D91C03">
        <w:t>zeswaardig</w:t>
      </w:r>
      <w:proofErr w:type="spellEnd"/>
      <w:r w:rsidRPr="00D91C03">
        <w:t xml:space="preserve"> chroom in speelgoed, met het oog op de totale blootstelling.</w:t>
      </w:r>
      <w:bookmarkEnd w:id="9"/>
    </w:p>
    <w:sectPr w:rsidR="00E365E1" w:rsidRPr="00D91C03" w:rsidSect="009306C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B6FAE3" w14:textId="77777777" w:rsidR="00F37FB9" w:rsidRPr="009306C7" w:rsidRDefault="00F37FB9">
      <w:r w:rsidRPr="009306C7">
        <w:separator/>
      </w:r>
    </w:p>
  </w:endnote>
  <w:endnote w:type="continuationSeparator" w:id="0">
    <w:p w14:paraId="00E952BF" w14:textId="77777777" w:rsidR="00F37FB9" w:rsidRPr="009306C7" w:rsidRDefault="00F37FB9">
      <w:r w:rsidRPr="009306C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FDBF78" w14:textId="77777777" w:rsidR="00064002" w:rsidRPr="009306C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E51ABC" w14:textId="77777777" w:rsidR="00064002" w:rsidRPr="009306C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CB5653" w14:textId="77777777" w:rsidR="00064002" w:rsidRPr="009306C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D07DC0" w14:textId="77777777" w:rsidR="00F37FB9" w:rsidRPr="009306C7" w:rsidRDefault="00F37FB9">
      <w:r w:rsidRPr="009306C7">
        <w:separator/>
      </w:r>
    </w:p>
  </w:footnote>
  <w:footnote w:type="continuationSeparator" w:id="0">
    <w:p w14:paraId="49C08712" w14:textId="77777777" w:rsidR="00F37FB9" w:rsidRPr="009306C7" w:rsidRDefault="00F37FB9">
      <w:r w:rsidRPr="009306C7">
        <w:continuationSeparator/>
      </w:r>
    </w:p>
  </w:footnote>
  <w:footnote w:id="1">
    <w:p w14:paraId="28D8D848" w14:textId="6E5F6AE4" w:rsidR="00A0258D" w:rsidRPr="00A71AA5" w:rsidRDefault="00A0258D" w:rsidP="009306C7">
      <w:pPr>
        <w:pStyle w:val="FootnoteText"/>
        <w:ind w:left="567" w:hanging="567"/>
        <w:rPr>
          <w:sz w:val="24"/>
          <w:lang w:val="fi-FI"/>
        </w:rPr>
      </w:pPr>
      <w:r w:rsidRPr="009306C7">
        <w:rPr>
          <w:rStyle w:val="FootnoteReference"/>
          <w:sz w:val="24"/>
          <w:lang w:val="nl-NL"/>
        </w:rPr>
        <w:footnoteRef/>
      </w:r>
      <w:r w:rsidR="009306C7" w:rsidRPr="00A71AA5">
        <w:rPr>
          <w:sz w:val="24"/>
          <w:lang w:val="fi-FI"/>
        </w:rPr>
        <w:tab/>
      </w:r>
      <w:r w:rsidRPr="00A71AA5">
        <w:rPr>
          <w:sz w:val="24"/>
          <w:lang w:val="fi-FI"/>
        </w:rPr>
        <w:t xml:space="preserve">PB C, C/2024/1577, 5.3.2024, ELI: </w:t>
      </w:r>
      <w:hyperlink r:id="rId1" w:history="1">
        <w:r w:rsidR="008B26AC" w:rsidRPr="00A71AA5">
          <w:rPr>
            <w:rStyle w:val="Hyperlink"/>
            <w:sz w:val="24"/>
            <w:lang w:val="fi-FI"/>
          </w:rPr>
          <w:t>http://data.europa.eu/eli/C/2024/1577/oj</w:t>
        </w:r>
      </w:hyperlink>
      <w:r w:rsidRPr="00A71AA5">
        <w:rPr>
          <w:sz w:val="24"/>
          <w:lang w:val="fi-FI"/>
        </w:rPr>
        <w:t>.</w:t>
      </w:r>
    </w:p>
  </w:footnote>
  <w:footnote w:id="2">
    <w:p w14:paraId="21EE04FF" w14:textId="6992A5D1" w:rsidR="00A0258D" w:rsidRPr="00A71AA5" w:rsidRDefault="00A0258D" w:rsidP="009306C7">
      <w:pPr>
        <w:pStyle w:val="FootnoteText"/>
        <w:ind w:left="567" w:hanging="567"/>
        <w:rPr>
          <w:sz w:val="24"/>
          <w:lang w:val="fi-FI"/>
        </w:rPr>
      </w:pPr>
      <w:r w:rsidRPr="009306C7">
        <w:rPr>
          <w:rStyle w:val="FootnoteReference"/>
          <w:sz w:val="24"/>
          <w:lang w:val="nl-NL"/>
        </w:rPr>
        <w:footnoteRef/>
      </w:r>
      <w:r w:rsidR="009306C7" w:rsidRPr="00A71AA5">
        <w:rPr>
          <w:sz w:val="24"/>
          <w:lang w:val="fi-FI"/>
        </w:rPr>
        <w:tab/>
      </w:r>
      <w:r w:rsidRPr="00A71AA5">
        <w:rPr>
          <w:sz w:val="24"/>
          <w:lang w:val="fi-FI"/>
        </w:rPr>
        <w:t>PB C, C/</w:t>
      </w:r>
      <w:r w:rsidR="0002770F" w:rsidRPr="0002770F">
        <w:rPr>
          <w:sz w:val="24"/>
          <w:lang w:val="fi-FI"/>
        </w:rPr>
        <w:t>2025/1032</w:t>
      </w:r>
      <w:r w:rsidRPr="00A71AA5">
        <w:rPr>
          <w:sz w:val="24"/>
          <w:lang w:val="fi-FI"/>
        </w:rPr>
        <w:t xml:space="preserve">, 27.2.2025, ELI: </w:t>
      </w:r>
      <w:hyperlink r:id="rId2" w:history="1">
        <w:r w:rsidR="008B26AC" w:rsidRPr="00A71AA5">
          <w:rPr>
            <w:rStyle w:val="Hyperlink"/>
            <w:sz w:val="24"/>
            <w:lang w:val="fi-FI"/>
          </w:rPr>
          <w:t>http://data.europa.eu/eli/C/2025/1032/oj</w:t>
        </w:r>
      </w:hyperlink>
      <w:r w:rsidRPr="00A71AA5">
        <w:rPr>
          <w:sz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0C4575" w14:textId="77777777" w:rsidR="00064002" w:rsidRPr="009306C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F13362" w14:textId="77777777" w:rsidR="00064002" w:rsidRPr="009306C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0956BA" w14:textId="77777777" w:rsidR="00064002" w:rsidRPr="009306C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16226654">
    <w:abstractNumId w:val="9"/>
  </w:num>
  <w:num w:numId="2" w16cid:durableId="67773941">
    <w:abstractNumId w:val="9"/>
  </w:num>
  <w:num w:numId="3" w16cid:durableId="2137676153">
    <w:abstractNumId w:val="7"/>
  </w:num>
  <w:num w:numId="4" w16cid:durableId="612593402">
    <w:abstractNumId w:val="7"/>
  </w:num>
  <w:num w:numId="5" w16cid:durableId="2122605195">
    <w:abstractNumId w:val="6"/>
  </w:num>
  <w:num w:numId="6" w16cid:durableId="979650011">
    <w:abstractNumId w:val="6"/>
  </w:num>
  <w:num w:numId="7" w16cid:durableId="144014125">
    <w:abstractNumId w:val="5"/>
  </w:num>
  <w:num w:numId="8" w16cid:durableId="223101627">
    <w:abstractNumId w:val="5"/>
  </w:num>
  <w:num w:numId="9" w16cid:durableId="2130736086">
    <w:abstractNumId w:val="4"/>
  </w:num>
  <w:num w:numId="10" w16cid:durableId="382871787">
    <w:abstractNumId w:val="4"/>
  </w:num>
  <w:num w:numId="11" w16cid:durableId="493842831">
    <w:abstractNumId w:val="8"/>
  </w:num>
  <w:num w:numId="12" w16cid:durableId="274872982">
    <w:abstractNumId w:val="8"/>
  </w:num>
  <w:num w:numId="13" w16cid:durableId="1331785801">
    <w:abstractNumId w:val="3"/>
  </w:num>
  <w:num w:numId="14" w16cid:durableId="1361928086">
    <w:abstractNumId w:val="3"/>
  </w:num>
  <w:num w:numId="15" w16cid:durableId="1084108840">
    <w:abstractNumId w:val="2"/>
  </w:num>
  <w:num w:numId="16" w16cid:durableId="895624400">
    <w:abstractNumId w:val="2"/>
  </w:num>
  <w:num w:numId="17" w16cid:durableId="1488127008">
    <w:abstractNumId w:val="1"/>
  </w:num>
  <w:num w:numId="18" w16cid:durableId="1718429491">
    <w:abstractNumId w:val="1"/>
  </w:num>
  <w:num w:numId="19" w16cid:durableId="1778868723">
    <w:abstractNumId w:val="0"/>
  </w:num>
  <w:num w:numId="20" w16cid:durableId="1108357903">
    <w:abstractNumId w:val="0"/>
  </w:num>
  <w:num w:numId="21" w16cid:durableId="653610224">
    <w:abstractNumId w:val="9"/>
  </w:num>
  <w:num w:numId="22" w16cid:durableId="469636808">
    <w:abstractNumId w:val="7"/>
  </w:num>
  <w:num w:numId="23" w16cid:durableId="1971864647">
    <w:abstractNumId w:val="6"/>
  </w:num>
  <w:num w:numId="24" w16cid:durableId="256065073">
    <w:abstractNumId w:val="5"/>
  </w:num>
  <w:num w:numId="25" w16cid:durableId="1589996958">
    <w:abstractNumId w:val="4"/>
  </w:num>
  <w:num w:numId="26" w16cid:durableId="539129645">
    <w:abstractNumId w:val="8"/>
  </w:num>
  <w:num w:numId="27" w16cid:durableId="1075124440">
    <w:abstractNumId w:val="3"/>
  </w:num>
  <w:num w:numId="28" w16cid:durableId="660893092">
    <w:abstractNumId w:val="2"/>
  </w:num>
  <w:num w:numId="29" w16cid:durableId="1234007026">
    <w:abstractNumId w:val="1"/>
  </w:num>
  <w:num w:numId="30" w16cid:durableId="126824079">
    <w:abstractNumId w:val="0"/>
  </w:num>
  <w:num w:numId="31" w16cid:durableId="213397245">
    <w:abstractNumId w:val="9"/>
  </w:num>
  <w:num w:numId="32" w16cid:durableId="2022124921">
    <w:abstractNumId w:val="7"/>
  </w:num>
  <w:num w:numId="33" w16cid:durableId="1237933299">
    <w:abstractNumId w:val="6"/>
  </w:num>
  <w:num w:numId="34" w16cid:durableId="1372532657">
    <w:abstractNumId w:val="5"/>
  </w:num>
  <w:num w:numId="35" w16cid:durableId="918909675">
    <w:abstractNumId w:val="4"/>
  </w:num>
  <w:num w:numId="36" w16cid:durableId="1414159545">
    <w:abstractNumId w:val="8"/>
  </w:num>
  <w:num w:numId="37" w16cid:durableId="1495418998">
    <w:abstractNumId w:val="3"/>
  </w:num>
  <w:num w:numId="38" w16cid:durableId="1970551385">
    <w:abstractNumId w:val="2"/>
  </w:num>
  <w:num w:numId="39" w16cid:durableId="223680685">
    <w:abstractNumId w:val="1"/>
  </w:num>
  <w:num w:numId="40" w16cid:durableId="2144229734">
    <w:abstractNumId w:val="0"/>
  </w:num>
  <w:num w:numId="41" w16cid:durableId="501091383">
    <w:abstractNumId w:val="10"/>
  </w:num>
  <w:num w:numId="42" w16cid:durableId="1536504983">
    <w:abstractNumId w:val="10"/>
  </w:num>
  <w:num w:numId="43" w16cid:durableId="5250101">
    <w:abstractNumId w:val="10"/>
  </w:num>
  <w:num w:numId="44" w16cid:durableId="32062297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27/2025"/>
    <w:docVar w:name="dvlangue" w:val="NL"/>
    <w:docVar w:name="dvnumam" w:val="0"/>
    <w:docVar w:name="dvpe" w:val="779.456"/>
    <w:docVar w:name="dvrapporteur" w:val="Rapporteur: "/>
    <w:docVar w:name="dvstar" w:val="***II"/>
    <w:docVar w:name="dvtitre" w:val="Wetgevingsresolutie van het Europees Parlement van xx november 2025 over het standpunt van de Raad in eerste lezing met het oog op de vaststelling van een verordening van het Europees Parlement en de Raad betreffende de veiligheid van speelgoed en tot intrekking van Richtlijn 2009/48/EG(09663/1/2025 – C10-0251/2025 – 2023/0290(COD))"/>
  </w:docVars>
  <w:rsids>
    <w:rsidRoot w:val="00F37FB9"/>
    <w:rsid w:val="00002272"/>
    <w:rsid w:val="0002770F"/>
    <w:rsid w:val="00064002"/>
    <w:rsid w:val="000677B9"/>
    <w:rsid w:val="000831BA"/>
    <w:rsid w:val="000A42CC"/>
    <w:rsid w:val="000E7DD9"/>
    <w:rsid w:val="0010095E"/>
    <w:rsid w:val="00125B37"/>
    <w:rsid w:val="00174879"/>
    <w:rsid w:val="00187494"/>
    <w:rsid w:val="001F32AE"/>
    <w:rsid w:val="002767FF"/>
    <w:rsid w:val="002B18FE"/>
    <w:rsid w:val="002B5493"/>
    <w:rsid w:val="00343214"/>
    <w:rsid w:val="00361C00"/>
    <w:rsid w:val="0036417E"/>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3672D"/>
    <w:rsid w:val="006378C3"/>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26AC"/>
    <w:rsid w:val="008C2AC6"/>
    <w:rsid w:val="009306C7"/>
    <w:rsid w:val="00930C23"/>
    <w:rsid w:val="0093193B"/>
    <w:rsid w:val="009509D8"/>
    <w:rsid w:val="00950B64"/>
    <w:rsid w:val="00981893"/>
    <w:rsid w:val="00A0258D"/>
    <w:rsid w:val="00A1687D"/>
    <w:rsid w:val="00A43E52"/>
    <w:rsid w:val="00A4678D"/>
    <w:rsid w:val="00A63CFE"/>
    <w:rsid w:val="00A71AA5"/>
    <w:rsid w:val="00A778C7"/>
    <w:rsid w:val="00AB441E"/>
    <w:rsid w:val="00AB6293"/>
    <w:rsid w:val="00AE0928"/>
    <w:rsid w:val="00AF3B82"/>
    <w:rsid w:val="00B12E95"/>
    <w:rsid w:val="00B22876"/>
    <w:rsid w:val="00B558F0"/>
    <w:rsid w:val="00B87D57"/>
    <w:rsid w:val="00BD48FE"/>
    <w:rsid w:val="00BD7BD8"/>
    <w:rsid w:val="00BE6ADC"/>
    <w:rsid w:val="00C05BFE"/>
    <w:rsid w:val="00C143F4"/>
    <w:rsid w:val="00C23CD4"/>
    <w:rsid w:val="00C61C0C"/>
    <w:rsid w:val="00C941CB"/>
    <w:rsid w:val="00CC2357"/>
    <w:rsid w:val="00CF071A"/>
    <w:rsid w:val="00D012CD"/>
    <w:rsid w:val="00D058B8"/>
    <w:rsid w:val="00D56C11"/>
    <w:rsid w:val="00D834A0"/>
    <w:rsid w:val="00D872DF"/>
    <w:rsid w:val="00D91C03"/>
    <w:rsid w:val="00D91E21"/>
    <w:rsid w:val="00DA7FCD"/>
    <w:rsid w:val="00E21635"/>
    <w:rsid w:val="00E365E1"/>
    <w:rsid w:val="00E820A4"/>
    <w:rsid w:val="00EB006A"/>
    <w:rsid w:val="00EB4772"/>
    <w:rsid w:val="00ED169E"/>
    <w:rsid w:val="00ED4235"/>
    <w:rsid w:val="00F04346"/>
    <w:rsid w:val="00F075DC"/>
    <w:rsid w:val="00F149E9"/>
    <w:rsid w:val="00F37FB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E4EE98"/>
  <w15:chartTrackingRefBased/>
  <w15:docId w15:val="{B5203F89-D161-422B-8C15-EC5D33FA84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A0258D"/>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A0258D"/>
    <w:pPr>
      <w:spacing w:before="480" w:after="240"/>
    </w:pPr>
  </w:style>
  <w:style w:type="paragraph" w:customStyle="1" w:styleId="PageHeading">
    <w:name w:val="PageHeading"/>
    <w:basedOn w:val="Normal"/>
    <w:rsid w:val="00A0258D"/>
    <w:pPr>
      <w:keepNext/>
      <w:spacing w:after="480"/>
      <w:jc w:val="center"/>
    </w:pPr>
    <w:rPr>
      <w:rFonts w:ascii="Arial" w:hAnsi="Arial" w:cs="Arial"/>
      <w:b/>
    </w:rPr>
  </w:style>
  <w:style w:type="paragraph" w:customStyle="1" w:styleId="NormalBold">
    <w:name w:val="NormalBold"/>
    <w:basedOn w:val="Normal"/>
    <w:rsid w:val="00A0258D"/>
    <w:rPr>
      <w:b/>
    </w:rPr>
  </w:style>
  <w:style w:type="paragraph" w:customStyle="1" w:styleId="NormalHanging12a">
    <w:name w:val="NormalHanging12a"/>
    <w:basedOn w:val="Normal"/>
    <w:rsid w:val="00A0258D"/>
    <w:pPr>
      <w:spacing w:after="240"/>
      <w:ind w:left="567" w:hanging="567"/>
    </w:pPr>
  </w:style>
  <w:style w:type="paragraph" w:styleId="Header">
    <w:name w:val="header"/>
    <w:basedOn w:val="Normal"/>
    <w:link w:val="HeaderChar"/>
    <w:rsid w:val="00A0258D"/>
    <w:pPr>
      <w:tabs>
        <w:tab w:val="center" w:pos="4513"/>
        <w:tab w:val="right" w:pos="9026"/>
      </w:tabs>
    </w:pPr>
  </w:style>
  <w:style w:type="character" w:customStyle="1" w:styleId="HeaderChar">
    <w:name w:val="Header Char"/>
    <w:basedOn w:val="DefaultParagraphFont"/>
    <w:link w:val="Header"/>
    <w:rsid w:val="00A0258D"/>
    <w:rPr>
      <w:sz w:val="24"/>
      <w:lang w:val="nl-NL"/>
    </w:rPr>
  </w:style>
  <w:style w:type="paragraph" w:customStyle="1" w:styleId="EPFooter">
    <w:name w:val="EPFooter"/>
    <w:basedOn w:val="Normal"/>
    <w:rsid w:val="00A0258D"/>
    <w:pPr>
      <w:tabs>
        <w:tab w:val="center" w:pos="4535"/>
        <w:tab w:val="right" w:pos="9071"/>
      </w:tabs>
      <w:spacing w:before="240" w:after="240"/>
    </w:pPr>
    <w:rPr>
      <w:color w:val="010000"/>
      <w:sz w:val="22"/>
    </w:rPr>
  </w:style>
  <w:style w:type="character" w:styleId="Hyperlink">
    <w:name w:val="Hyperlink"/>
    <w:basedOn w:val="DefaultParagraphFont"/>
    <w:rsid w:val="008B26AC"/>
    <w:rPr>
      <w:color w:val="0563C1" w:themeColor="hyperlink"/>
      <w:u w:val="single"/>
    </w:rPr>
  </w:style>
  <w:style w:type="character" w:styleId="UnresolvedMention">
    <w:name w:val="Unresolved Mention"/>
    <w:basedOn w:val="DefaultParagraphFont"/>
    <w:uiPriority w:val="99"/>
    <w:semiHidden/>
    <w:unhideWhenUsed/>
    <w:rsid w:val="008B26AC"/>
    <w:rPr>
      <w:color w:val="605E5C"/>
      <w:shd w:val="clear" w:color="auto" w:fill="E1DFDD"/>
    </w:rPr>
  </w:style>
  <w:style w:type="paragraph" w:styleId="Revision">
    <w:name w:val="Revision"/>
    <w:hidden/>
    <w:uiPriority w:val="99"/>
    <w:semiHidden/>
    <w:rsid w:val="00A71AA5"/>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C/2025/1032/oj" TargetMode="External"/><Relationship Id="rId1" Type="http://schemas.openxmlformats.org/officeDocument/2006/relationships/hyperlink" Target="http://data.europa.eu/eli/C/2024/157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511</Words>
  <Characters>2914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FS Relfinal.STO</cp:lastModifiedBy>
  <cp:revision>2</cp:revision>
  <cp:lastPrinted>2004-11-19T15:42:00Z</cp:lastPrinted>
  <dcterms:created xsi:type="dcterms:W3CDTF">2026-01-30T08:39:00Z</dcterms:created>
  <dcterms:modified xsi:type="dcterms:W3CDTF">2026-01-30T08:39:00Z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P10_TA(2025)0279_</vt:lpwstr>
  </property>
  <property fmtid="{D5CDD505-2E9C-101B-9397-08002B2CF9AE}" pid="4" name="&lt;Type&gt;">
    <vt:lpwstr>RR</vt:lpwstr>
  </property>
</Properties>
</file>