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42274" w14:paraId="0F34CD6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F5ECB5B" w14:textId="77777777" w:rsidR="00751A4A" w:rsidRPr="00B42274" w:rsidRDefault="005D0543" w:rsidP="0010095E">
            <w:pPr>
              <w:pStyle w:val="EPName"/>
            </w:pPr>
            <w:r w:rsidRPr="00B42274">
              <w:t xml:space="preserve">Parlamento </w:t>
            </w:r>
            <w:proofErr w:type="gramStart"/>
            <w:r w:rsidRPr="00B42274">
              <w:t>Europeu</w:t>
            </w:r>
            <w:proofErr w:type="gramEnd"/>
          </w:p>
          <w:p w14:paraId="52AC5AC4" w14:textId="77777777" w:rsidR="00751A4A" w:rsidRPr="00B4227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42274">
              <w:t>2024</w:t>
            </w:r>
            <w:r w:rsidR="00817416" w:rsidRPr="00B42274">
              <w:t>-202</w:t>
            </w:r>
            <w:r w:rsidRPr="00B42274">
              <w:t>9</w:t>
            </w:r>
          </w:p>
        </w:tc>
        <w:tc>
          <w:tcPr>
            <w:tcW w:w="2268" w:type="dxa"/>
            <w:shd w:val="clear" w:color="auto" w:fill="auto"/>
          </w:tcPr>
          <w:p w14:paraId="392302F2" w14:textId="77777777" w:rsidR="00751A4A" w:rsidRPr="00B42274" w:rsidRDefault="00187494" w:rsidP="0010095E">
            <w:pPr>
              <w:pStyle w:val="EPLogo"/>
            </w:pPr>
            <w:r w:rsidRPr="00B42274">
              <w:rPr>
                <w:noProof/>
                <w:lang w:eastAsia="ja-JP"/>
              </w:rPr>
              <w:drawing>
                <wp:inline distT="0" distB="0" distL="0" distR="0" wp14:anchorId="2AE5918E" wp14:editId="440DC3C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B92AA1" w14:textId="77777777" w:rsidR="00D058B8" w:rsidRPr="00B42274" w:rsidRDefault="00D058B8" w:rsidP="004C5D52">
      <w:pPr>
        <w:pStyle w:val="LineTop"/>
      </w:pPr>
    </w:p>
    <w:p w14:paraId="15A55B80" w14:textId="77777777" w:rsidR="00680577" w:rsidRPr="00B42274" w:rsidRDefault="005D0543" w:rsidP="00680577">
      <w:pPr>
        <w:pStyle w:val="EPBodyTA1"/>
      </w:pPr>
      <w:r w:rsidRPr="00B42274">
        <w:t>TEXTOS APROVADOS</w:t>
      </w:r>
    </w:p>
    <w:p w14:paraId="03B3FE78" w14:textId="77777777" w:rsidR="00D058B8" w:rsidRPr="00B42274" w:rsidRDefault="00D058B8" w:rsidP="00D058B8">
      <w:pPr>
        <w:pStyle w:val="LineBottom"/>
      </w:pPr>
    </w:p>
    <w:p w14:paraId="2B35E137" w14:textId="4081DD36" w:rsidR="005D0543" w:rsidRPr="00B42274" w:rsidRDefault="005D0543" w:rsidP="005D0543">
      <w:pPr>
        <w:pStyle w:val="ATHeading1"/>
      </w:pPr>
      <w:bookmarkStart w:id="0" w:name="TANumber"/>
      <w:r w:rsidRPr="00B42274">
        <w:t>P10_TA(2025)</w:t>
      </w:r>
      <w:bookmarkEnd w:id="0"/>
      <w:r w:rsidR="00214F1A" w:rsidRPr="00B42274">
        <w:t>0279</w:t>
      </w:r>
    </w:p>
    <w:p w14:paraId="4D0DC77B" w14:textId="77777777" w:rsidR="005D0543" w:rsidRPr="00B42274" w:rsidRDefault="005D0543" w:rsidP="005D0543">
      <w:pPr>
        <w:pStyle w:val="ATHeading2"/>
      </w:pPr>
      <w:bookmarkStart w:id="1" w:name="title"/>
      <w:r w:rsidRPr="00B42274">
        <w:t>Segurança dos brinquedos e revogação da Diretiva 2009/48/CE</w:t>
      </w:r>
      <w:bookmarkEnd w:id="1"/>
    </w:p>
    <w:p w14:paraId="24AAA4FC" w14:textId="77777777" w:rsidR="005D0543" w:rsidRPr="00B42274" w:rsidRDefault="005D0543" w:rsidP="005D0543">
      <w:pPr>
        <w:rPr>
          <w:i/>
          <w:vanish/>
        </w:rPr>
      </w:pPr>
      <w:r w:rsidRPr="00B42274">
        <w:rPr>
          <w:i/>
        </w:rPr>
        <w:fldChar w:fldCharType="begin"/>
      </w:r>
      <w:r w:rsidRPr="00B42274">
        <w:rPr>
          <w:i/>
        </w:rPr>
        <w:instrText xml:space="preserve"> TC"(</w:instrText>
      </w:r>
      <w:bookmarkStart w:id="2" w:name="DocNumber"/>
      <w:r w:rsidRPr="00B42274">
        <w:rPr>
          <w:i/>
        </w:rPr>
        <w:instrText>A10-0227/2025</w:instrText>
      </w:r>
      <w:bookmarkEnd w:id="2"/>
      <w:r w:rsidRPr="00B42274">
        <w:rPr>
          <w:i/>
        </w:rPr>
        <w:instrText xml:space="preserve"> - Relatora: </w:instrText>
      </w:r>
      <w:proofErr w:type="spellStart"/>
      <w:r w:rsidRPr="00B42274">
        <w:rPr>
          <w:i/>
        </w:rPr>
        <w:instrText>Marion</w:instrText>
      </w:r>
      <w:proofErr w:type="spellEnd"/>
      <w:r w:rsidRPr="00B42274">
        <w:rPr>
          <w:i/>
        </w:rPr>
        <w:instrText xml:space="preserve"> </w:instrText>
      </w:r>
      <w:proofErr w:type="spellStart"/>
      <w:r w:rsidRPr="00B42274">
        <w:rPr>
          <w:i/>
        </w:rPr>
        <w:instrText>Walsmann</w:instrText>
      </w:r>
      <w:proofErr w:type="spellEnd"/>
      <w:r w:rsidRPr="00B42274">
        <w:rPr>
          <w:i/>
        </w:rPr>
        <w:instrText xml:space="preserve">)"\l3 \n&gt; \* MERGEFORMAT </w:instrText>
      </w:r>
      <w:r w:rsidRPr="00B42274">
        <w:rPr>
          <w:i/>
        </w:rPr>
        <w:fldChar w:fldCharType="end"/>
      </w:r>
    </w:p>
    <w:p w14:paraId="41880F38" w14:textId="77777777" w:rsidR="005D0543" w:rsidRPr="00B42274" w:rsidRDefault="005D0543" w:rsidP="005D0543">
      <w:pPr>
        <w:rPr>
          <w:vanish/>
        </w:rPr>
      </w:pPr>
      <w:bookmarkStart w:id="3" w:name="Commission"/>
      <w:r w:rsidRPr="00B42274">
        <w:rPr>
          <w:vanish/>
        </w:rPr>
        <w:t>Comissão do Mercado Interno e da Proteção dos Consumidores</w:t>
      </w:r>
      <w:bookmarkEnd w:id="3"/>
    </w:p>
    <w:p w14:paraId="1BBCAF9D" w14:textId="77777777" w:rsidR="005D0543" w:rsidRPr="00B42274" w:rsidRDefault="005D0543" w:rsidP="005D0543">
      <w:pPr>
        <w:rPr>
          <w:vanish/>
        </w:rPr>
      </w:pPr>
      <w:bookmarkStart w:id="4" w:name="PE"/>
      <w:r w:rsidRPr="00B42274">
        <w:rPr>
          <w:vanish/>
        </w:rPr>
        <w:t>PE779.456</w:t>
      </w:r>
      <w:bookmarkEnd w:id="4"/>
    </w:p>
    <w:p w14:paraId="7D15AE12" w14:textId="73B12DED" w:rsidR="005D0543" w:rsidRPr="00B42274" w:rsidRDefault="005D0543" w:rsidP="005D0543">
      <w:pPr>
        <w:pStyle w:val="ATHeading3"/>
      </w:pPr>
      <w:bookmarkStart w:id="5" w:name="Sujet"/>
      <w:r w:rsidRPr="00B42274">
        <w:t xml:space="preserve">Resolução legislativa do Parlamento Europeu, de </w:t>
      </w:r>
      <w:r w:rsidR="00611207" w:rsidRPr="00B42274">
        <w:t xml:space="preserve">25 </w:t>
      </w:r>
      <w:r w:rsidRPr="00B42274">
        <w:t xml:space="preserve">de </w:t>
      </w:r>
      <w:r w:rsidR="00611207" w:rsidRPr="00B42274">
        <w:t xml:space="preserve">novembro </w:t>
      </w:r>
      <w:r w:rsidRPr="00B42274">
        <w:t>de 2025, sobre a posição do Conselho em primeira leitura tendo em vista a adoção do Regulamento do Parlamento Europeu e do Conselho relativo à segurança dos brinquedos e que revoga a Diretiva 2009/48/CE</w:t>
      </w:r>
      <w:bookmarkEnd w:id="5"/>
      <w:r w:rsidRPr="00B42274">
        <w:t xml:space="preserve"> </w:t>
      </w:r>
      <w:bookmarkStart w:id="6" w:name="References"/>
      <w:r w:rsidRPr="00B42274">
        <w:t>(09663/1/2025 – C10-0251/2025 – 2023/0290(COD))</w:t>
      </w:r>
      <w:bookmarkEnd w:id="6"/>
    </w:p>
    <w:p w14:paraId="43C3D543" w14:textId="77777777" w:rsidR="005D0543" w:rsidRPr="00B42274" w:rsidRDefault="005D0543" w:rsidP="005D0543"/>
    <w:p w14:paraId="190223C5" w14:textId="77777777" w:rsidR="00E105B2" w:rsidRPr="00B42274" w:rsidRDefault="00E105B2" w:rsidP="00E105B2">
      <w:pPr>
        <w:pStyle w:val="NormalBold"/>
      </w:pPr>
      <w:bookmarkStart w:id="7" w:name="TextBodyBegin"/>
      <w:bookmarkEnd w:id="7"/>
      <w:r w:rsidRPr="00B42274">
        <w:t>(Processo legislativo ordinário: segunda leitura)</w:t>
      </w:r>
    </w:p>
    <w:p w14:paraId="0222F823" w14:textId="77777777" w:rsidR="00E105B2" w:rsidRPr="00B42274" w:rsidRDefault="00E105B2" w:rsidP="00E105B2">
      <w:pPr>
        <w:pStyle w:val="EPComma"/>
      </w:pPr>
      <w:r w:rsidRPr="00B42274">
        <w:rPr>
          <w:i/>
          <w:iCs/>
        </w:rPr>
        <w:t>O Parlamento Europeu</w:t>
      </w:r>
      <w:r w:rsidRPr="00B42274">
        <w:t>,</w:t>
      </w:r>
    </w:p>
    <w:p w14:paraId="129619B4" w14:textId="77777777" w:rsidR="00E105B2" w:rsidRPr="00B42274" w:rsidRDefault="00E105B2" w:rsidP="00E105B2">
      <w:pPr>
        <w:pStyle w:val="NormalHanging12a"/>
      </w:pPr>
      <w:r w:rsidRPr="00B42274">
        <w:t>–</w:t>
      </w:r>
      <w:r w:rsidRPr="00B42274">
        <w:tab/>
        <w:t>Tendo em conta a posição do Conselho em primeira leitura (09663/1/2025 – C10</w:t>
      </w:r>
      <w:r w:rsidRPr="00B42274">
        <w:noBreakHyphen/>
        <w:t>0251/2025),</w:t>
      </w:r>
    </w:p>
    <w:p w14:paraId="2364D0B5" w14:textId="77777777" w:rsidR="00E105B2" w:rsidRPr="00B42274" w:rsidRDefault="00E105B2" w:rsidP="00E105B2">
      <w:pPr>
        <w:pStyle w:val="NormalHanging12a"/>
      </w:pPr>
      <w:r w:rsidRPr="00B42274">
        <w:t>–</w:t>
      </w:r>
      <w:r w:rsidRPr="00B42274">
        <w:tab/>
        <w:t>Tendo em conta o parecer do Comité Económico e Social Europeu de 13 de dezembro de 2023</w:t>
      </w:r>
      <w:r w:rsidRPr="00B42274">
        <w:rPr>
          <w:rStyle w:val="FootnoteReference"/>
        </w:rPr>
        <w:footnoteReference w:id="1"/>
      </w:r>
      <w:r w:rsidRPr="00B42274">
        <w:t>,</w:t>
      </w:r>
    </w:p>
    <w:p w14:paraId="6DA770B7" w14:textId="61E02DB2" w:rsidR="00E105B2" w:rsidRPr="00B42274" w:rsidRDefault="00E105B2" w:rsidP="00E105B2">
      <w:pPr>
        <w:pStyle w:val="NormalHanging12a"/>
      </w:pPr>
      <w:r w:rsidRPr="00B42274">
        <w:t>–</w:t>
      </w:r>
      <w:r w:rsidRPr="00B42274">
        <w:tab/>
        <w:t>Tendo em conta a sua posição em primeira leitura</w:t>
      </w:r>
      <w:r w:rsidRPr="00B42274">
        <w:rPr>
          <w:rStyle w:val="FootnoteReference"/>
        </w:rPr>
        <w:footnoteReference w:id="2"/>
      </w:r>
      <w:r w:rsidRPr="00B42274">
        <w:t xml:space="preserve"> sobre a proposta da Comissão ao Parlamento Europeu e ao Conselho (COM(2023)</w:t>
      </w:r>
      <w:r w:rsidR="00F44298">
        <w:t>0</w:t>
      </w:r>
      <w:r w:rsidRPr="00B42274">
        <w:t>462),</w:t>
      </w:r>
    </w:p>
    <w:p w14:paraId="4B9C08D4" w14:textId="77777777" w:rsidR="00E105B2" w:rsidRPr="00B42274" w:rsidRDefault="00E105B2" w:rsidP="00E105B2">
      <w:pPr>
        <w:pStyle w:val="NormalHanging12a"/>
      </w:pPr>
      <w:r w:rsidRPr="00B42274">
        <w:t>–</w:t>
      </w:r>
      <w:r w:rsidRPr="00B42274">
        <w:tab/>
        <w:t>Tendo em conta o artigo 294.º, n.º 7, do Tratado sobre o Funcionamento da União Europeia,</w:t>
      </w:r>
    </w:p>
    <w:p w14:paraId="3C0B79AB" w14:textId="77777777" w:rsidR="00E105B2" w:rsidRPr="00B42274" w:rsidRDefault="00E105B2" w:rsidP="00E105B2">
      <w:pPr>
        <w:pStyle w:val="NormalHanging12a"/>
      </w:pPr>
      <w:r w:rsidRPr="00B42274">
        <w:t>–</w:t>
      </w:r>
      <w:r w:rsidRPr="00B42274">
        <w:tab/>
        <w:t>Tendo em conta o acordo provisório aprovado pela comissão competente, nos termos do artigo 75.º, n.º 4, do seu Regimento,</w:t>
      </w:r>
    </w:p>
    <w:p w14:paraId="1F4767FE" w14:textId="77777777" w:rsidR="00E105B2" w:rsidRPr="00B42274" w:rsidRDefault="00E105B2" w:rsidP="00E105B2">
      <w:pPr>
        <w:pStyle w:val="NormalHanging12a"/>
      </w:pPr>
      <w:r w:rsidRPr="00B42274">
        <w:t>–</w:t>
      </w:r>
      <w:r w:rsidRPr="00B42274">
        <w:tab/>
        <w:t>Tendo em conta o artigo 68.º do seu Regimento,</w:t>
      </w:r>
    </w:p>
    <w:p w14:paraId="116D5112" w14:textId="77777777" w:rsidR="00E105B2" w:rsidRPr="00B42274" w:rsidRDefault="00E105B2" w:rsidP="00E105B2">
      <w:pPr>
        <w:pStyle w:val="NormalHanging12a"/>
      </w:pPr>
      <w:r w:rsidRPr="00B42274">
        <w:t>–</w:t>
      </w:r>
      <w:r w:rsidRPr="00B42274">
        <w:tab/>
        <w:t>Tendo em conta a recomendação para segunda leitura da Comissão do Mercado Interno e da Proteção dos Consumidores (A10</w:t>
      </w:r>
      <w:r w:rsidRPr="00B42274">
        <w:noBreakHyphen/>
        <w:t>0227/2025),</w:t>
      </w:r>
    </w:p>
    <w:p w14:paraId="29CBD231" w14:textId="77777777" w:rsidR="00E105B2" w:rsidRPr="00B42274" w:rsidRDefault="00E105B2" w:rsidP="00E105B2">
      <w:pPr>
        <w:pStyle w:val="NormalHanging12a"/>
      </w:pPr>
      <w:r w:rsidRPr="00B42274">
        <w:t>1.</w:t>
      </w:r>
      <w:r w:rsidRPr="00B42274">
        <w:tab/>
        <w:t>Aprova a posição do Conselho em primeira leitura;</w:t>
      </w:r>
    </w:p>
    <w:p w14:paraId="0B4B738D" w14:textId="77777777" w:rsidR="00E105B2" w:rsidRPr="00B42274" w:rsidRDefault="00E105B2" w:rsidP="00E105B2">
      <w:pPr>
        <w:pStyle w:val="NormalHanging12a"/>
      </w:pPr>
      <w:r w:rsidRPr="00B42274">
        <w:lastRenderedPageBreak/>
        <w:t>2.</w:t>
      </w:r>
      <w:r w:rsidRPr="00B42274">
        <w:tab/>
        <w:t xml:space="preserve">Regista a declaração da Comissão anexa à presente resolução, que será publicada na série C do </w:t>
      </w:r>
      <w:r w:rsidRPr="00B42274">
        <w:rPr>
          <w:i/>
          <w:iCs/>
        </w:rPr>
        <w:t>Jornal Oficial da União Europeia</w:t>
      </w:r>
      <w:r w:rsidRPr="00B42274">
        <w:t>;</w:t>
      </w:r>
    </w:p>
    <w:p w14:paraId="689CA237" w14:textId="77777777" w:rsidR="00E105B2" w:rsidRPr="00B42274" w:rsidRDefault="00E105B2" w:rsidP="00E105B2">
      <w:pPr>
        <w:pStyle w:val="NormalHanging12a"/>
      </w:pPr>
      <w:r w:rsidRPr="00B42274">
        <w:t>3.</w:t>
      </w:r>
      <w:r w:rsidRPr="00B42274">
        <w:tab/>
        <w:t>Verifica que o presente ato é adotado em conformidade com a posição do Conselho;</w:t>
      </w:r>
    </w:p>
    <w:p w14:paraId="5C080872" w14:textId="77777777" w:rsidR="00E105B2" w:rsidRPr="00B42274" w:rsidRDefault="00E105B2" w:rsidP="00E105B2">
      <w:pPr>
        <w:pStyle w:val="NormalHanging12a"/>
      </w:pPr>
      <w:r w:rsidRPr="00B42274">
        <w:t>4.</w:t>
      </w:r>
      <w:r w:rsidRPr="00B42274">
        <w:tab/>
        <w:t>Encarrega a sua Presidente de assinar o referido ato, conjuntamente com a Presidente do Conselho, nos termos do artigo 297.º, n.º 1, do Tratado sobre o Funcionamento da União Europeia;</w:t>
      </w:r>
    </w:p>
    <w:p w14:paraId="3B38EFE8" w14:textId="77777777" w:rsidR="00E105B2" w:rsidRPr="00B42274" w:rsidRDefault="00E105B2" w:rsidP="00E105B2">
      <w:pPr>
        <w:pStyle w:val="NormalHanging12a"/>
      </w:pPr>
      <w:r w:rsidRPr="00B42274">
        <w:t>5.</w:t>
      </w:r>
      <w:r w:rsidRPr="00B42274">
        <w:tab/>
        <w:t>Encarrega o seu Secretário</w:t>
      </w:r>
      <w:r w:rsidRPr="00B42274">
        <w:noBreakHyphen/>
        <w:t>Geral de assinar o ato em causa, após verificação do cumprimento de todos os trâmites previstos, e de, em concordância com o Secretário</w:t>
      </w:r>
      <w:r w:rsidRPr="00B42274">
        <w:noBreakHyphen/>
        <w:t xml:space="preserve">Geral do Conselho, prover à respetiva publicação no </w:t>
      </w:r>
      <w:r w:rsidRPr="00B42274">
        <w:rPr>
          <w:i/>
          <w:iCs/>
        </w:rPr>
        <w:t>Jornal Oficial da União Europeia</w:t>
      </w:r>
      <w:r w:rsidRPr="00B42274">
        <w:t>;</w:t>
      </w:r>
    </w:p>
    <w:p w14:paraId="12585FBD" w14:textId="0CE5BCD4" w:rsidR="00586998" w:rsidRPr="00B42274" w:rsidRDefault="00E105B2" w:rsidP="00586998">
      <w:pPr>
        <w:pStyle w:val="NormalHanging12a"/>
      </w:pPr>
      <w:r w:rsidRPr="00B42274">
        <w:t>6.</w:t>
      </w:r>
      <w:r w:rsidRPr="00B42274">
        <w:tab/>
        <w:t>Encarrega a sua Presidente de transmitir a posição do Parlamento ao Conselho, à Comissão e aos parlamentos nacionais.</w:t>
      </w:r>
    </w:p>
    <w:p w14:paraId="4629ADF1" w14:textId="77777777" w:rsidR="00611207" w:rsidRPr="00B42274" w:rsidRDefault="00611207" w:rsidP="00586998">
      <w:pPr>
        <w:pStyle w:val="NormalHanging12a"/>
      </w:pPr>
    </w:p>
    <w:p w14:paraId="645521BA" w14:textId="77777777" w:rsidR="00611207" w:rsidRPr="00B42274" w:rsidRDefault="00611207" w:rsidP="00586998">
      <w:pPr>
        <w:pStyle w:val="NormalHanging12a"/>
        <w:sectPr w:rsidR="00611207" w:rsidRPr="00B42274" w:rsidSect="0058699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D694827" w14:textId="77777777" w:rsidR="00611207" w:rsidRPr="00B42274" w:rsidRDefault="00611207" w:rsidP="00611207">
      <w:pPr>
        <w:pStyle w:val="PageHeading"/>
        <w:keepNext w:val="0"/>
        <w:jc w:val="right"/>
        <w:outlineLvl w:val="0"/>
        <w:rPr>
          <w:rFonts w:ascii="Times New Roman" w:hAnsi="Times New Roman" w:cs="Times New Roman"/>
          <w:b w:val="0"/>
          <w:bCs/>
        </w:rPr>
      </w:pPr>
      <w:bookmarkStart w:id="8" w:name="_Toc214546606"/>
      <w:r w:rsidRPr="00B42274">
        <w:rPr>
          <w:rFonts w:ascii="Times New Roman" w:hAnsi="Times New Roman" w:cs="Times New Roman"/>
          <w:b w:val="0"/>
          <w:bCs/>
        </w:rPr>
        <w:lastRenderedPageBreak/>
        <w:t>ANEXO À RESOLUÇÃO LEGISLATIVA</w:t>
      </w:r>
    </w:p>
    <w:p w14:paraId="44CAA759" w14:textId="24B73A43" w:rsidR="00611207" w:rsidRPr="00B42274" w:rsidRDefault="00611207" w:rsidP="00611207">
      <w:pPr>
        <w:pStyle w:val="PageHeading"/>
        <w:keepNext w:val="0"/>
        <w:outlineLvl w:val="0"/>
        <w:rPr>
          <w:rFonts w:ascii="Times New Roman" w:hAnsi="Times New Roman" w:cs="Times New Roman"/>
        </w:rPr>
      </w:pPr>
      <w:r w:rsidRPr="00B42274">
        <w:rPr>
          <w:rFonts w:ascii="Times New Roman" w:hAnsi="Times New Roman" w:cs="Times New Roman"/>
        </w:rPr>
        <w:t>DECLARAÇÃO DA COMISSÃO</w:t>
      </w:r>
      <w:bookmarkEnd w:id="8"/>
      <w:r w:rsidR="006B7673" w:rsidRPr="00B42274">
        <w:rPr>
          <w:rFonts w:ascii="Times New Roman" w:hAnsi="Times New Roman" w:cs="Times New Roman"/>
        </w:rPr>
        <w:t xml:space="preserve"> POR OCASIÃO DA ADOÇÃO DO REGULAMENTO (UE) 2025/</w:t>
      </w:r>
      <w:r w:rsidR="00F44298">
        <w:rPr>
          <w:rFonts w:ascii="Times New Roman" w:hAnsi="Times New Roman" w:cs="Times New Roman"/>
        </w:rPr>
        <w:t>2509</w:t>
      </w:r>
    </w:p>
    <w:p w14:paraId="0372C0A5" w14:textId="17ABB058" w:rsidR="00611207" w:rsidRPr="00B42274" w:rsidRDefault="00611207" w:rsidP="00611207">
      <w:pPr>
        <w:pStyle w:val="NormalHanging12a"/>
        <w:ind w:left="0" w:firstLine="0"/>
      </w:pPr>
      <w:bookmarkStart w:id="9" w:name="_Hlk196383635"/>
      <w:r w:rsidRPr="00B42274">
        <w:t>A Comissão avalia de forma regular e sistemática a ocorrência de produtos químicos perigosos nos brinquedos, tendo em conta os dados científicos disponíveis, com vista a adaptar os valores</w:t>
      </w:r>
      <w:r w:rsidRPr="00B42274">
        <w:noBreakHyphen/>
        <w:t xml:space="preserve">limite ou as condições para a presença de substâncias ou misturas químicas específicas nos brinquedos, em conformidade com o artigo 46.º do Regulamento </w:t>
      </w:r>
      <w:r w:rsidR="006B7673" w:rsidRPr="00B42274">
        <w:t>(UE)</w:t>
      </w:r>
      <w:r w:rsidR="00F44298">
        <w:t> </w:t>
      </w:r>
      <w:r w:rsidRPr="00B42274">
        <w:t>202</w:t>
      </w:r>
      <w:r w:rsidR="00F44298">
        <w:t xml:space="preserve">5/2509 </w:t>
      </w:r>
      <w:r w:rsidRPr="00B42274">
        <w:t xml:space="preserve">relativo à segurança dos brinquedos. Para o efeito, a Comissão solicitará um parecer à Agência Europeia dos Produtos Químicos relativo à segurança das nitrosaminas e das substâncias </w:t>
      </w:r>
      <w:proofErr w:type="spellStart"/>
      <w:r w:rsidRPr="00B42274">
        <w:t>nitrosáveis</w:t>
      </w:r>
      <w:proofErr w:type="spellEnd"/>
      <w:r w:rsidRPr="00B42274">
        <w:t xml:space="preserve"> nos brinquedos, tendo em conta a exposição global, no prazo de 12 meses a contar da entrada em vigor do presente regulamento. Para o mesmo efeito, a Comissão solicitará um parecer à Agência Europeia dos Produtos Químicos relativo à segurança do chumbo, do cádmio, do mercúrio e do crómio (VI) nos brinquedos, tendo em conta a exposição global, no prazo de 24 meses a contar da entrada em vigor do presente regulamento.</w:t>
      </w:r>
      <w:bookmarkEnd w:id="9"/>
    </w:p>
    <w:sectPr w:rsidR="00611207" w:rsidRPr="00B42274" w:rsidSect="0058699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FFEBD" w14:textId="77777777" w:rsidR="005D0543" w:rsidRPr="00586998" w:rsidRDefault="005D0543">
      <w:r w:rsidRPr="00586998">
        <w:separator/>
      </w:r>
    </w:p>
  </w:endnote>
  <w:endnote w:type="continuationSeparator" w:id="0">
    <w:p w14:paraId="6184C66B" w14:textId="77777777" w:rsidR="005D0543" w:rsidRPr="00586998" w:rsidRDefault="005D0543">
      <w:r w:rsidRPr="0058699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1A8AD" w14:textId="77777777" w:rsidR="00064002" w:rsidRPr="0058699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466F7" w14:textId="77777777" w:rsidR="00064002" w:rsidRPr="0058699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02CAD" w14:textId="77777777" w:rsidR="00064002" w:rsidRPr="0058699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65CFB" w14:textId="77777777" w:rsidR="005D0543" w:rsidRPr="00586998" w:rsidRDefault="005D0543">
      <w:r w:rsidRPr="00586998">
        <w:separator/>
      </w:r>
    </w:p>
  </w:footnote>
  <w:footnote w:type="continuationSeparator" w:id="0">
    <w:p w14:paraId="4C903A70" w14:textId="77777777" w:rsidR="005D0543" w:rsidRPr="00586998" w:rsidRDefault="005D0543">
      <w:r w:rsidRPr="00586998">
        <w:continuationSeparator/>
      </w:r>
    </w:p>
  </w:footnote>
  <w:footnote w:id="1">
    <w:p w14:paraId="7DABFA29" w14:textId="7045EC63" w:rsidR="00E105B2" w:rsidRPr="00214F1A" w:rsidRDefault="00E105B2" w:rsidP="00586998">
      <w:pPr>
        <w:pStyle w:val="FootnoteText"/>
        <w:ind w:left="567" w:hanging="567"/>
        <w:rPr>
          <w:sz w:val="24"/>
          <w:lang w:val="fi-FI"/>
        </w:rPr>
      </w:pPr>
      <w:r w:rsidRPr="00214F1A">
        <w:rPr>
          <w:rStyle w:val="FootnoteReference"/>
          <w:sz w:val="24"/>
          <w:lang w:val="pt-PT"/>
        </w:rPr>
        <w:footnoteRef/>
      </w:r>
      <w:r w:rsidR="00586998" w:rsidRPr="00214F1A">
        <w:rPr>
          <w:sz w:val="24"/>
          <w:lang w:val="fi-FI"/>
        </w:rPr>
        <w:t xml:space="preserve"> </w:t>
      </w:r>
      <w:r w:rsidR="00586998" w:rsidRPr="00214F1A">
        <w:rPr>
          <w:sz w:val="24"/>
          <w:lang w:val="fi-FI"/>
        </w:rPr>
        <w:tab/>
      </w:r>
      <w:r w:rsidRPr="00214F1A">
        <w:rPr>
          <w:sz w:val="24"/>
          <w:lang w:val="fi-FI"/>
        </w:rPr>
        <w:t>JO C</w:t>
      </w:r>
      <w:r w:rsidR="00F44298">
        <w:rPr>
          <w:sz w:val="24"/>
          <w:lang w:val="fi-FI"/>
        </w:rPr>
        <w:t>,</w:t>
      </w:r>
      <w:r w:rsidRPr="00214F1A">
        <w:rPr>
          <w:sz w:val="24"/>
          <w:lang w:val="fi-FI"/>
        </w:rPr>
        <w:t xml:space="preserve"> C/2024/1577, 5.3.2024, ELI: </w:t>
      </w:r>
      <w:hyperlink r:id="rId1" w:history="1">
        <w:r w:rsidRPr="00214F1A">
          <w:rPr>
            <w:rStyle w:val="Hyperlink"/>
            <w:sz w:val="24"/>
            <w:lang w:val="fi-FI"/>
          </w:rPr>
          <w:t>http://data.europa.eu/eli/C/2024/1577/oj</w:t>
        </w:r>
      </w:hyperlink>
      <w:r w:rsidRPr="00214F1A">
        <w:rPr>
          <w:sz w:val="24"/>
          <w:lang w:val="fi-FI"/>
        </w:rPr>
        <w:t>.</w:t>
      </w:r>
    </w:p>
  </w:footnote>
  <w:footnote w:id="2">
    <w:p w14:paraId="49A8F466" w14:textId="458A934B" w:rsidR="00E105B2" w:rsidRPr="00214F1A" w:rsidRDefault="00E105B2" w:rsidP="00586998">
      <w:pPr>
        <w:pStyle w:val="FootnoteText"/>
        <w:ind w:left="567" w:hanging="567"/>
        <w:rPr>
          <w:sz w:val="24"/>
          <w:lang w:val="fi-FI"/>
        </w:rPr>
      </w:pPr>
      <w:r w:rsidRPr="00214F1A">
        <w:rPr>
          <w:rStyle w:val="FootnoteReference"/>
          <w:sz w:val="24"/>
          <w:lang w:val="pt-PT"/>
        </w:rPr>
        <w:footnoteRef/>
      </w:r>
      <w:r w:rsidR="00586998" w:rsidRPr="00214F1A">
        <w:rPr>
          <w:sz w:val="24"/>
          <w:lang w:val="fi-FI"/>
        </w:rPr>
        <w:t xml:space="preserve"> </w:t>
      </w:r>
      <w:r w:rsidR="00586998" w:rsidRPr="00214F1A">
        <w:rPr>
          <w:sz w:val="24"/>
          <w:lang w:val="fi-FI"/>
        </w:rPr>
        <w:tab/>
      </w:r>
      <w:r w:rsidRPr="00214F1A">
        <w:rPr>
          <w:sz w:val="24"/>
          <w:lang w:val="fi-FI"/>
        </w:rPr>
        <w:t>JO C</w:t>
      </w:r>
      <w:r w:rsidR="00F44298">
        <w:rPr>
          <w:sz w:val="24"/>
          <w:lang w:val="fi-FI"/>
        </w:rPr>
        <w:t>,</w:t>
      </w:r>
      <w:r w:rsidRPr="00214F1A">
        <w:rPr>
          <w:sz w:val="24"/>
          <w:lang w:val="fi-FI"/>
        </w:rPr>
        <w:t xml:space="preserve"> C/2025/1032, 27.2.2025, ELI: </w:t>
      </w:r>
      <w:hyperlink r:id="rId2" w:history="1">
        <w:r w:rsidRPr="00214F1A">
          <w:rPr>
            <w:rStyle w:val="Hyperlink"/>
            <w:sz w:val="24"/>
            <w:lang w:val="fi-FI"/>
          </w:rPr>
          <w:t>http://data.europa.eu/eli/C/2025/1032/oj</w:t>
        </w:r>
      </w:hyperlink>
      <w:r w:rsidRPr="00214F1A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48DFC" w14:textId="77777777" w:rsidR="00064002" w:rsidRPr="0058699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D89CA" w14:textId="77777777" w:rsidR="00064002" w:rsidRPr="0058699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B35ED" w14:textId="77777777" w:rsidR="00064002" w:rsidRPr="0058699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5469088">
    <w:abstractNumId w:val="9"/>
  </w:num>
  <w:num w:numId="2" w16cid:durableId="30763275">
    <w:abstractNumId w:val="9"/>
  </w:num>
  <w:num w:numId="3" w16cid:durableId="1982925100">
    <w:abstractNumId w:val="7"/>
  </w:num>
  <w:num w:numId="4" w16cid:durableId="1643971065">
    <w:abstractNumId w:val="7"/>
  </w:num>
  <w:num w:numId="5" w16cid:durableId="777873107">
    <w:abstractNumId w:val="6"/>
  </w:num>
  <w:num w:numId="6" w16cid:durableId="329724852">
    <w:abstractNumId w:val="6"/>
  </w:num>
  <w:num w:numId="7" w16cid:durableId="1846020483">
    <w:abstractNumId w:val="5"/>
  </w:num>
  <w:num w:numId="8" w16cid:durableId="1184588704">
    <w:abstractNumId w:val="5"/>
  </w:num>
  <w:num w:numId="9" w16cid:durableId="351535218">
    <w:abstractNumId w:val="4"/>
  </w:num>
  <w:num w:numId="10" w16cid:durableId="658730850">
    <w:abstractNumId w:val="4"/>
  </w:num>
  <w:num w:numId="11" w16cid:durableId="80954349">
    <w:abstractNumId w:val="8"/>
  </w:num>
  <w:num w:numId="12" w16cid:durableId="2077049324">
    <w:abstractNumId w:val="8"/>
  </w:num>
  <w:num w:numId="13" w16cid:durableId="1714963702">
    <w:abstractNumId w:val="3"/>
  </w:num>
  <w:num w:numId="14" w16cid:durableId="1228539933">
    <w:abstractNumId w:val="3"/>
  </w:num>
  <w:num w:numId="15" w16cid:durableId="1109817395">
    <w:abstractNumId w:val="2"/>
  </w:num>
  <w:num w:numId="16" w16cid:durableId="1752972308">
    <w:abstractNumId w:val="2"/>
  </w:num>
  <w:num w:numId="17" w16cid:durableId="970987463">
    <w:abstractNumId w:val="1"/>
  </w:num>
  <w:num w:numId="18" w16cid:durableId="766776301">
    <w:abstractNumId w:val="1"/>
  </w:num>
  <w:num w:numId="19" w16cid:durableId="1555041282">
    <w:abstractNumId w:val="0"/>
  </w:num>
  <w:num w:numId="20" w16cid:durableId="1468473420">
    <w:abstractNumId w:val="0"/>
  </w:num>
  <w:num w:numId="21" w16cid:durableId="1659307223">
    <w:abstractNumId w:val="9"/>
  </w:num>
  <w:num w:numId="22" w16cid:durableId="1485197235">
    <w:abstractNumId w:val="7"/>
  </w:num>
  <w:num w:numId="23" w16cid:durableId="1210995722">
    <w:abstractNumId w:val="6"/>
  </w:num>
  <w:num w:numId="24" w16cid:durableId="576942070">
    <w:abstractNumId w:val="5"/>
  </w:num>
  <w:num w:numId="25" w16cid:durableId="71465525">
    <w:abstractNumId w:val="4"/>
  </w:num>
  <w:num w:numId="26" w16cid:durableId="1264649167">
    <w:abstractNumId w:val="8"/>
  </w:num>
  <w:num w:numId="27" w16cid:durableId="291788685">
    <w:abstractNumId w:val="3"/>
  </w:num>
  <w:num w:numId="28" w16cid:durableId="239144239">
    <w:abstractNumId w:val="2"/>
  </w:num>
  <w:num w:numId="29" w16cid:durableId="344793891">
    <w:abstractNumId w:val="1"/>
  </w:num>
  <w:num w:numId="30" w16cid:durableId="778641314">
    <w:abstractNumId w:val="0"/>
  </w:num>
  <w:num w:numId="31" w16cid:durableId="130288776">
    <w:abstractNumId w:val="9"/>
  </w:num>
  <w:num w:numId="32" w16cid:durableId="1040974709">
    <w:abstractNumId w:val="7"/>
  </w:num>
  <w:num w:numId="33" w16cid:durableId="486675396">
    <w:abstractNumId w:val="6"/>
  </w:num>
  <w:num w:numId="34" w16cid:durableId="303657018">
    <w:abstractNumId w:val="5"/>
  </w:num>
  <w:num w:numId="35" w16cid:durableId="60491190">
    <w:abstractNumId w:val="4"/>
  </w:num>
  <w:num w:numId="36" w16cid:durableId="1976178340">
    <w:abstractNumId w:val="8"/>
  </w:num>
  <w:num w:numId="37" w16cid:durableId="426773480">
    <w:abstractNumId w:val="3"/>
  </w:num>
  <w:num w:numId="38" w16cid:durableId="1605460324">
    <w:abstractNumId w:val="2"/>
  </w:num>
  <w:num w:numId="39" w16cid:durableId="740255814">
    <w:abstractNumId w:val="1"/>
  </w:num>
  <w:num w:numId="40" w16cid:durableId="985862263">
    <w:abstractNumId w:val="0"/>
  </w:num>
  <w:num w:numId="41" w16cid:durableId="1218669019">
    <w:abstractNumId w:val="10"/>
  </w:num>
  <w:num w:numId="42" w16cid:durableId="1695228236">
    <w:abstractNumId w:val="10"/>
  </w:num>
  <w:num w:numId="43" w16cid:durableId="691810121">
    <w:abstractNumId w:val="10"/>
  </w:num>
  <w:num w:numId="44" w16cid:durableId="21153175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7/2025"/>
    <w:docVar w:name="dvlangue" w:val="PT"/>
    <w:docVar w:name="dvnumam" w:val="0"/>
    <w:docVar w:name="dvpe" w:val="779.456"/>
    <w:docVar w:name="dvrapporteur" w:val="Relatora: "/>
    <w:docVar w:name="dvstar" w:val="***II"/>
    <w:docVar w:name="dvtitre" w:val="Resolução legislativa do Parlamento Europeu, de ... de ... de 2025,_x000d__x000a_ sobre a posição do Conselho em primeira leitura tendo em vista a adoção do Regulamento do Parlamento Europeu e do Conselho relativo à segurança dos brinquedos e que revoga a Diretiva 2009/48/CE(09663/1/2025 – C10-0251/2025 – 2023/0290(COD))"/>
  </w:docVars>
  <w:rsids>
    <w:rsidRoot w:val="005D054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12EB"/>
    <w:rsid w:val="001F32AE"/>
    <w:rsid w:val="00214F1A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362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6998"/>
    <w:rsid w:val="005C2568"/>
    <w:rsid w:val="005D0543"/>
    <w:rsid w:val="005F1B17"/>
    <w:rsid w:val="006037C0"/>
    <w:rsid w:val="00611207"/>
    <w:rsid w:val="006631B6"/>
    <w:rsid w:val="00680577"/>
    <w:rsid w:val="006B6321"/>
    <w:rsid w:val="006B7673"/>
    <w:rsid w:val="006F74FA"/>
    <w:rsid w:val="00731ADD"/>
    <w:rsid w:val="00734777"/>
    <w:rsid w:val="00747932"/>
    <w:rsid w:val="00751A4A"/>
    <w:rsid w:val="00756632"/>
    <w:rsid w:val="00762C74"/>
    <w:rsid w:val="00786EC0"/>
    <w:rsid w:val="007C1C9C"/>
    <w:rsid w:val="007D1690"/>
    <w:rsid w:val="007E22AD"/>
    <w:rsid w:val="00817416"/>
    <w:rsid w:val="00842779"/>
    <w:rsid w:val="00865F67"/>
    <w:rsid w:val="008760C4"/>
    <w:rsid w:val="00877FDF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3258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2D1D"/>
    <w:rsid w:val="00B42274"/>
    <w:rsid w:val="00B51FD4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16F6"/>
    <w:rsid w:val="00D56C11"/>
    <w:rsid w:val="00D834A0"/>
    <w:rsid w:val="00D872DF"/>
    <w:rsid w:val="00D91E21"/>
    <w:rsid w:val="00DA7FCD"/>
    <w:rsid w:val="00E105B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4298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F8D3CD"/>
  <w15:chartTrackingRefBased/>
  <w15:docId w15:val="{80753383-C791-4A36-A242-1F540F507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105B2"/>
    <w:pPr>
      <w:spacing w:before="480" w:after="240"/>
    </w:pPr>
  </w:style>
  <w:style w:type="paragraph" w:customStyle="1" w:styleId="PageHeading">
    <w:name w:val="PageHeading"/>
    <w:basedOn w:val="Normal"/>
    <w:rsid w:val="00E105B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E105B2"/>
    <w:rPr>
      <w:b/>
    </w:rPr>
  </w:style>
  <w:style w:type="paragraph" w:customStyle="1" w:styleId="NormalHanging12a">
    <w:name w:val="NormalHanging12a"/>
    <w:basedOn w:val="Normal"/>
    <w:rsid w:val="00E105B2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611207"/>
    <w:rPr>
      <w:sz w:val="24"/>
      <w:lang w:val="pt-PT"/>
    </w:rPr>
  </w:style>
  <w:style w:type="character" w:styleId="CommentReference">
    <w:name w:val="annotation reference"/>
    <w:basedOn w:val="DefaultParagraphFont"/>
    <w:rsid w:val="00877F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877FD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77FDF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877F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77FDF"/>
    <w:rPr>
      <w:b/>
      <w:bCs/>
      <w:lang w:val="pt-PT"/>
    </w:rPr>
  </w:style>
  <w:style w:type="character" w:styleId="Hyperlink">
    <w:name w:val="Hyperlink"/>
    <w:basedOn w:val="DefaultParagraphFont"/>
    <w:rsid w:val="00877FD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7F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1032/oj" TargetMode="External"/><Relationship Id="rId1" Type="http://schemas.openxmlformats.org/officeDocument/2006/relationships/hyperlink" Target="http://data.europa.eu/eli/C/2024/157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486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SEMEDO Teresa</cp:lastModifiedBy>
  <cp:revision>2</cp:revision>
  <cp:lastPrinted>2004-11-19T15:42:00Z</cp:lastPrinted>
  <dcterms:created xsi:type="dcterms:W3CDTF">2026-02-03T09:08:00Z</dcterms:created>
  <dcterms:modified xsi:type="dcterms:W3CDTF">2026-02-03T09:08:00Z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P10_TA(2025)0279_</vt:lpwstr>
  </property>
  <property fmtid="{D5CDD505-2E9C-101B-9397-08002B2CF9AE}" pid="4" name="&lt;Type&gt;">
    <vt:lpwstr>RR</vt:lpwstr>
  </property>
</Properties>
</file>