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0F02" w14:paraId="1EE7BA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093834" w14:textId="77777777" w:rsidR="00751A4A" w:rsidRPr="00AA0F02" w:rsidRDefault="003213DA" w:rsidP="0010095E">
            <w:pPr>
              <w:pStyle w:val="EPName"/>
            </w:pPr>
            <w:r w:rsidRPr="00AA0F02">
              <w:t>Európsky parlament</w:t>
            </w:r>
          </w:p>
          <w:p w14:paraId="7DBE1F45" w14:textId="77777777" w:rsidR="00751A4A" w:rsidRPr="00AA0F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0F02">
              <w:t>2024</w:t>
            </w:r>
            <w:r w:rsidR="00817416" w:rsidRPr="00AA0F02">
              <w:t>-202</w:t>
            </w:r>
            <w:r w:rsidRPr="00AA0F02">
              <w:t>9</w:t>
            </w:r>
          </w:p>
        </w:tc>
        <w:tc>
          <w:tcPr>
            <w:tcW w:w="2268" w:type="dxa"/>
            <w:shd w:val="clear" w:color="auto" w:fill="auto"/>
          </w:tcPr>
          <w:p w14:paraId="01C287FE" w14:textId="77777777" w:rsidR="00751A4A" w:rsidRPr="00AA0F02" w:rsidRDefault="00187494" w:rsidP="0010095E">
            <w:pPr>
              <w:pStyle w:val="EPLogo"/>
            </w:pPr>
            <w:r w:rsidRPr="00AA0F02">
              <w:rPr>
                <w:noProof/>
                <w:lang w:eastAsia="ja-JP"/>
              </w:rPr>
              <w:drawing>
                <wp:inline distT="0" distB="0" distL="0" distR="0" wp14:anchorId="5C64793A" wp14:editId="158B86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5909A" w14:textId="77777777" w:rsidR="00D058B8" w:rsidRPr="00AA0F02" w:rsidRDefault="00D058B8" w:rsidP="004C5D52">
      <w:pPr>
        <w:pStyle w:val="LineTop"/>
      </w:pPr>
    </w:p>
    <w:p w14:paraId="13E9365F" w14:textId="77777777" w:rsidR="00680577" w:rsidRPr="00AA0F02" w:rsidRDefault="003213DA" w:rsidP="00680577">
      <w:pPr>
        <w:pStyle w:val="EPBodyTA1"/>
      </w:pPr>
      <w:r w:rsidRPr="00AA0F02">
        <w:t>PRIJATÉ TEXTY</w:t>
      </w:r>
    </w:p>
    <w:p w14:paraId="74D7867E" w14:textId="77777777" w:rsidR="00D058B8" w:rsidRPr="00AA0F02" w:rsidRDefault="00D058B8" w:rsidP="00D058B8">
      <w:pPr>
        <w:pStyle w:val="LineBottom"/>
      </w:pPr>
    </w:p>
    <w:p w14:paraId="0B4F8185" w14:textId="0529734C" w:rsidR="003213DA" w:rsidRPr="00AA0F02" w:rsidRDefault="003213DA" w:rsidP="003213DA">
      <w:pPr>
        <w:pStyle w:val="ATHeading1"/>
      </w:pPr>
      <w:bookmarkStart w:id="0" w:name="TANumber"/>
      <w:r w:rsidRPr="00AA0F02">
        <w:t>P10_TA(2025)0</w:t>
      </w:r>
      <w:r w:rsidR="00AA0F02" w:rsidRPr="00AA0F02">
        <w:t>279</w:t>
      </w:r>
      <w:bookmarkEnd w:id="0"/>
    </w:p>
    <w:p w14:paraId="0428749B" w14:textId="77777777" w:rsidR="003213DA" w:rsidRPr="00AA0F02" w:rsidRDefault="003213DA" w:rsidP="003213DA">
      <w:pPr>
        <w:pStyle w:val="ATHeading2"/>
      </w:pPr>
      <w:bookmarkStart w:id="1" w:name="title"/>
      <w:r w:rsidRPr="00AA0F02">
        <w:t>Bezpečnosť hračiek a zrušenie smernice 2009/48/ES</w:t>
      </w:r>
      <w:bookmarkEnd w:id="1"/>
    </w:p>
    <w:p w14:paraId="1F0E1502" w14:textId="77777777" w:rsidR="003213DA" w:rsidRPr="00AA0F02" w:rsidRDefault="003213DA" w:rsidP="003213DA">
      <w:pPr>
        <w:rPr>
          <w:i/>
          <w:vanish/>
        </w:rPr>
      </w:pPr>
      <w:r w:rsidRPr="00AA0F02">
        <w:rPr>
          <w:i/>
        </w:rPr>
        <w:fldChar w:fldCharType="begin"/>
      </w:r>
      <w:r w:rsidRPr="00AA0F02">
        <w:rPr>
          <w:i/>
        </w:rPr>
        <w:instrText xml:space="preserve"> TC"(</w:instrText>
      </w:r>
      <w:bookmarkStart w:id="2" w:name="DocNumber"/>
      <w:r w:rsidRPr="00AA0F02">
        <w:rPr>
          <w:i/>
        </w:rPr>
        <w:instrText>A10-0227/2025</w:instrText>
      </w:r>
      <w:bookmarkEnd w:id="2"/>
      <w:r w:rsidRPr="00AA0F02">
        <w:rPr>
          <w:i/>
        </w:rPr>
        <w:instrText xml:space="preserve"> - Spravodajkyňa: </w:instrText>
      </w:r>
      <w:proofErr w:type="spellStart"/>
      <w:r w:rsidRPr="00AA0F02">
        <w:rPr>
          <w:i/>
        </w:rPr>
        <w:instrText>Marion</w:instrText>
      </w:r>
      <w:proofErr w:type="spellEnd"/>
      <w:r w:rsidRPr="00AA0F02">
        <w:rPr>
          <w:i/>
        </w:rPr>
        <w:instrText xml:space="preserve"> </w:instrText>
      </w:r>
      <w:proofErr w:type="spellStart"/>
      <w:r w:rsidRPr="00AA0F02">
        <w:rPr>
          <w:i/>
        </w:rPr>
        <w:instrText>Walsmann</w:instrText>
      </w:r>
      <w:proofErr w:type="spellEnd"/>
      <w:r w:rsidRPr="00AA0F02">
        <w:rPr>
          <w:i/>
        </w:rPr>
        <w:instrText xml:space="preserve">)"\l3 \n&gt; \* MERGEFORMAT </w:instrText>
      </w:r>
      <w:r w:rsidRPr="00AA0F02">
        <w:rPr>
          <w:i/>
        </w:rPr>
        <w:fldChar w:fldCharType="end"/>
      </w:r>
    </w:p>
    <w:p w14:paraId="7A48B821" w14:textId="77777777" w:rsidR="003213DA" w:rsidRPr="00AA0F02" w:rsidRDefault="003213DA" w:rsidP="003213DA">
      <w:pPr>
        <w:rPr>
          <w:vanish/>
        </w:rPr>
      </w:pPr>
      <w:bookmarkStart w:id="3" w:name="Commission"/>
      <w:r w:rsidRPr="00AA0F02">
        <w:rPr>
          <w:vanish/>
        </w:rPr>
        <w:t>Výbor pre vnútorný trh a ochranu spotrebiteľa</w:t>
      </w:r>
      <w:bookmarkEnd w:id="3"/>
    </w:p>
    <w:p w14:paraId="52CCB1FD" w14:textId="77777777" w:rsidR="003213DA" w:rsidRPr="00AA0F02" w:rsidRDefault="003213DA" w:rsidP="003213DA">
      <w:pPr>
        <w:rPr>
          <w:vanish/>
        </w:rPr>
      </w:pPr>
      <w:bookmarkStart w:id="4" w:name="PE"/>
      <w:r w:rsidRPr="00AA0F02">
        <w:rPr>
          <w:vanish/>
        </w:rPr>
        <w:t>PE779.456</w:t>
      </w:r>
      <w:bookmarkEnd w:id="4"/>
    </w:p>
    <w:p w14:paraId="11D5153F" w14:textId="479F4893" w:rsidR="003213DA" w:rsidRPr="00AA0F02" w:rsidRDefault="003213DA" w:rsidP="003213DA">
      <w:pPr>
        <w:pStyle w:val="ATHeading3"/>
      </w:pPr>
      <w:bookmarkStart w:id="5" w:name="Sujet"/>
      <w:r w:rsidRPr="00AA0F02">
        <w:t>Legislatívne uznesenie Európskeho parlamentu z</w:t>
      </w:r>
      <w:r w:rsidR="004A53EE" w:rsidRPr="00AA0F02">
        <w:t> 25</w:t>
      </w:r>
      <w:r w:rsidRPr="00AA0F02">
        <w:t>. novembra 2025 k pozícii Rady v prvom čítaní na účely prijatia nariadenia Európskeho parlamentu a Rady o bezpečnosti hračiek a o zrušení smernice 2009/48/ES</w:t>
      </w:r>
      <w:bookmarkEnd w:id="5"/>
      <w:r w:rsidRPr="00AA0F02">
        <w:t xml:space="preserve"> </w:t>
      </w:r>
      <w:bookmarkStart w:id="6" w:name="References"/>
      <w:r w:rsidRPr="00AA0F02">
        <w:t>(09663/1/2025 – C10-0251/2025 – 2023/0290(COD))</w:t>
      </w:r>
      <w:bookmarkEnd w:id="6"/>
    </w:p>
    <w:p w14:paraId="369CDFAA" w14:textId="77777777" w:rsidR="003213DA" w:rsidRPr="00AA0F02" w:rsidRDefault="003213DA" w:rsidP="003213DA"/>
    <w:p w14:paraId="1EDA87BA" w14:textId="77777777" w:rsidR="006044EF" w:rsidRPr="00AA0F02" w:rsidRDefault="006044EF" w:rsidP="006044EF">
      <w:pPr>
        <w:pStyle w:val="NormalBold"/>
      </w:pPr>
      <w:bookmarkStart w:id="7" w:name="TextBodyBegin"/>
      <w:bookmarkEnd w:id="7"/>
      <w:r w:rsidRPr="00AA0F02">
        <w:t>(Riadny legislatívny postup: druhé čítanie)</w:t>
      </w:r>
    </w:p>
    <w:p w14:paraId="4095AC82" w14:textId="77777777" w:rsidR="006044EF" w:rsidRPr="00AA0F02" w:rsidRDefault="006044EF" w:rsidP="006044EF">
      <w:pPr>
        <w:pStyle w:val="EPComma"/>
      </w:pPr>
      <w:r w:rsidRPr="00AA0F02">
        <w:rPr>
          <w:i/>
        </w:rPr>
        <w:t>Európsky parlament</w:t>
      </w:r>
      <w:r w:rsidRPr="00AA0F02">
        <w:t>,</w:t>
      </w:r>
    </w:p>
    <w:p w14:paraId="4907CB12" w14:textId="52D17BCD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pozíciu Rady v prvom čítaní (09663/1/2025 – C10</w:t>
      </w:r>
      <w:r w:rsidR="004A53EE" w:rsidRPr="00AA0F02">
        <w:t>-</w:t>
      </w:r>
      <w:r w:rsidRPr="00AA0F02">
        <w:t>0251/2025),</w:t>
      </w:r>
    </w:p>
    <w:p w14:paraId="4B065531" w14:textId="77777777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stanovisko Európskeho hospodárskeho a sociálneho výboru z 13. decembra 2023</w:t>
      </w:r>
      <w:r w:rsidRPr="00AA0F02">
        <w:rPr>
          <w:rStyle w:val="FootnoteReference"/>
        </w:rPr>
        <w:footnoteReference w:id="1"/>
      </w:r>
      <w:r w:rsidRPr="00AA0F02">
        <w:t>,</w:t>
      </w:r>
    </w:p>
    <w:p w14:paraId="4CFF28F8" w14:textId="38517770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svoju pozíciu v prvom čítaní</w:t>
      </w:r>
      <w:r w:rsidRPr="00AA0F02">
        <w:rPr>
          <w:rStyle w:val="FootnoteReference"/>
        </w:rPr>
        <w:footnoteReference w:id="2"/>
      </w:r>
      <w:r w:rsidRPr="00AA0F02">
        <w:t xml:space="preserve"> k návrhu Komisie pre Európsky parlament a Radu (COM(2023)</w:t>
      </w:r>
      <w:r w:rsidR="004A53EE" w:rsidRPr="00AA0F02">
        <w:t>0</w:t>
      </w:r>
      <w:r w:rsidRPr="00AA0F02">
        <w:t>462),</w:t>
      </w:r>
    </w:p>
    <w:p w14:paraId="73D388B5" w14:textId="77777777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článok 294 ods. 7 Zmluvy o fungovaní Európskej únie,</w:t>
      </w:r>
    </w:p>
    <w:p w14:paraId="1530870F" w14:textId="77777777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predbežnú dohodu schválenú gestorským výborom podľa článku 75 ods. 4 rokovacieho poriadku,</w:t>
      </w:r>
    </w:p>
    <w:p w14:paraId="01BA154F" w14:textId="77777777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článok 68 rokovacieho poriadku,</w:t>
      </w:r>
    </w:p>
    <w:p w14:paraId="5AD0166B" w14:textId="77777777" w:rsidR="006044EF" w:rsidRPr="00AA0F02" w:rsidRDefault="006044EF" w:rsidP="006044EF">
      <w:pPr>
        <w:pStyle w:val="NormalHanging12a"/>
      </w:pPr>
      <w:r w:rsidRPr="00AA0F02">
        <w:t>–</w:t>
      </w:r>
      <w:r w:rsidRPr="00AA0F02">
        <w:tab/>
        <w:t>so zreteľom na odporúčanie Výboru pre vnútorný trh a ochranu spotrebiteľa do druhého čítania (A10-0227/2025),</w:t>
      </w:r>
    </w:p>
    <w:p w14:paraId="7BF8F2D7" w14:textId="77777777" w:rsidR="006044EF" w:rsidRPr="00AA0F02" w:rsidRDefault="006044EF" w:rsidP="006044EF">
      <w:pPr>
        <w:pStyle w:val="NormalHanging12a"/>
      </w:pPr>
      <w:r w:rsidRPr="00AA0F02">
        <w:t>1.</w:t>
      </w:r>
      <w:r w:rsidRPr="00AA0F02">
        <w:tab/>
        <w:t>schvaľuje pozíciu Rady v prvom čítaní;</w:t>
      </w:r>
    </w:p>
    <w:p w14:paraId="18892F7F" w14:textId="77777777" w:rsidR="006044EF" w:rsidRPr="00AA0F02" w:rsidRDefault="006044EF" w:rsidP="006044EF">
      <w:pPr>
        <w:pStyle w:val="NormalHanging12a"/>
      </w:pPr>
      <w:r w:rsidRPr="00AA0F02">
        <w:t>2.</w:t>
      </w:r>
      <w:r w:rsidRPr="00AA0F02">
        <w:tab/>
        <w:t xml:space="preserve">berie na vedomie vyhlásenie Komisie, ktoré je uvedené v prílohe k tomuto uzneseniu a ktoré bude uverejnené v sérii C </w:t>
      </w:r>
      <w:r w:rsidRPr="00AA0F02">
        <w:rPr>
          <w:i/>
        </w:rPr>
        <w:t>Úradného vestníka Európskej únie</w:t>
      </w:r>
      <w:r w:rsidRPr="00AA0F02">
        <w:t>;</w:t>
      </w:r>
    </w:p>
    <w:p w14:paraId="61EFEBAF" w14:textId="77777777" w:rsidR="006044EF" w:rsidRPr="00AA0F02" w:rsidRDefault="006044EF" w:rsidP="006044EF">
      <w:pPr>
        <w:pStyle w:val="NormalHanging12a"/>
      </w:pPr>
      <w:r w:rsidRPr="00AA0F02">
        <w:lastRenderedPageBreak/>
        <w:t>3.</w:t>
      </w:r>
      <w:r w:rsidRPr="00AA0F02">
        <w:tab/>
        <w:t>konštatuje, že akt bol prijatý v súlade s pozíciou Rady;</w:t>
      </w:r>
    </w:p>
    <w:p w14:paraId="4C317C87" w14:textId="77777777" w:rsidR="006044EF" w:rsidRPr="00AA0F02" w:rsidRDefault="006044EF" w:rsidP="006044EF">
      <w:pPr>
        <w:pStyle w:val="NormalHanging12a"/>
      </w:pPr>
      <w:r w:rsidRPr="00AA0F02">
        <w:t>4.</w:t>
      </w:r>
      <w:r w:rsidRPr="00AA0F02">
        <w:tab/>
        <w:t>poveruje svoju predsedníčku, aby podpísala akt spoločne s predsedníčkou Rady, v súlade s článkom 297 ods. 1 Zmluvy o fungovaní Európskej únie;</w:t>
      </w:r>
    </w:p>
    <w:p w14:paraId="21832CB9" w14:textId="77777777" w:rsidR="006044EF" w:rsidRPr="00AA0F02" w:rsidRDefault="006044EF" w:rsidP="006044EF">
      <w:pPr>
        <w:pStyle w:val="NormalHanging12a"/>
      </w:pPr>
      <w:r w:rsidRPr="00AA0F02">
        <w:t>5.</w:t>
      </w:r>
      <w:r w:rsidRPr="00AA0F02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AA0F02">
        <w:rPr>
          <w:i/>
        </w:rPr>
        <w:t>Úradnom vestníku Európskej únie</w:t>
      </w:r>
      <w:r w:rsidRPr="00AA0F02">
        <w:t>;</w:t>
      </w:r>
    </w:p>
    <w:p w14:paraId="40577B57" w14:textId="77777777" w:rsidR="006044EF" w:rsidRPr="00AA0F02" w:rsidRDefault="006044EF" w:rsidP="006044EF">
      <w:pPr>
        <w:pStyle w:val="NormalHanging12a"/>
      </w:pPr>
      <w:r w:rsidRPr="00AA0F02">
        <w:t>6.</w:t>
      </w:r>
      <w:r w:rsidRPr="00AA0F02">
        <w:tab/>
        <w:t>poveruje svoju predsedníčku, aby postúpila túto pozíciu Rade, Komisii a národným parlamentom.</w:t>
      </w:r>
    </w:p>
    <w:p w14:paraId="7723930A" w14:textId="77777777" w:rsidR="006044EF" w:rsidRPr="00AA0F02" w:rsidRDefault="006044EF" w:rsidP="006044EF">
      <w:pPr>
        <w:pStyle w:val="PageHeading"/>
        <w:jc w:val="left"/>
        <w:sectPr w:rsidR="006044EF" w:rsidRPr="00AA0F02" w:rsidSect="00FF12E0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613B59" w14:textId="77777777" w:rsidR="004A53EE" w:rsidRPr="00AA0F02" w:rsidRDefault="006044EF" w:rsidP="00AA0F02">
      <w:pPr>
        <w:spacing w:before="120" w:after="240"/>
        <w:jc w:val="right"/>
        <w:rPr>
          <w:bCs/>
        </w:rPr>
      </w:pPr>
      <w:bookmarkStart w:id="8" w:name="_Toc214369733"/>
      <w:r w:rsidRPr="00AA0F02">
        <w:rPr>
          <w:bCs/>
        </w:rPr>
        <w:lastRenderedPageBreak/>
        <w:t>PRÍLOHA K LEGISLATÍVNEMU UZNESENIU</w:t>
      </w:r>
    </w:p>
    <w:p w14:paraId="2ACCF00E" w14:textId="637FD8EF" w:rsidR="006044EF" w:rsidRPr="00AA0F02" w:rsidRDefault="006044EF" w:rsidP="004A53EE">
      <w:pPr>
        <w:spacing w:before="120" w:after="240"/>
        <w:jc w:val="center"/>
        <w:rPr>
          <w:bCs/>
        </w:rPr>
      </w:pPr>
      <w:r w:rsidRPr="00AA0F02">
        <w:rPr>
          <w:b/>
        </w:rPr>
        <w:t xml:space="preserve">VYHLÁSENIE </w:t>
      </w:r>
      <w:r w:rsidR="0019727B" w:rsidRPr="00AA0F02">
        <w:rPr>
          <w:b/>
        </w:rPr>
        <w:t>KOMISIE</w:t>
      </w:r>
      <w:bookmarkEnd w:id="8"/>
      <w:r w:rsidR="0019727B" w:rsidRPr="00AA0F02">
        <w:rPr>
          <w:b/>
        </w:rPr>
        <w:t xml:space="preserve"> PRI PRÍLEŽITOSTI PRIJATIA NARIADENIA </w:t>
      </w:r>
      <w:r w:rsidR="008A0048">
        <w:rPr>
          <w:b/>
        </w:rPr>
        <w:t xml:space="preserve">(EÚ) </w:t>
      </w:r>
      <w:r w:rsidR="0019727B" w:rsidRPr="00AA0F02">
        <w:rPr>
          <w:b/>
        </w:rPr>
        <w:t>2025/</w:t>
      </w:r>
      <w:r w:rsidR="008A0048">
        <w:rPr>
          <w:b/>
        </w:rPr>
        <w:t>2509</w:t>
      </w:r>
    </w:p>
    <w:p w14:paraId="388F5B84" w14:textId="1AB735A3" w:rsidR="00E365E1" w:rsidRPr="00AA0F02" w:rsidRDefault="006044EF" w:rsidP="00E375C7">
      <w:pPr>
        <w:spacing w:before="120" w:after="240"/>
      </w:pPr>
      <w:bookmarkStart w:id="9" w:name="_Hlk196383635"/>
      <w:r w:rsidRPr="00AA0F02">
        <w:t xml:space="preserve">Komisia pravidelne a systematicky vyhodnocuje výskyt nebezpečných chemikálií v hračkách, pričom zohľadňuje dostupné vedecké dôkazy, s cieľom prispôsobiť limitné hodnoty alebo podmienky prítomnosti konkrétnych chemických látok alebo zmesí v hračkách v súlade s článkom 46 nariadenia </w:t>
      </w:r>
      <w:r w:rsidR="008A0048">
        <w:t xml:space="preserve">(EÚ) </w:t>
      </w:r>
      <w:r w:rsidRPr="00AA0F02">
        <w:t>2025/</w:t>
      </w:r>
      <w:r w:rsidR="008A0048">
        <w:t>2509</w:t>
      </w:r>
      <w:r w:rsidRPr="00AA0F02">
        <w:t xml:space="preserve"> o bezpečnosti hračiek. Na tento účel Komisia do 12 mesiacov od nadobudnutia účinnosti tohto nariadenia požiada Európsku chemickú agentúru o stanovisko k bezpečnosti </w:t>
      </w:r>
      <w:proofErr w:type="spellStart"/>
      <w:r w:rsidRPr="00AA0F02">
        <w:t>nitrozamínov</w:t>
      </w:r>
      <w:proofErr w:type="spellEnd"/>
      <w:r w:rsidRPr="00AA0F02">
        <w:t xml:space="preserve"> a </w:t>
      </w:r>
      <w:proofErr w:type="spellStart"/>
      <w:r w:rsidRPr="00AA0F02">
        <w:t>nitrozovateľných</w:t>
      </w:r>
      <w:proofErr w:type="spellEnd"/>
      <w:r w:rsidRPr="00AA0F02">
        <w:t xml:space="preserve"> látok v hračkách vzhľadom na celkovú expozíciu. Na rovnaký účel Komisia do 24 mesiacov od nadobudnutia účinnosti tohto nariadenia požiada Európsku chemickú agentúru o stanovisko k bezpečnosti olova, kadmia, ortuti a chrómu VI v hračkách vzhľadom na celkovú expozíciu.</w:t>
      </w:r>
      <w:bookmarkEnd w:id="9"/>
    </w:p>
    <w:sectPr w:rsidR="00E365E1" w:rsidRPr="00AA0F02" w:rsidSect="00FF12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BF46" w14:textId="77777777" w:rsidR="003213DA" w:rsidRPr="00FF12E0" w:rsidRDefault="003213DA">
      <w:r w:rsidRPr="00FF12E0">
        <w:separator/>
      </w:r>
    </w:p>
  </w:endnote>
  <w:endnote w:type="continuationSeparator" w:id="0">
    <w:p w14:paraId="7BA4CA71" w14:textId="77777777" w:rsidR="003213DA" w:rsidRPr="00FF12E0" w:rsidRDefault="003213DA">
      <w:r w:rsidRPr="00FF12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7541" w14:textId="77777777" w:rsidR="006044EF" w:rsidRPr="00FF12E0" w:rsidRDefault="006044EF" w:rsidP="0071481C">
    <w:pPr>
      <w:pStyle w:val="EPFooter"/>
    </w:pPr>
    <w:r w:rsidRPr="00FF12E0">
      <w:t>PE</w:t>
    </w:r>
    <w:r w:rsidRPr="00FF12E0">
      <w:rPr>
        <w:rStyle w:val="HideTWBExt"/>
      </w:rPr>
      <w:t>&lt;</w:t>
    </w:r>
    <w:proofErr w:type="spellStart"/>
    <w:r w:rsidRPr="00FF12E0">
      <w:rPr>
        <w:rStyle w:val="HideTWBExt"/>
      </w:rPr>
      <w:t>NoPE</w:t>
    </w:r>
    <w:proofErr w:type="spellEnd"/>
    <w:r w:rsidRPr="00FF12E0">
      <w:rPr>
        <w:rStyle w:val="HideTWBExt"/>
      </w:rPr>
      <w:t>&gt;</w:t>
    </w:r>
    <w:r w:rsidRPr="00FF12E0">
      <w:t>779.456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NoPE</w:t>
    </w:r>
    <w:proofErr w:type="spellEnd"/>
    <w:r w:rsidRPr="00FF12E0">
      <w:rPr>
        <w:rStyle w:val="HideTWBExt"/>
      </w:rPr>
      <w:t>&gt;&lt;Version&gt;</w:t>
    </w:r>
    <w:r w:rsidRPr="00FF12E0">
      <w:t>v02-00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Version</w:t>
    </w:r>
    <w:proofErr w:type="spellEnd"/>
    <w:r w:rsidRPr="00FF12E0">
      <w:rPr>
        <w:rStyle w:val="HideTWBExt"/>
      </w:rPr>
      <w:t>&gt;</w:t>
    </w:r>
    <w:r w:rsidRPr="00FF12E0">
      <w:tab/>
    </w:r>
    <w:r w:rsidRPr="00FF12E0">
      <w:fldChar w:fldCharType="begin"/>
    </w:r>
    <w:r w:rsidRPr="00FF12E0">
      <w:instrText xml:space="preserve"> PAGE  \* MERGEFORMAT </w:instrText>
    </w:r>
    <w:r w:rsidRPr="00FF12E0">
      <w:fldChar w:fldCharType="separate"/>
    </w:r>
    <w:r w:rsidRPr="00FF12E0">
      <w:rPr>
        <w:noProof/>
      </w:rPr>
      <w:t>10</w:t>
    </w:r>
    <w:r w:rsidRPr="00FF12E0">
      <w:fldChar w:fldCharType="end"/>
    </w:r>
    <w:r w:rsidRPr="00FF12E0">
      <w:t>/</w:t>
    </w:r>
    <w:fldSimple w:instr=" NUMPAGES  \* MERGEFORMAT ">
      <w:r w:rsidRPr="00FF12E0">
        <w:rPr>
          <w:noProof/>
        </w:rPr>
        <w:t>11</w:t>
      </w:r>
    </w:fldSimple>
    <w:r w:rsidRPr="00FF12E0">
      <w:tab/>
    </w:r>
    <w:r w:rsidRPr="00FF12E0">
      <w:rPr>
        <w:rStyle w:val="HideTWBExt"/>
      </w:rPr>
      <w:t>&lt;PathFdR&gt;</w:t>
    </w:r>
    <w:r w:rsidRPr="00FF12E0">
      <w:t>RR\1331920SK.docx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PathFdR</w:t>
    </w:r>
    <w:proofErr w:type="spellEnd"/>
    <w:r w:rsidRPr="00FF12E0">
      <w:rPr>
        <w:rStyle w:val="HideTWBExt"/>
      </w:rPr>
      <w:t>&gt;</w:t>
    </w:r>
  </w:p>
  <w:p w14:paraId="21A02FC2" w14:textId="77777777" w:rsidR="006044EF" w:rsidRPr="00FF12E0" w:rsidRDefault="006044EF" w:rsidP="0071481C">
    <w:pPr>
      <w:pStyle w:val="EPFooter2"/>
    </w:pPr>
    <w:r w:rsidRPr="00FF12E0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0E03" w14:textId="77777777" w:rsidR="006044EF" w:rsidRPr="00FF12E0" w:rsidRDefault="006044EF" w:rsidP="0071481C">
    <w:pPr>
      <w:pStyle w:val="EPFooter"/>
    </w:pPr>
    <w:r w:rsidRPr="00FF12E0">
      <w:rPr>
        <w:rStyle w:val="HideTWBExt"/>
      </w:rPr>
      <w:t>&lt;PathFdR&gt;</w:t>
    </w:r>
    <w:r w:rsidRPr="00FF12E0">
      <w:t>RR\1331920SK.docx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PathFdR</w:t>
    </w:r>
    <w:proofErr w:type="spellEnd"/>
    <w:r w:rsidRPr="00FF12E0">
      <w:rPr>
        <w:rStyle w:val="HideTWBExt"/>
      </w:rPr>
      <w:t>&gt;</w:t>
    </w:r>
    <w:r w:rsidRPr="00FF12E0">
      <w:tab/>
    </w:r>
    <w:r w:rsidRPr="00FF12E0">
      <w:tab/>
      <w:t>PE</w:t>
    </w:r>
    <w:r w:rsidRPr="00FF12E0">
      <w:rPr>
        <w:rStyle w:val="HideTWBExt"/>
      </w:rPr>
      <w:t>&lt;</w:t>
    </w:r>
    <w:proofErr w:type="spellStart"/>
    <w:r w:rsidRPr="00FF12E0">
      <w:rPr>
        <w:rStyle w:val="HideTWBExt"/>
      </w:rPr>
      <w:t>NoPE</w:t>
    </w:r>
    <w:proofErr w:type="spellEnd"/>
    <w:r w:rsidRPr="00FF12E0">
      <w:rPr>
        <w:rStyle w:val="HideTWBExt"/>
      </w:rPr>
      <w:t>&gt;</w:t>
    </w:r>
    <w:r w:rsidRPr="00FF12E0">
      <w:t>779.456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NoPE</w:t>
    </w:r>
    <w:proofErr w:type="spellEnd"/>
    <w:r w:rsidRPr="00FF12E0">
      <w:rPr>
        <w:rStyle w:val="HideTWBExt"/>
      </w:rPr>
      <w:t>&gt;&lt;Version&gt;</w:t>
    </w:r>
    <w:r w:rsidRPr="00FF12E0">
      <w:t>v02-00</w:t>
    </w:r>
    <w:r w:rsidRPr="00FF12E0">
      <w:rPr>
        <w:rStyle w:val="HideTWBExt"/>
      </w:rPr>
      <w:t>&lt;/</w:t>
    </w:r>
    <w:proofErr w:type="spellStart"/>
    <w:r w:rsidRPr="00FF12E0">
      <w:rPr>
        <w:rStyle w:val="HideTWBExt"/>
      </w:rPr>
      <w:t>Version</w:t>
    </w:r>
    <w:proofErr w:type="spellEnd"/>
    <w:r w:rsidRPr="00FF12E0">
      <w:rPr>
        <w:rStyle w:val="HideTWBExt"/>
      </w:rPr>
      <w:t>&gt;</w:t>
    </w:r>
  </w:p>
  <w:p w14:paraId="4D8B3080" w14:textId="77777777" w:rsidR="006044EF" w:rsidRPr="00FF12E0" w:rsidRDefault="006044EF" w:rsidP="0071481C">
    <w:pPr>
      <w:pStyle w:val="EPFooter2"/>
    </w:pPr>
    <w:r w:rsidRPr="00FF12E0">
      <w:t>SK</w:t>
    </w:r>
    <w:r w:rsidRPr="00FF12E0">
      <w:tab/>
    </w:r>
    <w:r w:rsidRPr="00FF12E0">
      <w:rPr>
        <w:b w:val="0"/>
        <w:i/>
        <w:color w:val="C0C0C0"/>
        <w:sz w:val="22"/>
      </w:rPr>
      <w:t>Zjednotení v rozmanitosti</w:t>
    </w:r>
    <w:r w:rsidRPr="00FF12E0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71BE" w14:textId="77777777" w:rsidR="00064002" w:rsidRPr="00FF12E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8CC4" w14:textId="77777777" w:rsidR="00064002" w:rsidRPr="00FF12E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2D6C" w14:textId="77777777" w:rsidR="00064002" w:rsidRPr="00FF12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5A0D1" w14:textId="77777777" w:rsidR="003213DA" w:rsidRPr="00FF12E0" w:rsidRDefault="003213DA">
      <w:r w:rsidRPr="00FF12E0">
        <w:separator/>
      </w:r>
    </w:p>
  </w:footnote>
  <w:footnote w:type="continuationSeparator" w:id="0">
    <w:p w14:paraId="493A2B89" w14:textId="77777777" w:rsidR="003213DA" w:rsidRPr="00FF12E0" w:rsidRDefault="003213DA">
      <w:r w:rsidRPr="00FF12E0">
        <w:continuationSeparator/>
      </w:r>
    </w:p>
  </w:footnote>
  <w:footnote w:id="1">
    <w:p w14:paraId="086AA55B" w14:textId="36283857" w:rsidR="006044EF" w:rsidRPr="00FF12E0" w:rsidRDefault="006044EF" w:rsidP="00FF12E0">
      <w:pPr>
        <w:pStyle w:val="FootnoteText"/>
        <w:ind w:left="567" w:hanging="567"/>
        <w:rPr>
          <w:sz w:val="24"/>
          <w:lang w:val="sk-SK"/>
        </w:rPr>
      </w:pPr>
      <w:r w:rsidRPr="00FF12E0">
        <w:rPr>
          <w:rStyle w:val="FootnoteReference"/>
          <w:sz w:val="24"/>
          <w:lang w:val="sk-SK"/>
        </w:rPr>
        <w:footnoteRef/>
      </w:r>
      <w:r w:rsidR="00FF12E0" w:rsidRPr="00FF12E0">
        <w:rPr>
          <w:sz w:val="24"/>
          <w:lang w:val="sk-SK"/>
        </w:rPr>
        <w:t xml:space="preserve"> </w:t>
      </w:r>
      <w:r w:rsidR="00FF12E0" w:rsidRPr="00FF12E0">
        <w:rPr>
          <w:sz w:val="24"/>
          <w:lang w:val="sk-SK"/>
        </w:rPr>
        <w:tab/>
      </w:r>
      <w:r w:rsidRPr="00FF12E0">
        <w:rPr>
          <w:sz w:val="24"/>
          <w:lang w:val="sk-SK"/>
        </w:rPr>
        <w:t xml:space="preserve">Ú. v. EÚ C, C/2024/1577, 5.3.2024, ELI: </w:t>
      </w:r>
      <w:hyperlink r:id="rId1" w:history="1">
        <w:r w:rsidRPr="004A53EE">
          <w:rPr>
            <w:rStyle w:val="Hyperlink"/>
            <w:sz w:val="24"/>
            <w:lang w:val="sk-SK"/>
          </w:rPr>
          <w:t>http://data.europa.eu/eli/C/2024/1577/oj</w:t>
        </w:r>
      </w:hyperlink>
      <w:r w:rsidRPr="00FF12E0">
        <w:rPr>
          <w:sz w:val="24"/>
          <w:lang w:val="sk-SK"/>
        </w:rPr>
        <w:t>.</w:t>
      </w:r>
    </w:p>
  </w:footnote>
  <w:footnote w:id="2">
    <w:p w14:paraId="7E564BF4" w14:textId="6C0A6655" w:rsidR="006044EF" w:rsidRPr="00FF12E0" w:rsidRDefault="006044EF" w:rsidP="00FF12E0">
      <w:pPr>
        <w:pStyle w:val="FootnoteText"/>
        <w:ind w:left="567" w:hanging="567"/>
        <w:rPr>
          <w:sz w:val="24"/>
          <w:lang w:val="sk-SK"/>
        </w:rPr>
      </w:pPr>
      <w:r w:rsidRPr="00FF12E0">
        <w:rPr>
          <w:rStyle w:val="FootnoteReference"/>
          <w:sz w:val="24"/>
          <w:lang w:val="sk-SK"/>
        </w:rPr>
        <w:footnoteRef/>
      </w:r>
      <w:r w:rsidR="00FF12E0" w:rsidRPr="00FF12E0">
        <w:rPr>
          <w:sz w:val="24"/>
          <w:lang w:val="sk-SK"/>
        </w:rPr>
        <w:t xml:space="preserve"> </w:t>
      </w:r>
      <w:r w:rsidR="00FF12E0" w:rsidRPr="00FF12E0">
        <w:rPr>
          <w:sz w:val="24"/>
          <w:lang w:val="sk-SK"/>
        </w:rPr>
        <w:tab/>
      </w:r>
      <w:r w:rsidRPr="00FF12E0">
        <w:rPr>
          <w:sz w:val="24"/>
          <w:lang w:val="sk-SK"/>
        </w:rPr>
        <w:t xml:space="preserve">Ú. v. </w:t>
      </w:r>
      <w:r w:rsidRPr="00FF12E0">
        <w:rPr>
          <w:sz w:val="24"/>
          <w:lang w:val="sk-SK"/>
        </w:rPr>
        <w:t xml:space="preserve">EÚ C, C/2025/1032, 27.2.2025, ELI: </w:t>
      </w:r>
      <w:hyperlink r:id="rId2" w:history="1">
        <w:r w:rsidRPr="004A53EE">
          <w:rPr>
            <w:rStyle w:val="Hyperlink"/>
            <w:sz w:val="24"/>
            <w:lang w:val="sk-SK"/>
          </w:rPr>
          <w:t>http://data.europa.eu/eli/C/2025/1032/oj</w:t>
        </w:r>
      </w:hyperlink>
      <w:r w:rsidRPr="00FF12E0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5CAC" w14:textId="77777777" w:rsidR="00064002" w:rsidRPr="00FF12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8921" w14:textId="77777777" w:rsidR="00064002" w:rsidRPr="00FF12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7B847" w14:textId="77777777" w:rsidR="00064002" w:rsidRPr="00FF12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3514760">
    <w:abstractNumId w:val="9"/>
  </w:num>
  <w:num w:numId="2" w16cid:durableId="1387559076">
    <w:abstractNumId w:val="9"/>
  </w:num>
  <w:num w:numId="3" w16cid:durableId="1936473316">
    <w:abstractNumId w:val="7"/>
  </w:num>
  <w:num w:numId="4" w16cid:durableId="1470325226">
    <w:abstractNumId w:val="7"/>
  </w:num>
  <w:num w:numId="5" w16cid:durableId="1092822213">
    <w:abstractNumId w:val="6"/>
  </w:num>
  <w:num w:numId="6" w16cid:durableId="926690587">
    <w:abstractNumId w:val="6"/>
  </w:num>
  <w:num w:numId="7" w16cid:durableId="2106029231">
    <w:abstractNumId w:val="5"/>
  </w:num>
  <w:num w:numId="8" w16cid:durableId="1315142460">
    <w:abstractNumId w:val="5"/>
  </w:num>
  <w:num w:numId="9" w16cid:durableId="680425228">
    <w:abstractNumId w:val="4"/>
  </w:num>
  <w:num w:numId="10" w16cid:durableId="815491166">
    <w:abstractNumId w:val="4"/>
  </w:num>
  <w:num w:numId="11" w16cid:durableId="1224485612">
    <w:abstractNumId w:val="8"/>
  </w:num>
  <w:num w:numId="12" w16cid:durableId="990712987">
    <w:abstractNumId w:val="8"/>
  </w:num>
  <w:num w:numId="13" w16cid:durableId="53890012">
    <w:abstractNumId w:val="3"/>
  </w:num>
  <w:num w:numId="14" w16cid:durableId="900293265">
    <w:abstractNumId w:val="3"/>
  </w:num>
  <w:num w:numId="15" w16cid:durableId="766078426">
    <w:abstractNumId w:val="2"/>
  </w:num>
  <w:num w:numId="16" w16cid:durableId="306251615">
    <w:abstractNumId w:val="2"/>
  </w:num>
  <w:num w:numId="17" w16cid:durableId="761611902">
    <w:abstractNumId w:val="1"/>
  </w:num>
  <w:num w:numId="18" w16cid:durableId="743258115">
    <w:abstractNumId w:val="1"/>
  </w:num>
  <w:num w:numId="19" w16cid:durableId="1108816331">
    <w:abstractNumId w:val="0"/>
  </w:num>
  <w:num w:numId="20" w16cid:durableId="588778257">
    <w:abstractNumId w:val="0"/>
  </w:num>
  <w:num w:numId="21" w16cid:durableId="1869951195">
    <w:abstractNumId w:val="9"/>
  </w:num>
  <w:num w:numId="22" w16cid:durableId="275672578">
    <w:abstractNumId w:val="7"/>
  </w:num>
  <w:num w:numId="23" w16cid:durableId="818228864">
    <w:abstractNumId w:val="6"/>
  </w:num>
  <w:num w:numId="24" w16cid:durableId="1581520848">
    <w:abstractNumId w:val="5"/>
  </w:num>
  <w:num w:numId="25" w16cid:durableId="2142337399">
    <w:abstractNumId w:val="4"/>
  </w:num>
  <w:num w:numId="26" w16cid:durableId="873661952">
    <w:abstractNumId w:val="8"/>
  </w:num>
  <w:num w:numId="27" w16cid:durableId="1429041196">
    <w:abstractNumId w:val="3"/>
  </w:num>
  <w:num w:numId="28" w16cid:durableId="824668876">
    <w:abstractNumId w:val="2"/>
  </w:num>
  <w:num w:numId="29" w16cid:durableId="1887915102">
    <w:abstractNumId w:val="1"/>
  </w:num>
  <w:num w:numId="30" w16cid:durableId="2105758005">
    <w:abstractNumId w:val="0"/>
  </w:num>
  <w:num w:numId="31" w16cid:durableId="1485587504">
    <w:abstractNumId w:val="9"/>
  </w:num>
  <w:num w:numId="32" w16cid:durableId="917981501">
    <w:abstractNumId w:val="7"/>
  </w:num>
  <w:num w:numId="33" w16cid:durableId="760688286">
    <w:abstractNumId w:val="6"/>
  </w:num>
  <w:num w:numId="34" w16cid:durableId="379743383">
    <w:abstractNumId w:val="5"/>
  </w:num>
  <w:num w:numId="35" w16cid:durableId="2013137551">
    <w:abstractNumId w:val="4"/>
  </w:num>
  <w:num w:numId="36" w16cid:durableId="818762886">
    <w:abstractNumId w:val="8"/>
  </w:num>
  <w:num w:numId="37" w16cid:durableId="543106018">
    <w:abstractNumId w:val="3"/>
  </w:num>
  <w:num w:numId="38" w16cid:durableId="1408191825">
    <w:abstractNumId w:val="2"/>
  </w:num>
  <w:num w:numId="39" w16cid:durableId="2057116416">
    <w:abstractNumId w:val="1"/>
  </w:num>
  <w:num w:numId="40" w16cid:durableId="1060833497">
    <w:abstractNumId w:val="0"/>
  </w:num>
  <w:num w:numId="41" w16cid:durableId="1084499849">
    <w:abstractNumId w:val="10"/>
  </w:num>
  <w:num w:numId="42" w16cid:durableId="1422950086">
    <w:abstractNumId w:val="10"/>
  </w:num>
  <w:num w:numId="43" w16cid:durableId="1812600593">
    <w:abstractNumId w:val="10"/>
  </w:num>
  <w:num w:numId="44" w16cid:durableId="10956365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SK"/>
    <w:docVar w:name="dvnumam" w:val="0"/>
    <w:docVar w:name="dvpe" w:val="779.456"/>
    <w:docVar w:name="dvrapporteur" w:val="Spravodajkyňa: "/>
    <w:docVar w:name="dvstar" w:val="***II"/>
    <w:docVar w:name="dvtitre" w:val="Legislatívne uznesenie Európskeho parlamentu z xx. novembra 2025 k pozícii Rady v prvom čítaní na účely prijatia nariadenia Európskeho parlamentu a Rady o bezpečnosti hračiek a o zrušení smernice 2009/48/ES(09663/1/2025 – C10-0251/2025 – 2023/0290(COD))"/>
  </w:docVars>
  <w:rsids>
    <w:rsidRoot w:val="003213DA"/>
    <w:rsid w:val="00002272"/>
    <w:rsid w:val="0004148B"/>
    <w:rsid w:val="00064002"/>
    <w:rsid w:val="000677B9"/>
    <w:rsid w:val="000831BA"/>
    <w:rsid w:val="000A42CC"/>
    <w:rsid w:val="000E7DD9"/>
    <w:rsid w:val="0010095E"/>
    <w:rsid w:val="00125B37"/>
    <w:rsid w:val="00187494"/>
    <w:rsid w:val="0019727B"/>
    <w:rsid w:val="001F32AE"/>
    <w:rsid w:val="002767FF"/>
    <w:rsid w:val="002B18FE"/>
    <w:rsid w:val="002B5493"/>
    <w:rsid w:val="003213D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3E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4EF"/>
    <w:rsid w:val="006631B6"/>
    <w:rsid w:val="00680577"/>
    <w:rsid w:val="006E783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04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A0F0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31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A3F"/>
    <w:rsid w:val="00E365E1"/>
    <w:rsid w:val="00E375C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9F9CF"/>
  <w15:chartTrackingRefBased/>
  <w15:docId w15:val="{85B6FD1A-E14F-4F0B-B7CB-3F18E2BE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044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044EF"/>
    <w:pPr>
      <w:spacing w:before="480" w:after="240"/>
    </w:pPr>
  </w:style>
  <w:style w:type="paragraph" w:customStyle="1" w:styleId="PageHeading">
    <w:name w:val="PageHeading"/>
    <w:basedOn w:val="Normal"/>
    <w:rsid w:val="006044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044EF"/>
    <w:rPr>
      <w:b/>
    </w:rPr>
  </w:style>
  <w:style w:type="paragraph" w:customStyle="1" w:styleId="NormalHanging12a">
    <w:name w:val="NormalHanging12a"/>
    <w:basedOn w:val="Normal"/>
    <w:rsid w:val="006044E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044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44EF"/>
    <w:rPr>
      <w:sz w:val="24"/>
      <w:lang w:val="sk-SK"/>
    </w:rPr>
  </w:style>
  <w:style w:type="paragraph" w:customStyle="1" w:styleId="EPFooter">
    <w:name w:val="EPFooter"/>
    <w:basedOn w:val="Normal"/>
    <w:rsid w:val="006044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6E78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7839"/>
    <w:rPr>
      <w:sz w:val="24"/>
      <w:lang w:val="sk-SK"/>
    </w:rPr>
  </w:style>
  <w:style w:type="paragraph" w:styleId="Revision">
    <w:name w:val="Revision"/>
    <w:hidden/>
    <w:uiPriority w:val="99"/>
    <w:semiHidden/>
    <w:rsid w:val="004A53EE"/>
    <w:rPr>
      <w:sz w:val="24"/>
      <w:lang w:val="sk-SK"/>
    </w:rPr>
  </w:style>
  <w:style w:type="character" w:styleId="Hyperlink">
    <w:name w:val="Hyperlink"/>
    <w:basedOn w:val="DefaultParagraphFont"/>
    <w:rsid w:val="004A53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371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2026-01-27T13:00:00Z</dcterms:created>
  <dcterms:modified xsi:type="dcterms:W3CDTF">2026-01-27T13:00:00Z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