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5551" w14:paraId="59861C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6160D6" w14:textId="77777777" w:rsidR="00751A4A" w:rsidRPr="00CA5551" w:rsidRDefault="00897D66" w:rsidP="0010095E">
            <w:pPr>
              <w:pStyle w:val="EPName"/>
            </w:pPr>
            <w:r w:rsidRPr="00CA5551">
              <w:t>Evropski parlament</w:t>
            </w:r>
          </w:p>
          <w:p w14:paraId="4FCCD09A" w14:textId="77777777" w:rsidR="00751A4A" w:rsidRPr="00CA55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5551">
              <w:t>2024</w:t>
            </w:r>
            <w:r w:rsidR="00817416" w:rsidRPr="00CA5551">
              <w:t>-202</w:t>
            </w:r>
            <w:r w:rsidRPr="00CA5551">
              <w:t>9</w:t>
            </w:r>
          </w:p>
        </w:tc>
        <w:tc>
          <w:tcPr>
            <w:tcW w:w="2268" w:type="dxa"/>
            <w:shd w:val="clear" w:color="auto" w:fill="auto"/>
          </w:tcPr>
          <w:p w14:paraId="7F6B7C22" w14:textId="77777777" w:rsidR="00751A4A" w:rsidRPr="00CA5551" w:rsidRDefault="00187494" w:rsidP="0010095E">
            <w:pPr>
              <w:pStyle w:val="EPLogo"/>
            </w:pPr>
            <w:r w:rsidRPr="00CA5551">
              <w:rPr>
                <w:noProof/>
                <w:lang w:eastAsia="ja-JP"/>
              </w:rPr>
              <w:drawing>
                <wp:inline distT="0" distB="0" distL="0" distR="0" wp14:anchorId="17B5D050" wp14:editId="350554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019B19" w14:textId="77777777" w:rsidR="00D058B8" w:rsidRPr="00CA5551" w:rsidRDefault="00D058B8" w:rsidP="004C5D52">
      <w:pPr>
        <w:pStyle w:val="LineTop"/>
      </w:pPr>
    </w:p>
    <w:p w14:paraId="1DA7D411" w14:textId="77777777" w:rsidR="00680577" w:rsidRPr="00CA5551" w:rsidRDefault="00897D66" w:rsidP="00680577">
      <w:pPr>
        <w:pStyle w:val="EPBodyTA1"/>
      </w:pPr>
      <w:r w:rsidRPr="00CA5551">
        <w:t>SPREJETA BESEDILA</w:t>
      </w:r>
    </w:p>
    <w:p w14:paraId="4A7F5CAD" w14:textId="77777777" w:rsidR="00D058B8" w:rsidRPr="00CA5551" w:rsidRDefault="00D058B8" w:rsidP="00D058B8">
      <w:pPr>
        <w:pStyle w:val="LineBottom"/>
      </w:pPr>
    </w:p>
    <w:p w14:paraId="13134426" w14:textId="7C5E7FF2" w:rsidR="00897D66" w:rsidRPr="00CA5551" w:rsidRDefault="00897D66" w:rsidP="00897D66">
      <w:pPr>
        <w:pStyle w:val="ATHeading1"/>
      </w:pPr>
      <w:bookmarkStart w:id="0" w:name="TANumber"/>
      <w:r w:rsidRPr="00CA5551">
        <w:t>P10_TA(2025)0</w:t>
      </w:r>
      <w:r w:rsidR="0010288B" w:rsidRPr="00CA5551">
        <w:t>279</w:t>
      </w:r>
      <w:bookmarkEnd w:id="0"/>
    </w:p>
    <w:p w14:paraId="652A1D79" w14:textId="77777777" w:rsidR="00897D66" w:rsidRPr="00CA5551" w:rsidRDefault="00897D66" w:rsidP="00897D66">
      <w:pPr>
        <w:pStyle w:val="ATHeading2"/>
      </w:pPr>
      <w:bookmarkStart w:id="1" w:name="title"/>
      <w:r w:rsidRPr="00CA5551">
        <w:t>Varnost igrač in razveljavitev Direktive 2009/48/ES</w:t>
      </w:r>
      <w:bookmarkEnd w:id="1"/>
    </w:p>
    <w:p w14:paraId="1BB9A997" w14:textId="77777777" w:rsidR="00897D66" w:rsidRPr="00CA5551" w:rsidRDefault="00897D66" w:rsidP="00897D66">
      <w:pPr>
        <w:rPr>
          <w:i/>
          <w:vanish/>
        </w:rPr>
      </w:pPr>
      <w:r w:rsidRPr="00CA5551">
        <w:rPr>
          <w:i/>
        </w:rPr>
        <w:fldChar w:fldCharType="begin"/>
      </w:r>
      <w:r w:rsidRPr="00CA5551">
        <w:rPr>
          <w:i/>
        </w:rPr>
        <w:instrText xml:space="preserve"> TC"(</w:instrText>
      </w:r>
      <w:bookmarkStart w:id="2" w:name="DocNumber"/>
      <w:r w:rsidRPr="00CA5551">
        <w:rPr>
          <w:i/>
        </w:rPr>
        <w:instrText>A10-0227/2025</w:instrText>
      </w:r>
      <w:bookmarkEnd w:id="2"/>
      <w:r w:rsidRPr="00CA5551">
        <w:rPr>
          <w:i/>
        </w:rPr>
        <w:instrText xml:space="preserve"> - Poročevalka: Marion Walsmann)"\l3 \n&gt; \* MERGEFORMAT </w:instrText>
      </w:r>
      <w:r w:rsidRPr="00CA5551">
        <w:rPr>
          <w:i/>
        </w:rPr>
        <w:fldChar w:fldCharType="end"/>
      </w:r>
    </w:p>
    <w:p w14:paraId="3CABB848" w14:textId="77777777" w:rsidR="00897D66" w:rsidRPr="00CA5551" w:rsidRDefault="00897D66" w:rsidP="00897D66">
      <w:pPr>
        <w:rPr>
          <w:vanish/>
        </w:rPr>
      </w:pPr>
      <w:bookmarkStart w:id="3" w:name="Commission"/>
      <w:r w:rsidRPr="00CA5551">
        <w:rPr>
          <w:vanish/>
        </w:rPr>
        <w:t>Odbor za notranji trg in varstvo potrošnikov</w:t>
      </w:r>
      <w:bookmarkEnd w:id="3"/>
    </w:p>
    <w:p w14:paraId="22C9855D" w14:textId="77777777" w:rsidR="00897D66" w:rsidRPr="00CA5551" w:rsidRDefault="00897D66" w:rsidP="00897D66">
      <w:pPr>
        <w:rPr>
          <w:vanish/>
        </w:rPr>
      </w:pPr>
      <w:bookmarkStart w:id="4" w:name="PE"/>
      <w:r w:rsidRPr="00CA5551">
        <w:rPr>
          <w:vanish/>
        </w:rPr>
        <w:t>PE779.456</w:t>
      </w:r>
      <w:bookmarkEnd w:id="4"/>
    </w:p>
    <w:p w14:paraId="280E0725" w14:textId="024B9450" w:rsidR="00897D66" w:rsidRPr="00CA5551" w:rsidRDefault="00897D66" w:rsidP="00897D66">
      <w:pPr>
        <w:pStyle w:val="ATHeading3"/>
      </w:pPr>
      <w:bookmarkStart w:id="5" w:name="Sujet"/>
      <w:r w:rsidRPr="00CA5551">
        <w:t xml:space="preserve">Zakonodajna resolucija Evropskega parlamenta z dne </w:t>
      </w:r>
      <w:r w:rsidR="006D05C1" w:rsidRPr="00CA5551">
        <w:t>25</w:t>
      </w:r>
      <w:r w:rsidRPr="00CA5551">
        <w:t>. novembra 2025 o stališču Sveta v prvi obravnavi z namenom sprejetja uredbe Evropskega parlamenta in Sveta o varnosti igrač in razveljavitvi Direktive 2009/48/ES</w:t>
      </w:r>
      <w:bookmarkEnd w:id="5"/>
      <w:r w:rsidRPr="00CA5551">
        <w:t xml:space="preserve"> </w:t>
      </w:r>
      <w:bookmarkStart w:id="6" w:name="References"/>
      <w:r w:rsidRPr="00CA5551">
        <w:t>(09663/1/2025 – C10-0251/2025 – 2023/0290(COD))</w:t>
      </w:r>
      <w:bookmarkEnd w:id="6"/>
    </w:p>
    <w:p w14:paraId="4A7F1E52" w14:textId="77777777" w:rsidR="00896EFA" w:rsidRPr="00CA5551" w:rsidRDefault="00896EFA" w:rsidP="00896EFA">
      <w:pPr>
        <w:pStyle w:val="NormalBold"/>
      </w:pPr>
      <w:r w:rsidRPr="00CA5551">
        <w:t>(Redni zakonodajni postopek: druga obravnava)</w:t>
      </w:r>
    </w:p>
    <w:p w14:paraId="09BB1AB7" w14:textId="77777777" w:rsidR="00896EFA" w:rsidRPr="00CA5551" w:rsidRDefault="00896EFA" w:rsidP="00896EFA">
      <w:pPr>
        <w:pStyle w:val="EPComma"/>
      </w:pPr>
      <w:r w:rsidRPr="00CA5551">
        <w:rPr>
          <w:i/>
        </w:rPr>
        <w:t>Evropski parlament</w:t>
      </w:r>
      <w:r w:rsidRPr="00CA5551">
        <w:t>,</w:t>
      </w:r>
    </w:p>
    <w:p w14:paraId="69FC99AC" w14:textId="7777777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stališča Sveta v prvi obravnavi (09663/1/2025 – C10</w:t>
      </w:r>
      <w:r w:rsidRPr="00CA5551">
        <w:noBreakHyphen/>
        <w:t>0251/2025),</w:t>
      </w:r>
    </w:p>
    <w:p w14:paraId="1AA0485C" w14:textId="7BEE676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mnenja Evropskega ekonomsko-socialnega odbora z dne 13.</w:t>
      </w:r>
      <w:r w:rsidR="00784B08">
        <w:t> </w:t>
      </w:r>
      <w:r w:rsidRPr="00CA5551">
        <w:t>decembra 2023</w:t>
      </w:r>
      <w:r w:rsidRPr="00CA5551">
        <w:rPr>
          <w:rStyle w:val="FootnoteReference"/>
        </w:rPr>
        <w:footnoteReference w:id="1"/>
      </w:r>
      <w:r w:rsidRPr="00CA5551">
        <w:t>,</w:t>
      </w:r>
    </w:p>
    <w:p w14:paraId="1204A1FB" w14:textId="7777777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svojega stališča v prvi obravnavi</w:t>
      </w:r>
      <w:r w:rsidRPr="00CA5551">
        <w:rPr>
          <w:rStyle w:val="FootnoteReference"/>
        </w:rPr>
        <w:footnoteReference w:id="2"/>
      </w:r>
      <w:r w:rsidRPr="00CA5551">
        <w:t xml:space="preserve"> o predlogu Komisije Evropskemu parlamentu in Svetu (COM(2023)0462),</w:t>
      </w:r>
    </w:p>
    <w:p w14:paraId="56C6C245" w14:textId="7777777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člena 294(7) Pogodbe o delovanju Evropske unije,</w:t>
      </w:r>
    </w:p>
    <w:p w14:paraId="2217B1BA" w14:textId="7777777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začasnega dogovora, ki ga je odobril pristojni odbor v skladu s členom 75(4) Poslovnika,</w:t>
      </w:r>
    </w:p>
    <w:p w14:paraId="0209EC30" w14:textId="7777777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člena 68 Poslovnika,</w:t>
      </w:r>
    </w:p>
    <w:p w14:paraId="51B6A914" w14:textId="77777777" w:rsidR="00896EFA" w:rsidRPr="00CA5551" w:rsidRDefault="00896EFA" w:rsidP="00896EFA">
      <w:pPr>
        <w:pStyle w:val="NormalHanging12a"/>
      </w:pPr>
      <w:r w:rsidRPr="00CA5551">
        <w:t>–</w:t>
      </w:r>
      <w:r w:rsidRPr="00CA5551">
        <w:tab/>
        <w:t>ob upoštevanju priporočila za drugo obravnavo Odbora za notranji trg in varstvo potrošnikov (A10</w:t>
      </w:r>
      <w:r w:rsidRPr="00CA5551">
        <w:noBreakHyphen/>
        <w:t>0227/2025),</w:t>
      </w:r>
    </w:p>
    <w:p w14:paraId="67815495" w14:textId="77777777" w:rsidR="00896EFA" w:rsidRPr="00CA5551" w:rsidRDefault="00896EFA" w:rsidP="00896EFA">
      <w:pPr>
        <w:pStyle w:val="NormalHanging12a"/>
      </w:pPr>
      <w:r w:rsidRPr="00CA5551">
        <w:t>1.</w:t>
      </w:r>
      <w:r w:rsidRPr="00CA5551">
        <w:tab/>
        <w:t>odobri stališče Sveta v prvi obravnavi;</w:t>
      </w:r>
    </w:p>
    <w:p w14:paraId="6796D3AF" w14:textId="77777777" w:rsidR="00896EFA" w:rsidRPr="00CA5551" w:rsidRDefault="00896EFA" w:rsidP="00896EFA">
      <w:pPr>
        <w:pStyle w:val="NormalHanging12a"/>
      </w:pPr>
      <w:r w:rsidRPr="00CA5551">
        <w:t>2.</w:t>
      </w:r>
      <w:r w:rsidRPr="00CA5551">
        <w:tab/>
        <w:t xml:space="preserve">je seznanjen z izjavo Komisije, priloženo tej resoluciji, ki bo objavljena v seriji C </w:t>
      </w:r>
      <w:r w:rsidRPr="00CA5551">
        <w:rPr>
          <w:i/>
          <w:iCs/>
        </w:rPr>
        <w:t>Uradnega lista Evropske unije</w:t>
      </w:r>
      <w:r w:rsidRPr="00CA5551">
        <w:t>;</w:t>
      </w:r>
    </w:p>
    <w:p w14:paraId="2043CE92" w14:textId="77777777" w:rsidR="00896EFA" w:rsidRPr="00CA5551" w:rsidRDefault="00896EFA" w:rsidP="00896EFA">
      <w:pPr>
        <w:pStyle w:val="NormalHanging12a"/>
      </w:pPr>
      <w:r w:rsidRPr="00CA5551">
        <w:lastRenderedPageBreak/>
        <w:t>3.</w:t>
      </w:r>
      <w:r w:rsidRPr="00CA5551">
        <w:tab/>
        <w:t>ugotavlja, da je akt sprejet v skladu s stališčem Sveta;</w:t>
      </w:r>
    </w:p>
    <w:p w14:paraId="64588364" w14:textId="77F0DA17" w:rsidR="00896EFA" w:rsidRPr="00CA5551" w:rsidRDefault="00896EFA" w:rsidP="00896EFA">
      <w:pPr>
        <w:pStyle w:val="NormalHanging12a"/>
      </w:pPr>
      <w:r w:rsidRPr="00CA5551">
        <w:t>4.</w:t>
      </w:r>
      <w:r w:rsidRPr="00CA5551">
        <w:tab/>
        <w:t xml:space="preserve">naroči svoji predsednici, naj skupaj s predsednikom Sveta podpiše akt </w:t>
      </w:r>
      <w:r w:rsidR="006D05C1" w:rsidRPr="00CA5551">
        <w:t>v skladu s</w:t>
      </w:r>
      <w:r w:rsidRPr="00CA5551">
        <w:t xml:space="preserve"> člen</w:t>
      </w:r>
      <w:r w:rsidR="006D05C1" w:rsidRPr="00CA5551">
        <w:t>om</w:t>
      </w:r>
      <w:r w:rsidRPr="00CA5551">
        <w:t xml:space="preserve"> 297(1) Pogodbe o delovanju Evropske unije;</w:t>
      </w:r>
    </w:p>
    <w:p w14:paraId="32B570B1" w14:textId="77777777" w:rsidR="00896EFA" w:rsidRPr="00CA5551" w:rsidRDefault="00896EFA" w:rsidP="00896EFA">
      <w:pPr>
        <w:pStyle w:val="NormalHanging12a"/>
      </w:pPr>
      <w:r w:rsidRPr="00CA5551">
        <w:t>5.</w:t>
      </w:r>
      <w:r w:rsidRPr="00CA5551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CA5551">
        <w:rPr>
          <w:i/>
        </w:rPr>
        <w:t>Uradnem listu Evropske unije</w:t>
      </w:r>
      <w:r w:rsidRPr="00CA5551">
        <w:t>;</w:t>
      </w:r>
    </w:p>
    <w:p w14:paraId="75B0F636" w14:textId="02B063BD" w:rsidR="00896EFA" w:rsidRPr="00CA5551" w:rsidRDefault="00896EFA" w:rsidP="00896EFA">
      <w:pPr>
        <w:pStyle w:val="NormalHanging12a"/>
      </w:pPr>
      <w:r w:rsidRPr="00CA5551">
        <w:t>6.</w:t>
      </w:r>
      <w:r w:rsidRPr="00CA5551">
        <w:tab/>
        <w:t>naroči svoji predsednici, naj stališče Parlamenta posreduje Svetu</w:t>
      </w:r>
      <w:r w:rsidR="006D05C1" w:rsidRPr="00CA5551">
        <w:t>,</w:t>
      </w:r>
      <w:r w:rsidRPr="00CA5551">
        <w:t xml:space="preserve"> Komisiji </w:t>
      </w:r>
      <w:r w:rsidR="006D05C1" w:rsidRPr="00CA5551">
        <w:t>in</w:t>
      </w:r>
      <w:r w:rsidRPr="00CA5551">
        <w:t xml:space="preserve"> nacionalnim parlamentom.</w:t>
      </w:r>
    </w:p>
    <w:p w14:paraId="5210A64B" w14:textId="77777777" w:rsidR="006D05C1" w:rsidRPr="00CA5551" w:rsidRDefault="006D05C1" w:rsidP="00896EFA">
      <w:pPr>
        <w:pStyle w:val="PageHeading"/>
        <w:outlineLvl w:val="0"/>
        <w:sectPr w:rsidR="006D05C1" w:rsidRPr="00CA5551" w:rsidSect="00063E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_Toc213238566"/>
      <w:bookmarkStart w:id="8" w:name="_Toc214553822"/>
    </w:p>
    <w:p w14:paraId="1424DFBA" w14:textId="43EEE9A8" w:rsidR="006D05C1" w:rsidRPr="00CA5551" w:rsidRDefault="00896EFA" w:rsidP="0010288B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r w:rsidRPr="00CA5551">
        <w:rPr>
          <w:rFonts w:ascii="Times New Roman" w:hAnsi="Times New Roman" w:cs="Times New Roman"/>
          <w:b w:val="0"/>
          <w:bCs/>
        </w:rPr>
        <w:lastRenderedPageBreak/>
        <w:t>PRILOGA K ZAKONODAJNI RESOLUCIJI</w:t>
      </w:r>
    </w:p>
    <w:p w14:paraId="7FC64624" w14:textId="6304AEC8" w:rsidR="00896EFA" w:rsidRPr="00CA5551" w:rsidRDefault="00896EFA" w:rsidP="00896EFA">
      <w:pPr>
        <w:pStyle w:val="PageHeading"/>
        <w:outlineLvl w:val="0"/>
        <w:rPr>
          <w:rFonts w:ascii="Times New Roman" w:hAnsi="Times New Roman" w:cs="Times New Roman"/>
        </w:rPr>
      </w:pPr>
      <w:r w:rsidRPr="00CA5551">
        <w:rPr>
          <w:rFonts w:ascii="Times New Roman" w:hAnsi="Times New Roman" w:cs="Times New Roman"/>
        </w:rPr>
        <w:t>IZJAVA KOMISIJE</w:t>
      </w:r>
      <w:bookmarkEnd w:id="7"/>
      <w:bookmarkEnd w:id="8"/>
      <w:r w:rsidR="002F4CED" w:rsidRPr="00CA5551">
        <w:rPr>
          <w:rFonts w:ascii="Times New Roman" w:hAnsi="Times New Roman" w:cs="Times New Roman"/>
        </w:rPr>
        <w:t xml:space="preserve"> OB SPREJETJU UREDBE (EU) 2025/</w:t>
      </w:r>
      <w:r w:rsidR="00361144">
        <w:rPr>
          <w:rFonts w:ascii="Times New Roman" w:hAnsi="Times New Roman" w:cs="Times New Roman"/>
        </w:rPr>
        <w:t>2509</w:t>
      </w:r>
    </w:p>
    <w:p w14:paraId="3B9F4C02" w14:textId="2726618E" w:rsidR="00E365E1" w:rsidRPr="00CA5551" w:rsidRDefault="00896EFA" w:rsidP="00897D66">
      <w:bookmarkStart w:id="9" w:name="_Hlk196383635"/>
      <w:r w:rsidRPr="00CA5551">
        <w:t xml:space="preserve">Komisija redno in sistematično ocenjuje pojavljanje nevarnih kemikalij v igračah ob upoštevanju razpoložljivih znanstvenih dokazov, da bi prilagodila mejne vrednosti ali pogoje za prisotnost določenih kemičnih snovi ali zmesi v igračah v skladu s členom 46 Uredbe </w:t>
      </w:r>
      <w:r w:rsidR="00361144">
        <w:t xml:space="preserve">(EU) </w:t>
      </w:r>
      <w:r w:rsidRPr="00CA5551">
        <w:t>2025/</w:t>
      </w:r>
      <w:r w:rsidR="00361144">
        <w:t>2509</w:t>
      </w:r>
      <w:r w:rsidRPr="00CA5551">
        <w:t xml:space="preserve"> o varnosti igrač. V ta namen bo Komisija </w:t>
      </w:r>
      <w:r w:rsidR="00F820C5" w:rsidRPr="00CA5551">
        <w:t xml:space="preserve">od </w:t>
      </w:r>
      <w:r w:rsidRPr="00CA5551">
        <w:t>Evropsk</w:t>
      </w:r>
      <w:r w:rsidR="00F820C5" w:rsidRPr="00CA5551">
        <w:t>e</w:t>
      </w:r>
      <w:r w:rsidRPr="00CA5551">
        <w:t xml:space="preserve"> agencij</w:t>
      </w:r>
      <w:r w:rsidR="00F820C5" w:rsidRPr="00CA5551">
        <w:t>e</w:t>
      </w:r>
      <w:r w:rsidRPr="00CA5551">
        <w:t xml:space="preserve"> za kemikalije v 12 mesecih od začetka veljavnosti te uredbe </w:t>
      </w:r>
      <w:r w:rsidR="00F820C5" w:rsidRPr="00CA5551">
        <w:t>zahtevala</w:t>
      </w:r>
      <w:r w:rsidRPr="00CA5551">
        <w:t xml:space="preserve"> mnenje o varnosti nitrozaminov in nitrozabilnih snovi v igračah </w:t>
      </w:r>
      <w:r w:rsidR="00F820C5" w:rsidRPr="00CA5551">
        <w:t>z vidika splošne</w:t>
      </w:r>
      <w:r w:rsidRPr="00CA5551">
        <w:t xml:space="preserve"> izpostavljenost</w:t>
      </w:r>
      <w:r w:rsidR="00F820C5" w:rsidRPr="00CA5551">
        <w:t>i</w:t>
      </w:r>
      <w:r w:rsidRPr="00CA5551">
        <w:t xml:space="preserve">. Prav tako bo v ta namen </w:t>
      </w:r>
      <w:r w:rsidR="00F820C5" w:rsidRPr="00CA5551">
        <w:t xml:space="preserve">od </w:t>
      </w:r>
      <w:r w:rsidRPr="00CA5551">
        <w:t>Evropsk</w:t>
      </w:r>
      <w:r w:rsidR="00F820C5" w:rsidRPr="00CA5551">
        <w:t>e</w:t>
      </w:r>
      <w:r w:rsidRPr="00CA5551">
        <w:t xml:space="preserve"> agencij</w:t>
      </w:r>
      <w:r w:rsidR="00F820C5" w:rsidRPr="00CA5551">
        <w:t>e</w:t>
      </w:r>
      <w:r w:rsidRPr="00CA5551">
        <w:t xml:space="preserve"> za kemikalije v 24 mesecih od začetka veljavnosti te uredbe </w:t>
      </w:r>
      <w:r w:rsidR="00F820C5" w:rsidRPr="00CA5551">
        <w:t>zahtevala</w:t>
      </w:r>
      <w:r w:rsidRPr="00CA5551">
        <w:t xml:space="preserve"> mnenje o varnosti svinca, kadmija, živega srebra in kroma (VI) v igračah </w:t>
      </w:r>
      <w:r w:rsidR="00F820C5" w:rsidRPr="00CA5551">
        <w:t>z vidika splošne</w:t>
      </w:r>
      <w:r w:rsidRPr="00CA5551">
        <w:t xml:space="preserve"> izpostavljenost</w:t>
      </w:r>
      <w:r w:rsidR="00F820C5" w:rsidRPr="00CA5551">
        <w:t>i</w:t>
      </w:r>
      <w:r w:rsidRPr="00CA5551">
        <w:t>.</w:t>
      </w:r>
      <w:bookmarkEnd w:id="9"/>
    </w:p>
    <w:sectPr w:rsidR="00E365E1" w:rsidRPr="00CA5551" w:rsidSect="00063E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51E31" w14:textId="77777777" w:rsidR="00897D66" w:rsidRPr="00063EEC" w:rsidRDefault="00897D66">
      <w:r w:rsidRPr="00063EEC">
        <w:separator/>
      </w:r>
    </w:p>
  </w:endnote>
  <w:endnote w:type="continuationSeparator" w:id="0">
    <w:p w14:paraId="49D9FA3F" w14:textId="77777777" w:rsidR="00897D66" w:rsidRPr="00063EEC" w:rsidRDefault="00897D66">
      <w:r w:rsidRPr="00063E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53A99" w14:textId="77777777" w:rsidR="00064002" w:rsidRPr="00063E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2239D" w14:textId="77777777" w:rsidR="00064002" w:rsidRPr="00063E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843CB" w14:textId="77777777" w:rsidR="00064002" w:rsidRPr="00063E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7A95" w14:textId="77777777" w:rsidR="00897D66" w:rsidRPr="00063EEC" w:rsidRDefault="00897D66">
      <w:r w:rsidRPr="00063EEC">
        <w:separator/>
      </w:r>
    </w:p>
  </w:footnote>
  <w:footnote w:type="continuationSeparator" w:id="0">
    <w:p w14:paraId="1571F00B" w14:textId="77777777" w:rsidR="00897D66" w:rsidRPr="00063EEC" w:rsidRDefault="00897D66">
      <w:r w:rsidRPr="00063EEC">
        <w:continuationSeparator/>
      </w:r>
    </w:p>
  </w:footnote>
  <w:footnote w:id="1">
    <w:p w14:paraId="768B2EB9" w14:textId="406561FB" w:rsidR="00896EFA" w:rsidRPr="00063EEC" w:rsidRDefault="00896EFA" w:rsidP="00063EEC">
      <w:pPr>
        <w:pStyle w:val="FootnoteText"/>
        <w:ind w:left="567" w:hanging="567"/>
        <w:rPr>
          <w:sz w:val="24"/>
          <w:lang w:val="sl-SI"/>
        </w:rPr>
      </w:pPr>
      <w:r w:rsidRPr="00063EEC">
        <w:rPr>
          <w:rStyle w:val="FootnoteReference"/>
          <w:sz w:val="24"/>
          <w:lang w:val="sl-SI"/>
        </w:rPr>
        <w:footnoteRef/>
      </w:r>
      <w:r w:rsidR="00063EEC" w:rsidRPr="00063EEC">
        <w:rPr>
          <w:sz w:val="24"/>
          <w:lang w:val="sl-SI"/>
        </w:rPr>
        <w:t xml:space="preserve"> </w:t>
      </w:r>
      <w:r w:rsidR="00063EEC" w:rsidRPr="00063EEC">
        <w:rPr>
          <w:sz w:val="24"/>
          <w:lang w:val="sl-SI"/>
        </w:rPr>
        <w:tab/>
      </w:r>
      <w:r w:rsidRPr="00063EEC">
        <w:rPr>
          <w:sz w:val="24"/>
          <w:lang w:val="sl-SI"/>
        </w:rPr>
        <w:t xml:space="preserve">UL C, C/2024/1577, 5.3.2024, ELI: </w:t>
      </w:r>
      <w:hyperlink r:id="rId1" w:history="1">
        <w:r w:rsidRPr="006D05C1">
          <w:rPr>
            <w:rStyle w:val="Hyperlink"/>
            <w:sz w:val="24"/>
            <w:lang w:val="sl-SI"/>
          </w:rPr>
          <w:t>http://data.europa.eu/eli/C/2024/1577/oj</w:t>
        </w:r>
      </w:hyperlink>
      <w:r w:rsidRPr="00063EEC">
        <w:rPr>
          <w:sz w:val="24"/>
          <w:lang w:val="sl-SI"/>
        </w:rPr>
        <w:t>.</w:t>
      </w:r>
    </w:p>
  </w:footnote>
  <w:footnote w:id="2">
    <w:p w14:paraId="548C6F1C" w14:textId="25332689" w:rsidR="00896EFA" w:rsidRPr="00063EEC" w:rsidRDefault="00896EFA" w:rsidP="00063EEC">
      <w:pPr>
        <w:pStyle w:val="FootnoteText"/>
        <w:ind w:left="567" w:hanging="567"/>
        <w:rPr>
          <w:sz w:val="24"/>
          <w:lang w:val="sl-SI"/>
        </w:rPr>
      </w:pPr>
      <w:r w:rsidRPr="00063EEC">
        <w:rPr>
          <w:rStyle w:val="FootnoteReference"/>
          <w:sz w:val="24"/>
          <w:lang w:val="sl-SI"/>
        </w:rPr>
        <w:footnoteRef/>
      </w:r>
      <w:r w:rsidR="00063EEC" w:rsidRPr="00063EEC">
        <w:rPr>
          <w:sz w:val="24"/>
          <w:lang w:val="sl-SI"/>
        </w:rPr>
        <w:t xml:space="preserve"> </w:t>
      </w:r>
      <w:r w:rsidR="00063EEC" w:rsidRPr="00063EEC">
        <w:rPr>
          <w:sz w:val="24"/>
          <w:lang w:val="sl-SI"/>
        </w:rPr>
        <w:tab/>
      </w:r>
      <w:r w:rsidRPr="00063EEC">
        <w:rPr>
          <w:sz w:val="24"/>
          <w:lang w:val="sl-SI"/>
        </w:rPr>
        <w:t xml:space="preserve">UL C, C/2025/1032, 27.2.2025, ELI: </w:t>
      </w:r>
      <w:hyperlink r:id="rId2" w:history="1">
        <w:r w:rsidRPr="006D05C1">
          <w:rPr>
            <w:rStyle w:val="Hyperlink"/>
            <w:sz w:val="24"/>
            <w:lang w:val="sl-SI"/>
          </w:rPr>
          <w:t>http://data.europa.eu/eli/C/2025/1032/oj</w:t>
        </w:r>
      </w:hyperlink>
      <w:r w:rsidRPr="00063EEC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F00D" w14:textId="77777777" w:rsidR="00064002" w:rsidRPr="00063E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BC12" w14:textId="77777777" w:rsidR="00064002" w:rsidRPr="00063E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A54B" w14:textId="77777777" w:rsidR="00064002" w:rsidRPr="00063E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1975607">
    <w:abstractNumId w:val="9"/>
  </w:num>
  <w:num w:numId="2" w16cid:durableId="1716155689">
    <w:abstractNumId w:val="9"/>
  </w:num>
  <w:num w:numId="3" w16cid:durableId="687872917">
    <w:abstractNumId w:val="7"/>
  </w:num>
  <w:num w:numId="4" w16cid:durableId="1512141912">
    <w:abstractNumId w:val="7"/>
  </w:num>
  <w:num w:numId="5" w16cid:durableId="73943792">
    <w:abstractNumId w:val="6"/>
  </w:num>
  <w:num w:numId="6" w16cid:durableId="1161694264">
    <w:abstractNumId w:val="6"/>
  </w:num>
  <w:num w:numId="7" w16cid:durableId="338586068">
    <w:abstractNumId w:val="5"/>
  </w:num>
  <w:num w:numId="8" w16cid:durableId="680861557">
    <w:abstractNumId w:val="5"/>
  </w:num>
  <w:num w:numId="9" w16cid:durableId="1242300671">
    <w:abstractNumId w:val="4"/>
  </w:num>
  <w:num w:numId="10" w16cid:durableId="859514509">
    <w:abstractNumId w:val="4"/>
  </w:num>
  <w:num w:numId="11" w16cid:durableId="707798406">
    <w:abstractNumId w:val="8"/>
  </w:num>
  <w:num w:numId="12" w16cid:durableId="457452800">
    <w:abstractNumId w:val="8"/>
  </w:num>
  <w:num w:numId="13" w16cid:durableId="1227838930">
    <w:abstractNumId w:val="3"/>
  </w:num>
  <w:num w:numId="14" w16cid:durableId="434788502">
    <w:abstractNumId w:val="3"/>
  </w:num>
  <w:num w:numId="15" w16cid:durableId="13456852">
    <w:abstractNumId w:val="2"/>
  </w:num>
  <w:num w:numId="16" w16cid:durableId="270816618">
    <w:abstractNumId w:val="2"/>
  </w:num>
  <w:num w:numId="17" w16cid:durableId="168373351">
    <w:abstractNumId w:val="1"/>
  </w:num>
  <w:num w:numId="18" w16cid:durableId="1233471128">
    <w:abstractNumId w:val="1"/>
  </w:num>
  <w:num w:numId="19" w16cid:durableId="1869636639">
    <w:abstractNumId w:val="0"/>
  </w:num>
  <w:num w:numId="20" w16cid:durableId="1933784245">
    <w:abstractNumId w:val="0"/>
  </w:num>
  <w:num w:numId="21" w16cid:durableId="1740714399">
    <w:abstractNumId w:val="9"/>
  </w:num>
  <w:num w:numId="22" w16cid:durableId="167797889">
    <w:abstractNumId w:val="7"/>
  </w:num>
  <w:num w:numId="23" w16cid:durableId="770198480">
    <w:abstractNumId w:val="6"/>
  </w:num>
  <w:num w:numId="24" w16cid:durableId="1275480499">
    <w:abstractNumId w:val="5"/>
  </w:num>
  <w:num w:numId="25" w16cid:durableId="427427819">
    <w:abstractNumId w:val="4"/>
  </w:num>
  <w:num w:numId="26" w16cid:durableId="1578244001">
    <w:abstractNumId w:val="8"/>
  </w:num>
  <w:num w:numId="27" w16cid:durableId="135146798">
    <w:abstractNumId w:val="3"/>
  </w:num>
  <w:num w:numId="28" w16cid:durableId="1854801032">
    <w:abstractNumId w:val="2"/>
  </w:num>
  <w:num w:numId="29" w16cid:durableId="1394935163">
    <w:abstractNumId w:val="1"/>
  </w:num>
  <w:num w:numId="30" w16cid:durableId="1767723763">
    <w:abstractNumId w:val="0"/>
  </w:num>
  <w:num w:numId="31" w16cid:durableId="691999648">
    <w:abstractNumId w:val="9"/>
  </w:num>
  <w:num w:numId="32" w16cid:durableId="635379061">
    <w:abstractNumId w:val="7"/>
  </w:num>
  <w:num w:numId="33" w16cid:durableId="864366315">
    <w:abstractNumId w:val="6"/>
  </w:num>
  <w:num w:numId="34" w16cid:durableId="1277521092">
    <w:abstractNumId w:val="5"/>
  </w:num>
  <w:num w:numId="35" w16cid:durableId="812067339">
    <w:abstractNumId w:val="4"/>
  </w:num>
  <w:num w:numId="36" w16cid:durableId="1028876268">
    <w:abstractNumId w:val="8"/>
  </w:num>
  <w:num w:numId="37" w16cid:durableId="353848410">
    <w:abstractNumId w:val="3"/>
  </w:num>
  <w:num w:numId="38" w16cid:durableId="1534809442">
    <w:abstractNumId w:val="2"/>
  </w:num>
  <w:num w:numId="39" w16cid:durableId="336003995">
    <w:abstractNumId w:val="1"/>
  </w:num>
  <w:num w:numId="40" w16cid:durableId="197209433">
    <w:abstractNumId w:val="0"/>
  </w:num>
  <w:num w:numId="41" w16cid:durableId="1927222414">
    <w:abstractNumId w:val="10"/>
  </w:num>
  <w:num w:numId="42" w16cid:durableId="1887181321">
    <w:abstractNumId w:val="10"/>
  </w:num>
  <w:num w:numId="43" w16cid:durableId="1534539841">
    <w:abstractNumId w:val="10"/>
  </w:num>
  <w:num w:numId="44" w16cid:durableId="816848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SL"/>
    <w:docVar w:name="dvnumam" w:val="0"/>
    <w:docVar w:name="dvpe" w:val="779.456"/>
    <w:docVar w:name="dvrapporteur" w:val="Poročevalka: "/>
    <w:docVar w:name="dvstar" w:val="***II"/>
    <w:docVar w:name="dvtitre" w:val="Zakonodajna resolucija Evropskega parlamenta z dne XX. novembra 2025 o stališču Sveta v prvi obravnavi z namenom sprejetja uredbe Evropskega parlamenta in Sveta o varnosti igrač in razveljavitvi Direktive 2009/48/ES(09663/1/2025 – C10-0251/2025 – 2023/0290(COD))"/>
  </w:docVars>
  <w:rsids>
    <w:rsidRoot w:val="00897D66"/>
    <w:rsid w:val="00002272"/>
    <w:rsid w:val="00063EEC"/>
    <w:rsid w:val="00064002"/>
    <w:rsid w:val="000677B9"/>
    <w:rsid w:val="000831BA"/>
    <w:rsid w:val="000A42CC"/>
    <w:rsid w:val="000E7DD9"/>
    <w:rsid w:val="0010095E"/>
    <w:rsid w:val="0010288B"/>
    <w:rsid w:val="00125B37"/>
    <w:rsid w:val="00187494"/>
    <w:rsid w:val="001D726F"/>
    <w:rsid w:val="001F32AE"/>
    <w:rsid w:val="002767FF"/>
    <w:rsid w:val="002B18FE"/>
    <w:rsid w:val="002B5493"/>
    <w:rsid w:val="002F4CED"/>
    <w:rsid w:val="00343214"/>
    <w:rsid w:val="0036114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DBD"/>
    <w:rsid w:val="005F1B17"/>
    <w:rsid w:val="006037C0"/>
    <w:rsid w:val="006631B6"/>
    <w:rsid w:val="00680577"/>
    <w:rsid w:val="006D05C1"/>
    <w:rsid w:val="006F74FA"/>
    <w:rsid w:val="00731ADD"/>
    <w:rsid w:val="00734777"/>
    <w:rsid w:val="00747932"/>
    <w:rsid w:val="00751A4A"/>
    <w:rsid w:val="00756632"/>
    <w:rsid w:val="00762C74"/>
    <w:rsid w:val="00784B08"/>
    <w:rsid w:val="00786EC0"/>
    <w:rsid w:val="007D1690"/>
    <w:rsid w:val="007E22AD"/>
    <w:rsid w:val="00817416"/>
    <w:rsid w:val="00842779"/>
    <w:rsid w:val="00852BB8"/>
    <w:rsid w:val="00865F67"/>
    <w:rsid w:val="00881A7B"/>
    <w:rsid w:val="008840E5"/>
    <w:rsid w:val="00887B3E"/>
    <w:rsid w:val="00896EFA"/>
    <w:rsid w:val="00897D66"/>
    <w:rsid w:val="008C2AC6"/>
    <w:rsid w:val="00930C23"/>
    <w:rsid w:val="0093193B"/>
    <w:rsid w:val="009509D8"/>
    <w:rsid w:val="00950B64"/>
    <w:rsid w:val="00981893"/>
    <w:rsid w:val="00990CAE"/>
    <w:rsid w:val="009D4EA9"/>
    <w:rsid w:val="00A1687D"/>
    <w:rsid w:val="00A43E52"/>
    <w:rsid w:val="00A4678D"/>
    <w:rsid w:val="00A70F49"/>
    <w:rsid w:val="00A778C7"/>
    <w:rsid w:val="00AB441E"/>
    <w:rsid w:val="00AB6293"/>
    <w:rsid w:val="00AE0928"/>
    <w:rsid w:val="00AF3B82"/>
    <w:rsid w:val="00B12E95"/>
    <w:rsid w:val="00B22876"/>
    <w:rsid w:val="00B558F0"/>
    <w:rsid w:val="00B6382F"/>
    <w:rsid w:val="00BD48FE"/>
    <w:rsid w:val="00BD7BD8"/>
    <w:rsid w:val="00BE6ADC"/>
    <w:rsid w:val="00C05BFE"/>
    <w:rsid w:val="00C23CD4"/>
    <w:rsid w:val="00C61C0C"/>
    <w:rsid w:val="00C941CB"/>
    <w:rsid w:val="00CA5551"/>
    <w:rsid w:val="00CC2357"/>
    <w:rsid w:val="00CF071A"/>
    <w:rsid w:val="00D058B8"/>
    <w:rsid w:val="00D56C11"/>
    <w:rsid w:val="00D834A0"/>
    <w:rsid w:val="00D872DF"/>
    <w:rsid w:val="00D91E21"/>
    <w:rsid w:val="00DA7FCD"/>
    <w:rsid w:val="00E355F7"/>
    <w:rsid w:val="00E365E1"/>
    <w:rsid w:val="00E756A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0C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7CE69"/>
  <w15:chartTrackingRefBased/>
  <w15:docId w15:val="{E75D8458-1D3D-4CC2-A255-0427DA00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6EFA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896E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96EFA"/>
    <w:rPr>
      <w:b/>
    </w:rPr>
  </w:style>
  <w:style w:type="paragraph" w:customStyle="1" w:styleId="NormalHanging12a">
    <w:name w:val="NormalHanging12a"/>
    <w:basedOn w:val="Normal"/>
    <w:rsid w:val="00896EFA"/>
    <w:pPr>
      <w:spacing w:after="240"/>
      <w:ind w:left="567" w:hanging="567"/>
    </w:pPr>
  </w:style>
  <w:style w:type="character" w:customStyle="1" w:styleId="PageHeadingChar">
    <w:name w:val="PageHeading Char"/>
    <w:basedOn w:val="DefaultParagraphFont"/>
    <w:link w:val="PageHeading"/>
    <w:rsid w:val="00896EFA"/>
    <w:rPr>
      <w:rFonts w:ascii="Arial" w:hAnsi="Arial" w:cs="Arial"/>
      <w:b/>
      <w:sz w:val="24"/>
      <w:lang w:val="sl-SI"/>
    </w:rPr>
  </w:style>
  <w:style w:type="paragraph" w:styleId="Revision">
    <w:name w:val="Revision"/>
    <w:hidden/>
    <w:uiPriority w:val="99"/>
    <w:semiHidden/>
    <w:rsid w:val="006D05C1"/>
    <w:rPr>
      <w:sz w:val="24"/>
      <w:lang w:val="sl-SI"/>
    </w:rPr>
  </w:style>
  <w:style w:type="character" w:styleId="Hyperlink">
    <w:name w:val="Hyperlink"/>
    <w:basedOn w:val="DefaultParagraphFont"/>
    <w:rsid w:val="006D05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5C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1D72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72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726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D7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726F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2026-02-02T07:46:00Z</dcterms:created>
  <dcterms:modified xsi:type="dcterms:W3CDTF">2026-02-02T07:46:00Z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