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2869" w14:paraId="335FC9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1DFDBA" w14:textId="77777777" w:rsidR="00751A4A" w:rsidRPr="00052869" w:rsidRDefault="00EC10A0" w:rsidP="0010095E">
            <w:pPr>
              <w:pStyle w:val="EPName"/>
            </w:pPr>
            <w:r w:rsidRPr="00052869">
              <w:t>Parlamento europeo</w:t>
            </w:r>
          </w:p>
          <w:p w14:paraId="579BA5B4" w14:textId="77777777" w:rsidR="00751A4A" w:rsidRPr="000528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2869">
              <w:t>2024</w:t>
            </w:r>
            <w:r w:rsidR="00817416" w:rsidRPr="00052869">
              <w:t>-202</w:t>
            </w:r>
            <w:r w:rsidRPr="00052869">
              <w:t>9</w:t>
            </w:r>
          </w:p>
        </w:tc>
        <w:tc>
          <w:tcPr>
            <w:tcW w:w="2268" w:type="dxa"/>
            <w:shd w:val="clear" w:color="auto" w:fill="auto"/>
          </w:tcPr>
          <w:p w14:paraId="0930E221" w14:textId="77777777" w:rsidR="00751A4A" w:rsidRPr="00052869" w:rsidRDefault="00187494" w:rsidP="0010095E">
            <w:pPr>
              <w:pStyle w:val="EPLogo"/>
            </w:pPr>
            <w:r w:rsidRPr="00052869">
              <w:rPr>
                <w:noProof/>
                <w:lang w:eastAsia="ja-JP"/>
              </w:rPr>
              <w:drawing>
                <wp:inline distT="0" distB="0" distL="0" distR="0" wp14:anchorId="12959031" wp14:editId="0EC972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C23892" w14:textId="77777777" w:rsidR="00D058B8" w:rsidRPr="00052869" w:rsidRDefault="00D058B8" w:rsidP="004C5D52">
      <w:pPr>
        <w:pStyle w:val="LineTop"/>
      </w:pPr>
    </w:p>
    <w:p w14:paraId="420129A8" w14:textId="77777777" w:rsidR="00680577" w:rsidRPr="00052869" w:rsidRDefault="00EC10A0" w:rsidP="00680577">
      <w:pPr>
        <w:pStyle w:val="EPBodyTA1"/>
      </w:pPr>
      <w:r w:rsidRPr="00052869">
        <w:t>TESTI APPROVATI</w:t>
      </w:r>
    </w:p>
    <w:p w14:paraId="41A7EC2C" w14:textId="77777777" w:rsidR="00D058B8" w:rsidRPr="00052869" w:rsidRDefault="00D058B8" w:rsidP="00D058B8">
      <w:pPr>
        <w:pStyle w:val="LineBottom"/>
      </w:pPr>
    </w:p>
    <w:p w14:paraId="621C1B2A" w14:textId="57EB4CE5" w:rsidR="00EC10A0" w:rsidRPr="00052869" w:rsidRDefault="00EC10A0" w:rsidP="00EC10A0">
      <w:pPr>
        <w:pStyle w:val="ATHeading1"/>
      </w:pPr>
      <w:bookmarkStart w:id="0" w:name="TANumber"/>
      <w:r w:rsidRPr="00052869">
        <w:t>P10_</w:t>
      </w:r>
      <w:proofErr w:type="gramStart"/>
      <w:r w:rsidRPr="00052869">
        <w:t>TA(</w:t>
      </w:r>
      <w:proofErr w:type="gramEnd"/>
      <w:r w:rsidRPr="00052869">
        <w:t>2025)0</w:t>
      </w:r>
      <w:r w:rsidR="00035C97" w:rsidRPr="00052869">
        <w:t>280</w:t>
      </w:r>
      <w:bookmarkEnd w:id="0"/>
    </w:p>
    <w:p w14:paraId="6B4B0986" w14:textId="77777777" w:rsidR="00EC10A0" w:rsidRPr="00052869" w:rsidRDefault="00EC10A0" w:rsidP="00EC10A0">
      <w:pPr>
        <w:pStyle w:val="ATHeading2"/>
      </w:pPr>
      <w:bookmarkStart w:id="1" w:name="title"/>
      <w:r w:rsidRPr="00052869">
        <w:t>Rafforzamento della cooperazione di polizia nel settore della prevenzione e dell'accertamento del traffico di migranti e della tratta di esseri umani e delle relative indagini, e potenziamento del sostegno di Europol alla prevenzione e alla lotta contro tali reati</w:t>
      </w:r>
      <w:bookmarkEnd w:id="1"/>
    </w:p>
    <w:p w14:paraId="38B94FC4" w14:textId="77777777" w:rsidR="00EC10A0" w:rsidRPr="00052869" w:rsidRDefault="00EC10A0" w:rsidP="00EC10A0">
      <w:pPr>
        <w:rPr>
          <w:i/>
          <w:vanish/>
        </w:rPr>
      </w:pPr>
      <w:r w:rsidRPr="00052869">
        <w:rPr>
          <w:i/>
        </w:rPr>
        <w:fldChar w:fldCharType="begin"/>
      </w:r>
      <w:r w:rsidRPr="00052869">
        <w:rPr>
          <w:i/>
        </w:rPr>
        <w:instrText xml:space="preserve"> TC"(</w:instrText>
      </w:r>
      <w:bookmarkStart w:id="2" w:name="DocNumber"/>
      <w:r w:rsidRPr="00052869">
        <w:rPr>
          <w:i/>
        </w:rPr>
        <w:instrText>A10-0109/2025</w:instrText>
      </w:r>
      <w:bookmarkEnd w:id="2"/>
      <w:r w:rsidRPr="00052869">
        <w:rPr>
          <w:i/>
        </w:rPr>
        <w:instrText xml:space="preserve"> - Relatore: Jeroen Lenaers)"\l3 \n&gt; \* MERGEFORMAT </w:instrText>
      </w:r>
      <w:r w:rsidRPr="00052869">
        <w:rPr>
          <w:i/>
        </w:rPr>
        <w:fldChar w:fldCharType="end"/>
      </w:r>
    </w:p>
    <w:p w14:paraId="3835F63C" w14:textId="77777777" w:rsidR="00EC10A0" w:rsidRPr="00052869" w:rsidRDefault="00EC10A0" w:rsidP="00EC10A0">
      <w:pPr>
        <w:rPr>
          <w:vanish/>
        </w:rPr>
      </w:pPr>
      <w:bookmarkStart w:id="3" w:name="Commission"/>
      <w:r w:rsidRPr="00052869">
        <w:rPr>
          <w:vanish/>
        </w:rPr>
        <w:t>Commissione per le libertà civili, la giustizia e gli affari interni</w:t>
      </w:r>
      <w:bookmarkEnd w:id="3"/>
    </w:p>
    <w:p w14:paraId="09342215" w14:textId="77777777" w:rsidR="00EC10A0" w:rsidRPr="00052869" w:rsidRDefault="00EC10A0" w:rsidP="00EC10A0">
      <w:pPr>
        <w:rPr>
          <w:vanish/>
        </w:rPr>
      </w:pPr>
      <w:bookmarkStart w:id="4" w:name="PE"/>
      <w:r w:rsidRPr="00052869">
        <w:rPr>
          <w:vanish/>
        </w:rPr>
        <w:t>PE768.042</w:t>
      </w:r>
      <w:bookmarkEnd w:id="4"/>
    </w:p>
    <w:p w14:paraId="300C41A4" w14:textId="68D20B9F" w:rsidR="00EC10A0" w:rsidRPr="00052869" w:rsidRDefault="00EC10A0" w:rsidP="00EC10A0">
      <w:pPr>
        <w:pStyle w:val="ATHeading3"/>
      </w:pPr>
      <w:bookmarkStart w:id="5" w:name="Sujet"/>
      <w:r w:rsidRPr="00052869">
        <w:t xml:space="preserve">Risoluzione legislativa del Parlamento europeo del </w:t>
      </w:r>
      <w:r w:rsidR="00457AF5" w:rsidRPr="00052869">
        <w:t>25</w:t>
      </w:r>
      <w:r w:rsidRPr="00052869">
        <w:t xml:space="preserve"> novembre 2025 sulla proposta di regolamento del Parlamento europeo e del Consiglio sul rafforzamento della cooperazione di polizia nel settore della prevenzione e dell'accertamento del traffico di migranti e della tratta di esseri umani e delle relative indagini, e sul potenziamento del sostegno di Europol alla prevenzione e alla lotta contro tali reati, e che modifica il regolamento (UE) 2016/794</w:t>
      </w:r>
      <w:bookmarkEnd w:id="5"/>
      <w:r w:rsidRPr="00052869">
        <w:t xml:space="preserve"> </w:t>
      </w:r>
      <w:bookmarkStart w:id="6" w:name="References"/>
      <w:r w:rsidRPr="00052869">
        <w:t>(COM(2023)0754 – C9-0431/2023 – 2023/0438(COD))</w:t>
      </w:r>
      <w:bookmarkEnd w:id="6"/>
    </w:p>
    <w:p w14:paraId="613F0B64" w14:textId="77777777" w:rsidR="006B1C96" w:rsidRPr="00052869" w:rsidRDefault="006B1C96" w:rsidP="006B1C96">
      <w:pPr>
        <w:pStyle w:val="NormalBold"/>
      </w:pPr>
      <w:r w:rsidRPr="00052869">
        <w:t>(Procedura legislativa ordinaria: prima lettura)</w:t>
      </w:r>
    </w:p>
    <w:p w14:paraId="4AA4DADD" w14:textId="77777777" w:rsidR="006B1C96" w:rsidRPr="00052869" w:rsidRDefault="006B1C96" w:rsidP="006B1C96">
      <w:pPr>
        <w:pStyle w:val="EPComma"/>
      </w:pPr>
      <w:r w:rsidRPr="00052869">
        <w:rPr>
          <w:i/>
        </w:rPr>
        <w:t>Il Parlamento europeo</w:t>
      </w:r>
      <w:r w:rsidRPr="00052869">
        <w:t>,</w:t>
      </w:r>
    </w:p>
    <w:p w14:paraId="316D1A77" w14:textId="77777777" w:rsidR="006B1C96" w:rsidRPr="00052869" w:rsidRDefault="006B1C96" w:rsidP="006B1C96">
      <w:pPr>
        <w:pStyle w:val="NormalHanging12a"/>
      </w:pPr>
      <w:r w:rsidRPr="00052869">
        <w:t>–</w:t>
      </w:r>
      <w:r w:rsidRPr="00052869">
        <w:tab/>
        <w:t>vista la proposta della Commissione al Parlamento europeo e al Consiglio (</w:t>
      </w:r>
      <w:proofErr w:type="gramStart"/>
      <w:r w:rsidRPr="00052869">
        <w:t>COM(</w:t>
      </w:r>
      <w:proofErr w:type="gramEnd"/>
      <w:r w:rsidRPr="00052869">
        <w:t>2023)0754),</w:t>
      </w:r>
    </w:p>
    <w:p w14:paraId="419D1A54" w14:textId="77777777" w:rsidR="006B1C96" w:rsidRPr="00052869" w:rsidRDefault="006B1C96" w:rsidP="006B1C96">
      <w:pPr>
        <w:pStyle w:val="NormalHanging12a"/>
      </w:pPr>
      <w:r w:rsidRPr="00052869">
        <w:t>–</w:t>
      </w:r>
      <w:r w:rsidRPr="00052869">
        <w:tab/>
        <w:t>visti l'articolo 294, paragrafo 2, l'articolo 85, paragrafo 1, l'articolo 87, paragrafo 2, e l'articolo 88, paragrafo 2, del trattato sul funzionamento dell'Unione europea, a norma dei quali la proposta gli è stata presentata dalla Commissione (C9</w:t>
      </w:r>
      <w:r w:rsidRPr="00052869">
        <w:noBreakHyphen/>
        <w:t>0431/2023),</w:t>
      </w:r>
    </w:p>
    <w:p w14:paraId="7B60D79E" w14:textId="2A020E14" w:rsidR="00457AF5" w:rsidRPr="00052869" w:rsidRDefault="00457AF5" w:rsidP="00457AF5">
      <w:pPr>
        <w:pStyle w:val="NormalHanging12a"/>
      </w:pPr>
      <w:r w:rsidRPr="00052869">
        <w:t>–</w:t>
      </w:r>
      <w:r w:rsidRPr="00052869">
        <w:tab/>
        <w:t>visto il parere della commissione giuridica sulla base giuridica proposta,</w:t>
      </w:r>
    </w:p>
    <w:p w14:paraId="4307CCDA" w14:textId="1381B4DF" w:rsidR="006B1C96" w:rsidRPr="00052869" w:rsidRDefault="006B1C96" w:rsidP="006B1C96">
      <w:pPr>
        <w:pStyle w:val="NormalHanging12a"/>
      </w:pPr>
      <w:r w:rsidRPr="00052869">
        <w:t>–</w:t>
      </w:r>
      <w:r w:rsidRPr="00052869">
        <w:tab/>
        <w:t>visto l'articolo 294, paragrafo 3,</w:t>
      </w:r>
      <w:r w:rsidR="00457AF5" w:rsidRPr="00052869">
        <w:t xml:space="preserve"> e l’articolo 88, paragrafo 2,</w:t>
      </w:r>
      <w:r w:rsidRPr="00052869">
        <w:t xml:space="preserve"> del trattato sul funzionamento dell'Unione europea,</w:t>
      </w:r>
    </w:p>
    <w:p w14:paraId="1D4A93D9" w14:textId="77777777" w:rsidR="006B1C96" w:rsidRPr="00052869" w:rsidRDefault="006B1C96" w:rsidP="006B1C96">
      <w:pPr>
        <w:pStyle w:val="NormalHanging12a"/>
      </w:pPr>
      <w:r w:rsidRPr="00052869">
        <w:t>–</w:t>
      </w:r>
      <w:r w:rsidRPr="00052869">
        <w:tab/>
        <w:t>vista la valutazione di bilancio da parte della commissione per i bilanci,</w:t>
      </w:r>
    </w:p>
    <w:p w14:paraId="5116BEB4" w14:textId="77777777" w:rsidR="006B1C96" w:rsidRPr="00052869" w:rsidRDefault="006B1C96" w:rsidP="006B1C96">
      <w:pPr>
        <w:pStyle w:val="NormalHanging12a"/>
      </w:pPr>
      <w:r w:rsidRPr="00052869">
        <w:t>–</w:t>
      </w:r>
      <w:r w:rsidRPr="00052869">
        <w:tab/>
        <w:t>visto il parere motivato inviato dal Parlamento svedese, nel quadro del protocollo n. 2 sull'applicazione dei principi di sussidiarietà e di proporzionalità, in cui si dichiara la mancata conformità del progetto di atto legislativo al principio di sussidiarietà,</w:t>
      </w:r>
    </w:p>
    <w:p w14:paraId="709ED52E" w14:textId="77777777" w:rsidR="006B1C96" w:rsidRPr="00052869" w:rsidRDefault="006B1C96" w:rsidP="006B1C96">
      <w:pPr>
        <w:pStyle w:val="NormalHanging12a"/>
      </w:pPr>
      <w:r w:rsidRPr="00052869">
        <w:lastRenderedPageBreak/>
        <w:t>–</w:t>
      </w:r>
      <w:r w:rsidRPr="00052869">
        <w:tab/>
        <w:t>visto il parere del Comitato economico e sociale europeo del 10 luglio 2024</w:t>
      </w:r>
      <w:r w:rsidRPr="00052869">
        <w:rPr>
          <w:rStyle w:val="FootnoteReference"/>
        </w:rPr>
        <w:footnoteReference w:id="1"/>
      </w:r>
      <w:r w:rsidRPr="00052869">
        <w:t>,</w:t>
      </w:r>
    </w:p>
    <w:p w14:paraId="14D7BAA3" w14:textId="1CDB6BAC" w:rsidR="00457AF5" w:rsidRPr="00052869" w:rsidRDefault="00457AF5" w:rsidP="00457AF5">
      <w:pPr>
        <w:pStyle w:val="NormalHanging12a"/>
      </w:pPr>
      <w:r w:rsidRPr="00052869">
        <w:t>–</w:t>
      </w:r>
      <w:r w:rsidRPr="00052869">
        <w:tab/>
      </w:r>
      <w:r w:rsidRPr="00052869">
        <w:rPr>
          <w:szCs w:val="24"/>
        </w:rPr>
        <w:t xml:space="preserve">visti </w:t>
      </w:r>
      <w:r w:rsidRPr="00052869">
        <w:t>l'accordo provvisorio approvato dalla commissione competente</w:t>
      </w:r>
      <w:r w:rsidRPr="00052869">
        <w:rPr>
          <w:b/>
        </w:rPr>
        <w:t xml:space="preserve"> </w:t>
      </w:r>
      <w:r w:rsidRPr="00052869">
        <w:t>a norma dell'articolo 75, paragrafo 4, del regolamento e l'impegno assunto dal rappresentante del Consiglio, con lettera dell’8 ottobre 2025, di approvare la posizione del Parlamento europeo, in conformità dell'articolo 294, paragrafo 4, del trattato sul funzionamento dell'Unione europea,</w:t>
      </w:r>
    </w:p>
    <w:p w14:paraId="18654517" w14:textId="65E436DA" w:rsidR="006B1C96" w:rsidRPr="00052869" w:rsidRDefault="006B1C96" w:rsidP="006B1C96">
      <w:pPr>
        <w:pStyle w:val="NormalHanging12a"/>
      </w:pPr>
      <w:r w:rsidRPr="00052869">
        <w:t>–</w:t>
      </w:r>
      <w:r w:rsidRPr="00052869">
        <w:tab/>
        <w:t>visti gli articoli 60</w:t>
      </w:r>
      <w:r w:rsidR="00457AF5" w:rsidRPr="00052869">
        <w:t>, 41</w:t>
      </w:r>
      <w:r w:rsidRPr="00052869">
        <w:t xml:space="preserve"> e 58 del suo regolamento,</w:t>
      </w:r>
    </w:p>
    <w:p w14:paraId="0018551B" w14:textId="77777777" w:rsidR="006B1C96" w:rsidRPr="00052869" w:rsidRDefault="006B1C96" w:rsidP="006B1C96">
      <w:pPr>
        <w:pStyle w:val="NormalHanging12a"/>
      </w:pPr>
      <w:r w:rsidRPr="00052869">
        <w:t>–</w:t>
      </w:r>
      <w:r w:rsidRPr="00052869">
        <w:tab/>
        <w:t>vista la relazione della commissione per le libertà civili, la giustizia e gli affari interni (A10-0109/2025),</w:t>
      </w:r>
    </w:p>
    <w:p w14:paraId="4085A6CE" w14:textId="77777777" w:rsidR="006B1C96" w:rsidRPr="00052869" w:rsidRDefault="006B1C96" w:rsidP="006B1C96">
      <w:pPr>
        <w:pStyle w:val="NormalHanging12a"/>
      </w:pPr>
      <w:r w:rsidRPr="00052869">
        <w:t>1.</w:t>
      </w:r>
      <w:r w:rsidRPr="00052869">
        <w:tab/>
        <w:t xml:space="preserve">adotta la posizione in prima lettura figurante </w:t>
      </w:r>
      <w:proofErr w:type="gramStart"/>
      <w:r w:rsidRPr="00052869">
        <w:t>in appresso</w:t>
      </w:r>
      <w:proofErr w:type="gramEnd"/>
      <w:r w:rsidRPr="00052869">
        <w:t>;</w:t>
      </w:r>
    </w:p>
    <w:p w14:paraId="625CF6F1" w14:textId="77777777" w:rsidR="006B1C96" w:rsidRPr="00052869" w:rsidRDefault="006B1C96" w:rsidP="006B1C96">
      <w:pPr>
        <w:pStyle w:val="NormalHanging12a"/>
      </w:pPr>
      <w:r w:rsidRPr="00052869">
        <w:t>2.</w:t>
      </w:r>
      <w:r w:rsidRPr="00052869">
        <w:tab/>
        <w:t xml:space="preserve">chiede alla Commissione di presentargli nuovamente la proposta qualora la sostituisca, la modifichi sostanzialmente o intenda modificarla sostanzialmente; </w:t>
      </w:r>
    </w:p>
    <w:p w14:paraId="0D7A99F7" w14:textId="77777777" w:rsidR="00457AF5" w:rsidRPr="00052869" w:rsidRDefault="006B1C96" w:rsidP="006B1C96">
      <w:pPr>
        <w:pStyle w:val="NormalHanging12a"/>
        <w:sectPr w:rsidR="00457AF5" w:rsidRPr="00052869" w:rsidSect="001405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52869">
        <w:t>3.</w:t>
      </w:r>
      <w:r w:rsidRPr="00052869">
        <w:tab/>
        <w:t>incarica la sua Presidente di trasmettere la posizione del Parlamento al Consiglio e alla Commissione nonché ai parlamenti nazionali.</w:t>
      </w:r>
    </w:p>
    <w:p w14:paraId="5A8DA581" w14:textId="77777777" w:rsidR="008F7AA1" w:rsidRPr="00052869" w:rsidRDefault="008F7AA1" w:rsidP="008F7AA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52869">
        <w:rPr>
          <w:b/>
          <w:bCs/>
          <w:color w:val="000000"/>
        </w:rPr>
        <w:lastRenderedPageBreak/>
        <w:t>P10_TC1-</w:t>
      </w:r>
      <w:proofErr w:type="gramStart"/>
      <w:r w:rsidRPr="00052869">
        <w:rPr>
          <w:b/>
          <w:bCs/>
          <w:color w:val="000000"/>
        </w:rPr>
        <w:t>COD(</w:t>
      </w:r>
      <w:proofErr w:type="gramEnd"/>
      <w:r w:rsidRPr="00052869">
        <w:rPr>
          <w:b/>
          <w:bCs/>
          <w:color w:val="000000"/>
        </w:rPr>
        <w:t>2023)0438</w:t>
      </w:r>
    </w:p>
    <w:p w14:paraId="131F1521" w14:textId="7A39B861" w:rsidR="008F7AA1" w:rsidRPr="00052869" w:rsidRDefault="008F7AA1" w:rsidP="008F7AA1">
      <w:pPr>
        <w:spacing w:before="120" w:after="360"/>
        <w:rPr>
          <w:b/>
        </w:rPr>
      </w:pPr>
      <w:r w:rsidRPr="00052869">
        <w:rPr>
          <w:b/>
        </w:rPr>
        <w:t>Posizione del Parlamento europeo definita in prima lettura il 25 novembre 2025 in vista dell'adozione del regolamento (UE) 2025/... del Parlamento europeo e del Consiglio che modifica il regolamento (UE) 2016/794 per quanto riguarda il potenziamento del sostegno di Europol e il rafforzamento della cooperazione di polizia per prevenire e combattere il traffico di migranti e la tratta di esseri umani</w:t>
      </w:r>
    </w:p>
    <w:p w14:paraId="24C7730D" w14:textId="0047AD06" w:rsidR="00E365E1" w:rsidRPr="00052869" w:rsidRDefault="00FC2DD6" w:rsidP="00FC2DD6">
      <w:r w:rsidRPr="00052869">
        <w:rPr>
          <w:i/>
        </w:rPr>
        <w:t>(Dato l'accordo tra il Parlamento e il Consiglio, la posizione del Parlamento corrisponde all'atto legislativo finale, il regolamento (UE) 2025/</w:t>
      </w:r>
      <w:r w:rsidRPr="00052869">
        <w:rPr>
          <w:i/>
        </w:rPr>
        <w:t>2611</w:t>
      </w:r>
      <w:r w:rsidRPr="00052869">
        <w:rPr>
          <w:i/>
        </w:rPr>
        <w:t>.)</w:t>
      </w:r>
    </w:p>
    <w:sectPr w:rsidR="00E365E1" w:rsidRPr="00052869" w:rsidSect="0014055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DAA5B" w14:textId="77777777" w:rsidR="00EC10A0" w:rsidRPr="00140555" w:rsidRDefault="00EC10A0">
      <w:r w:rsidRPr="00140555">
        <w:separator/>
      </w:r>
    </w:p>
  </w:endnote>
  <w:endnote w:type="continuationSeparator" w:id="0">
    <w:p w14:paraId="4759AD16" w14:textId="77777777" w:rsidR="00EC10A0" w:rsidRPr="00140555" w:rsidRDefault="00EC10A0">
      <w:r w:rsidRPr="001405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9A3FA" w14:textId="77777777" w:rsidR="00064002" w:rsidRPr="001405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B787E" w14:textId="77777777" w:rsidR="00064002" w:rsidRPr="001405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7D55C" w14:textId="77777777" w:rsidR="00064002" w:rsidRPr="001405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61BDB" w14:textId="77777777" w:rsidR="00EC10A0" w:rsidRPr="00140555" w:rsidRDefault="00EC10A0">
      <w:r w:rsidRPr="00140555">
        <w:separator/>
      </w:r>
    </w:p>
  </w:footnote>
  <w:footnote w:type="continuationSeparator" w:id="0">
    <w:p w14:paraId="0A8ADBA9" w14:textId="77777777" w:rsidR="00EC10A0" w:rsidRPr="00140555" w:rsidRDefault="00EC10A0">
      <w:r w:rsidRPr="00140555">
        <w:continuationSeparator/>
      </w:r>
    </w:p>
  </w:footnote>
  <w:footnote w:id="1">
    <w:p w14:paraId="6945D213" w14:textId="77777777" w:rsidR="006B1C96" w:rsidRPr="00457AF5" w:rsidRDefault="006B1C96" w:rsidP="00140555">
      <w:pPr>
        <w:pStyle w:val="FootnoteText"/>
        <w:ind w:left="567" w:hanging="567"/>
        <w:rPr>
          <w:sz w:val="24"/>
          <w:lang w:val="pl-PL"/>
        </w:rPr>
      </w:pPr>
      <w:r w:rsidRPr="00140555">
        <w:rPr>
          <w:rStyle w:val="FootnoteReference"/>
          <w:sz w:val="24"/>
          <w:lang w:val="it-IT"/>
        </w:rPr>
        <w:footnoteRef/>
      </w:r>
      <w:r w:rsidR="00140555" w:rsidRPr="00457AF5">
        <w:rPr>
          <w:color w:val="333333"/>
          <w:sz w:val="24"/>
          <w:shd w:val="clear" w:color="auto" w:fill="FFFFFF"/>
          <w:lang w:val="pl-PL"/>
        </w:rPr>
        <w:t xml:space="preserve"> </w:t>
      </w:r>
      <w:r w:rsidR="00140555" w:rsidRPr="00457AF5">
        <w:rPr>
          <w:color w:val="333333"/>
          <w:sz w:val="24"/>
          <w:shd w:val="clear" w:color="auto" w:fill="FFFFFF"/>
          <w:lang w:val="pl-PL"/>
        </w:rPr>
        <w:tab/>
      </w:r>
      <w:r w:rsidRPr="00457AF5">
        <w:rPr>
          <w:color w:val="333333"/>
          <w:sz w:val="24"/>
          <w:shd w:val="clear" w:color="auto" w:fill="FFFFFF"/>
          <w:lang w:val="pl-PL"/>
        </w:rPr>
        <w:t>GU C, C/2024/6024, 23.10.2024, ELI: </w:t>
      </w:r>
      <w:hyperlink r:id="rId1" w:tgtFrame="_blank" w:tooltip="Il link dà accesso al documento tramite l'URI dell'ELI." w:history="1">
        <w:r w:rsidRPr="00457AF5">
          <w:rPr>
            <w:color w:val="337AB7"/>
            <w:sz w:val="24"/>
            <w:u w:val="single"/>
            <w:lang w:val="pl-PL"/>
          </w:rPr>
          <w:t>http://data.europa.eu/eli/C/2024/6024/oj</w:t>
        </w:r>
      </w:hyperlink>
      <w:r w:rsidRPr="00457AF5">
        <w:rPr>
          <w:color w:val="333333"/>
          <w:sz w:val="24"/>
          <w:shd w:val="clear" w:color="auto" w:fill="FFFFFF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DBA0" w14:textId="77777777" w:rsidR="00064002" w:rsidRPr="001405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173D" w14:textId="77777777" w:rsidR="00064002" w:rsidRPr="001405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B86B8" w14:textId="77777777" w:rsidR="00064002" w:rsidRPr="001405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CB5BDD"/>
    <w:multiLevelType w:val="hybridMultilevel"/>
    <w:tmpl w:val="D9C29980"/>
    <w:lvl w:ilvl="0" w:tplc="DB1C50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DC92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647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88D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5E88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587B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8B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9C1B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8C09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A1A"/>
    <w:multiLevelType w:val="hybridMultilevel"/>
    <w:tmpl w:val="07908532"/>
    <w:lvl w:ilvl="0" w:tplc="C72ED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26B8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BC9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9451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FC8D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3CD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1A3D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68FF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AE09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160BA"/>
    <w:multiLevelType w:val="hybridMultilevel"/>
    <w:tmpl w:val="D6A6356A"/>
    <w:lvl w:ilvl="0" w:tplc="26726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52D56EBC"/>
    <w:multiLevelType w:val="hybridMultilevel"/>
    <w:tmpl w:val="8C922246"/>
    <w:lvl w:ilvl="0" w:tplc="C902E7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4571E"/>
    <w:multiLevelType w:val="hybridMultilevel"/>
    <w:tmpl w:val="09F8BC3C"/>
    <w:lvl w:ilvl="0" w:tplc="7F8EFA2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9ED04266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C43A6AC6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A5DC7C4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64BE230E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AF875C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A2866A2E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CAB4CFF0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DA00B460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BF45036"/>
    <w:multiLevelType w:val="hybridMultilevel"/>
    <w:tmpl w:val="2A9E6A64"/>
    <w:lvl w:ilvl="0" w:tplc="FC785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76DF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CC4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F898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2245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963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D44A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64A2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E43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937112">
    <w:abstractNumId w:val="9"/>
  </w:num>
  <w:num w:numId="2" w16cid:durableId="1526021122">
    <w:abstractNumId w:val="9"/>
  </w:num>
  <w:num w:numId="3" w16cid:durableId="1198934716">
    <w:abstractNumId w:val="7"/>
  </w:num>
  <w:num w:numId="4" w16cid:durableId="1550652234">
    <w:abstractNumId w:val="7"/>
  </w:num>
  <w:num w:numId="5" w16cid:durableId="692074538">
    <w:abstractNumId w:val="6"/>
  </w:num>
  <w:num w:numId="6" w16cid:durableId="474638951">
    <w:abstractNumId w:val="6"/>
  </w:num>
  <w:num w:numId="7" w16cid:durableId="1727954080">
    <w:abstractNumId w:val="5"/>
  </w:num>
  <w:num w:numId="8" w16cid:durableId="341247342">
    <w:abstractNumId w:val="5"/>
  </w:num>
  <w:num w:numId="9" w16cid:durableId="1328433947">
    <w:abstractNumId w:val="4"/>
  </w:num>
  <w:num w:numId="10" w16cid:durableId="862013847">
    <w:abstractNumId w:val="4"/>
  </w:num>
  <w:num w:numId="11" w16cid:durableId="1084182370">
    <w:abstractNumId w:val="8"/>
  </w:num>
  <w:num w:numId="12" w16cid:durableId="737168111">
    <w:abstractNumId w:val="8"/>
  </w:num>
  <w:num w:numId="13" w16cid:durableId="274287921">
    <w:abstractNumId w:val="3"/>
  </w:num>
  <w:num w:numId="14" w16cid:durableId="1395085466">
    <w:abstractNumId w:val="3"/>
  </w:num>
  <w:num w:numId="15" w16cid:durableId="1282348290">
    <w:abstractNumId w:val="2"/>
  </w:num>
  <w:num w:numId="16" w16cid:durableId="1334063831">
    <w:abstractNumId w:val="2"/>
  </w:num>
  <w:num w:numId="17" w16cid:durableId="299769866">
    <w:abstractNumId w:val="1"/>
  </w:num>
  <w:num w:numId="18" w16cid:durableId="993025861">
    <w:abstractNumId w:val="1"/>
  </w:num>
  <w:num w:numId="19" w16cid:durableId="1342734170">
    <w:abstractNumId w:val="0"/>
  </w:num>
  <w:num w:numId="20" w16cid:durableId="1398475996">
    <w:abstractNumId w:val="0"/>
  </w:num>
  <w:num w:numId="21" w16cid:durableId="401292980">
    <w:abstractNumId w:val="9"/>
  </w:num>
  <w:num w:numId="22" w16cid:durableId="1557164708">
    <w:abstractNumId w:val="7"/>
  </w:num>
  <w:num w:numId="23" w16cid:durableId="550456687">
    <w:abstractNumId w:val="6"/>
  </w:num>
  <w:num w:numId="24" w16cid:durableId="1603301784">
    <w:abstractNumId w:val="5"/>
  </w:num>
  <w:num w:numId="25" w16cid:durableId="1178613581">
    <w:abstractNumId w:val="4"/>
  </w:num>
  <w:num w:numId="26" w16cid:durableId="76905237">
    <w:abstractNumId w:val="8"/>
  </w:num>
  <w:num w:numId="27" w16cid:durableId="1207523291">
    <w:abstractNumId w:val="3"/>
  </w:num>
  <w:num w:numId="28" w16cid:durableId="1687749745">
    <w:abstractNumId w:val="2"/>
  </w:num>
  <w:num w:numId="29" w16cid:durableId="877012193">
    <w:abstractNumId w:val="1"/>
  </w:num>
  <w:num w:numId="30" w16cid:durableId="932736569">
    <w:abstractNumId w:val="0"/>
  </w:num>
  <w:num w:numId="31" w16cid:durableId="866915754">
    <w:abstractNumId w:val="9"/>
  </w:num>
  <w:num w:numId="32" w16cid:durableId="746803178">
    <w:abstractNumId w:val="7"/>
  </w:num>
  <w:num w:numId="33" w16cid:durableId="1633706460">
    <w:abstractNumId w:val="6"/>
  </w:num>
  <w:num w:numId="34" w16cid:durableId="1105929873">
    <w:abstractNumId w:val="5"/>
  </w:num>
  <w:num w:numId="35" w16cid:durableId="763645502">
    <w:abstractNumId w:val="4"/>
  </w:num>
  <w:num w:numId="36" w16cid:durableId="2006200580">
    <w:abstractNumId w:val="8"/>
  </w:num>
  <w:num w:numId="37" w16cid:durableId="770245549">
    <w:abstractNumId w:val="3"/>
  </w:num>
  <w:num w:numId="38" w16cid:durableId="1837455590">
    <w:abstractNumId w:val="2"/>
  </w:num>
  <w:num w:numId="39" w16cid:durableId="135418142">
    <w:abstractNumId w:val="1"/>
  </w:num>
  <w:num w:numId="40" w16cid:durableId="389768083">
    <w:abstractNumId w:val="0"/>
  </w:num>
  <w:num w:numId="41" w16cid:durableId="1005280368">
    <w:abstractNumId w:val="10"/>
  </w:num>
  <w:num w:numId="42" w16cid:durableId="190195441">
    <w:abstractNumId w:val="10"/>
  </w:num>
  <w:num w:numId="43" w16cid:durableId="1508786361">
    <w:abstractNumId w:val="10"/>
  </w:num>
  <w:num w:numId="44" w16cid:durableId="1958830929">
    <w:abstractNumId w:val="14"/>
  </w:num>
  <w:num w:numId="45" w16cid:durableId="1060709182">
    <w:abstractNumId w:val="11"/>
  </w:num>
  <w:num w:numId="46" w16cid:durableId="685642778">
    <w:abstractNumId w:val="17"/>
  </w:num>
  <w:num w:numId="47" w16cid:durableId="66074208">
    <w:abstractNumId w:val="16"/>
  </w:num>
  <w:num w:numId="48" w16cid:durableId="1040209852">
    <w:abstractNumId w:val="12"/>
  </w:num>
  <w:num w:numId="49" w16cid:durableId="1060248991">
    <w:abstractNumId w:val="13"/>
  </w:num>
  <w:num w:numId="50" w16cid:durableId="3976787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9/2025"/>
    <w:docVar w:name="dvlangue" w:val="IT"/>
    <w:docVar w:name="dvnumam" w:val="56"/>
    <w:docVar w:name="dvpe" w:val="768.042"/>
    <w:docVar w:name="dvrapporteur" w:val="Relatore: "/>
    <w:docVar w:name="dvstar" w:val="***I"/>
    <w:docVar w:name="dvtitre" w:val="Risoluzione legislativa del Parlamento europeo del XX novembre 2025 sulla proposta di regolamento del Parlamento europeo e del Consiglio sul rafforzamento della cooperazione di polizia nel settore della prevenzione e dell'accertamento del traffico di migranti e della tratta di esseri umani e delle relative indagini, e sul potenziamento del sostegno di Europol alla prevenzione e alla lotta contro tali reati, e che modifica il regolamento (UE) 2016/794(COM(2023)0754 – C9-0431/2023 – 2023/0438(COD))"/>
  </w:docVars>
  <w:rsids>
    <w:rsidRoot w:val="00EC10A0"/>
    <w:rsid w:val="00002272"/>
    <w:rsid w:val="00035C97"/>
    <w:rsid w:val="00052869"/>
    <w:rsid w:val="00064002"/>
    <w:rsid w:val="000677B9"/>
    <w:rsid w:val="000831BA"/>
    <w:rsid w:val="000A42CC"/>
    <w:rsid w:val="000E7DD9"/>
    <w:rsid w:val="0010095E"/>
    <w:rsid w:val="00125B37"/>
    <w:rsid w:val="00140555"/>
    <w:rsid w:val="00181BB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AF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C9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392"/>
    <w:rsid w:val="00817416"/>
    <w:rsid w:val="00842779"/>
    <w:rsid w:val="00865F67"/>
    <w:rsid w:val="00881A7B"/>
    <w:rsid w:val="008840E5"/>
    <w:rsid w:val="00887B3E"/>
    <w:rsid w:val="008B2917"/>
    <w:rsid w:val="008C2AC6"/>
    <w:rsid w:val="008F7AA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2C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0A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DD6"/>
    <w:rsid w:val="00FD0C70"/>
    <w:rsid w:val="00FE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869312"/>
  <w15:chartTrackingRefBased/>
  <w15:docId w15:val="{A09C89DE-A91B-4AEF-8AB3-D6BB065C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B1C9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B1C9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B1C9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B1C9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B1C9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B1C96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semiHidden/>
    <w:rsid w:val="006B1C96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6B1C96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6B1C96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nhideWhenUsed/>
    <w:qFormat/>
    <w:rsid w:val="006B1C9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B1C9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B1C9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B1C96"/>
    <w:pPr>
      <w:spacing w:after="120"/>
    </w:pPr>
  </w:style>
  <w:style w:type="paragraph" w:customStyle="1" w:styleId="PageHeading">
    <w:name w:val="PageHeading"/>
    <w:basedOn w:val="Normal"/>
    <w:rsid w:val="006B1C9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B1C96"/>
    <w:rPr>
      <w:b/>
    </w:rPr>
  </w:style>
  <w:style w:type="paragraph" w:customStyle="1" w:styleId="NormalBold12a">
    <w:name w:val="NormalBold12a"/>
    <w:basedOn w:val="Normal"/>
    <w:rsid w:val="006B1C96"/>
    <w:pPr>
      <w:spacing w:after="240"/>
    </w:pPr>
    <w:rPr>
      <w:b/>
    </w:rPr>
  </w:style>
  <w:style w:type="paragraph" w:customStyle="1" w:styleId="AmJustText">
    <w:name w:val="AmJustText"/>
    <w:basedOn w:val="Normal"/>
    <w:rsid w:val="006B1C9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B1C9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B1C96"/>
    <w:pPr>
      <w:spacing w:after="480"/>
      <w:ind w:left="1417"/>
    </w:pPr>
  </w:style>
  <w:style w:type="paragraph" w:customStyle="1" w:styleId="CoverNormal">
    <w:name w:val="CoverNormal"/>
    <w:basedOn w:val="Normal"/>
    <w:rsid w:val="006B1C96"/>
    <w:pPr>
      <w:ind w:left="1418"/>
    </w:pPr>
  </w:style>
  <w:style w:type="paragraph" w:customStyle="1" w:styleId="AmCrossRef">
    <w:name w:val="AmCrossRef"/>
    <w:basedOn w:val="Normal"/>
    <w:rsid w:val="006B1C9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B1C9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B1C9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B1C9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B1C9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B1C96"/>
    <w:pPr>
      <w:spacing w:before="240" w:after="1200"/>
    </w:pPr>
  </w:style>
  <w:style w:type="paragraph" w:styleId="Header">
    <w:name w:val="header"/>
    <w:basedOn w:val="Normal"/>
    <w:link w:val="HeaderChar"/>
    <w:rsid w:val="006B1C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B1C96"/>
    <w:rPr>
      <w:sz w:val="24"/>
      <w:lang w:val="it-IT"/>
    </w:rPr>
  </w:style>
  <w:style w:type="paragraph" w:customStyle="1" w:styleId="AmOrLang">
    <w:name w:val="AmOrLang"/>
    <w:basedOn w:val="Normal"/>
    <w:rsid w:val="006B1C9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B1C9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B1C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B1C96"/>
    <w:pPr>
      <w:spacing w:before="240"/>
    </w:pPr>
    <w:rPr>
      <w:b/>
    </w:rPr>
  </w:style>
  <w:style w:type="paragraph" w:customStyle="1" w:styleId="EPBody">
    <w:name w:val="EPBody"/>
    <w:basedOn w:val="Normal"/>
    <w:rsid w:val="006B1C9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B1C9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B1C96"/>
    <w:pPr>
      <w:spacing w:before="480" w:after="240"/>
    </w:pPr>
  </w:style>
  <w:style w:type="paragraph" w:customStyle="1" w:styleId="Lgendesigne">
    <w:name w:val="Légende signe"/>
    <w:basedOn w:val="Normal"/>
    <w:rsid w:val="006B1C9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B1C9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B1C96"/>
    <w:rPr>
      <w:sz w:val="18"/>
    </w:rPr>
  </w:style>
  <w:style w:type="character" w:customStyle="1" w:styleId="NormalBoldChar">
    <w:name w:val="NormalBold Char"/>
    <w:basedOn w:val="DefaultParagraphFont"/>
    <w:link w:val="NormalBold"/>
    <w:rsid w:val="006B1C96"/>
    <w:rPr>
      <w:b/>
      <w:sz w:val="24"/>
      <w:lang w:val="it-IT"/>
    </w:rPr>
  </w:style>
  <w:style w:type="paragraph" w:styleId="BalloonText">
    <w:name w:val="Balloon Text"/>
    <w:basedOn w:val="Normal"/>
    <w:link w:val="BalloonTextChar"/>
    <w:unhideWhenUsed/>
    <w:rsid w:val="006B1C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B1C96"/>
    <w:rPr>
      <w:rFonts w:ascii="Segoe UI" w:hAnsi="Segoe UI" w:cs="Segoe UI"/>
      <w:sz w:val="18"/>
      <w:szCs w:val="18"/>
      <w:lang w:val="it-IT"/>
    </w:rPr>
  </w:style>
  <w:style w:type="paragraph" w:customStyle="1" w:styleId="Normal24a">
    <w:name w:val="Normal24a"/>
    <w:basedOn w:val="Normal"/>
    <w:rsid w:val="006B1C96"/>
    <w:pPr>
      <w:spacing w:after="480"/>
    </w:pPr>
  </w:style>
  <w:style w:type="paragraph" w:customStyle="1" w:styleId="NormalBoldCenter">
    <w:name w:val="NormalBoldCenter"/>
    <w:basedOn w:val="Normal"/>
    <w:rsid w:val="006B1C96"/>
    <w:pPr>
      <w:jc w:val="center"/>
    </w:pPr>
    <w:rPr>
      <w:b/>
    </w:rPr>
  </w:style>
  <w:style w:type="paragraph" w:customStyle="1" w:styleId="Footprint12b">
    <w:name w:val="Footprint12b"/>
    <w:basedOn w:val="Normal"/>
    <w:rsid w:val="006B1C9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B1C96"/>
    <w:rPr>
      <w:szCs w:val="24"/>
    </w:rPr>
  </w:style>
  <w:style w:type="character" w:styleId="Hyperlink">
    <w:name w:val="Hyperlink"/>
    <w:basedOn w:val="DefaultParagraphFont"/>
    <w:uiPriority w:val="99"/>
    <w:rsid w:val="006B1C96"/>
    <w:rPr>
      <w:color w:val="0563C1" w:themeColor="hyperlink"/>
      <w:u w:val="single"/>
    </w:rPr>
  </w:style>
  <w:style w:type="paragraph" w:customStyle="1" w:styleId="EntPE">
    <w:name w:val="EntPE"/>
    <w:basedOn w:val="Normal12"/>
    <w:rsid w:val="006B1C96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B1C96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B1C96"/>
    <w:rPr>
      <w:noProof/>
      <w:sz w:val="24"/>
      <w:lang w:val="it-IT"/>
    </w:rPr>
  </w:style>
  <w:style w:type="paragraph" w:customStyle="1" w:styleId="Normal6">
    <w:name w:val="Normal6"/>
    <w:basedOn w:val="Normal"/>
    <w:link w:val="Normal6Char"/>
    <w:rsid w:val="006B1C96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B1C96"/>
    <w:rPr>
      <w:sz w:val="24"/>
      <w:lang w:val="it-IT"/>
    </w:rPr>
  </w:style>
  <w:style w:type="paragraph" w:customStyle="1" w:styleId="Normal12Italic">
    <w:name w:val="Normal12Italic"/>
    <w:basedOn w:val="Normal12"/>
    <w:rsid w:val="006B1C96"/>
    <w:rPr>
      <w:i/>
    </w:rPr>
  </w:style>
  <w:style w:type="paragraph" w:styleId="Footer">
    <w:name w:val="footer"/>
    <w:basedOn w:val="Normal"/>
    <w:link w:val="FooterChar"/>
    <w:rsid w:val="006B1C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B1C96"/>
    <w:rPr>
      <w:sz w:val="24"/>
      <w:lang w:val="it-IT"/>
    </w:rPr>
  </w:style>
  <w:style w:type="character" w:customStyle="1" w:styleId="FooterChar1">
    <w:name w:val="Footer Char1"/>
    <w:basedOn w:val="DefaultParagraphFont"/>
    <w:semiHidden/>
    <w:rsid w:val="006B1C96"/>
    <w:rPr>
      <w:sz w:val="24"/>
      <w:lang w:val="it-IT"/>
    </w:rPr>
  </w:style>
  <w:style w:type="paragraph" w:customStyle="1" w:styleId="AMNumberTabs0">
    <w:name w:val="AMNumberTabs"/>
    <w:basedOn w:val="Normal"/>
    <w:rsid w:val="006B1C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B1C9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B1C9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B1C96"/>
    <w:pPr>
      <w:keepNext/>
      <w:spacing w:before="240" w:after="240"/>
      <w:jc w:val="center"/>
    </w:pPr>
    <w:rPr>
      <w:i/>
      <w:noProof/>
    </w:rPr>
  </w:style>
  <w:style w:type="character" w:styleId="FollowedHyperlink">
    <w:name w:val="FollowedHyperlink"/>
    <w:basedOn w:val="DefaultParagraphFont"/>
    <w:uiPriority w:val="99"/>
    <w:unhideWhenUsed/>
    <w:rsid w:val="006B1C96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6B1C96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6B1C9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B1C9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B1C9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B1C9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B1C96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6B1C96"/>
    <w:pPr>
      <w:spacing w:before="240"/>
      <w:jc w:val="center"/>
    </w:pPr>
    <w:rPr>
      <w:i/>
    </w:rPr>
  </w:style>
  <w:style w:type="character" w:customStyle="1" w:styleId="Footer2Middle">
    <w:name w:val="Footer2Middle"/>
    <w:rsid w:val="006B1C9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6B1C96"/>
    <w:rPr>
      <w:rFonts w:asciiTheme="minorHAnsi" w:eastAsiaTheme="minorHAnsi" w:hAnsiTheme="minorHAnsi" w:cstheme="minorBidi"/>
      <w:sz w:val="22"/>
      <w:szCs w:val="22"/>
      <w:lang w:val="it-IT" w:eastAsia="en-US"/>
    </w:rPr>
  </w:style>
  <w:style w:type="paragraph" w:styleId="ListParagraph">
    <w:name w:val="List Paragraph"/>
    <w:basedOn w:val="Normal"/>
    <w:uiPriority w:val="34"/>
    <w:qFormat/>
    <w:rsid w:val="006B1C9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rsid w:val="006B1C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B1C9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B1C96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B1C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B1C96"/>
    <w:rPr>
      <w:b/>
      <w:bCs/>
      <w:lang w:val="it-IT"/>
    </w:rPr>
  </w:style>
  <w:style w:type="character" w:styleId="Emphasis">
    <w:name w:val="Emphasis"/>
    <w:basedOn w:val="DefaultParagraphFont"/>
    <w:uiPriority w:val="20"/>
    <w:qFormat/>
    <w:rsid w:val="006B1C96"/>
    <w:rPr>
      <w:i/>
      <w:iCs/>
    </w:rPr>
  </w:style>
  <w:style w:type="paragraph" w:customStyle="1" w:styleId="LetterSalutation">
    <w:name w:val="LetterSalutation"/>
    <w:basedOn w:val="Normal"/>
    <w:rsid w:val="006B1C96"/>
    <w:pPr>
      <w:spacing w:before="600" w:after="360"/>
    </w:pPr>
  </w:style>
  <w:style w:type="paragraph" w:customStyle="1" w:styleId="LetterSubject">
    <w:name w:val="LetterSubject"/>
    <w:basedOn w:val="Normal"/>
    <w:rsid w:val="006B1C96"/>
    <w:pPr>
      <w:spacing w:before="480"/>
      <w:ind w:left="1134" w:hanging="1134"/>
    </w:pPr>
  </w:style>
  <w:style w:type="paragraph" w:customStyle="1" w:styleId="Normal12a">
    <w:name w:val="Normal12a"/>
    <w:basedOn w:val="Normal"/>
    <w:rsid w:val="006B1C96"/>
    <w:pPr>
      <w:spacing w:after="240"/>
    </w:pPr>
  </w:style>
  <w:style w:type="paragraph" w:customStyle="1" w:styleId="PageHeadingNotTOC">
    <w:name w:val="PageHeadingNotTOC"/>
    <w:basedOn w:val="Normal"/>
    <w:rsid w:val="006B1C9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6B1C9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B1C9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B1C9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B1C96"/>
    <w:pPr>
      <w:spacing w:before="120" w:after="120"/>
    </w:pPr>
    <w:rPr>
      <w:snapToGrid w:val="0"/>
      <w:sz w:val="16"/>
      <w:lang w:eastAsia="en-US"/>
    </w:rPr>
  </w:style>
  <w:style w:type="paragraph" w:customStyle="1" w:styleId="Text1">
    <w:name w:val="Text 1"/>
    <w:basedOn w:val="Normal"/>
    <w:rsid w:val="006B1C9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B1C9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6B1C96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it-IT" w:eastAsia="en-US"/>
    </w:rPr>
  </w:style>
  <w:style w:type="character" w:customStyle="1" w:styleId="name">
    <w:name w:val="name"/>
    <w:rsid w:val="006B1C96"/>
  </w:style>
  <w:style w:type="character" w:customStyle="1" w:styleId="Title1">
    <w:name w:val="Title1"/>
    <w:rsid w:val="006B1C96"/>
  </w:style>
  <w:style w:type="paragraph" w:styleId="Revision">
    <w:name w:val="Revision"/>
    <w:hidden/>
    <w:uiPriority w:val="99"/>
    <w:semiHidden/>
    <w:rsid w:val="00457AF5"/>
    <w:rPr>
      <w:sz w:val="24"/>
      <w:lang w:val="it-IT"/>
    </w:rPr>
  </w:style>
  <w:style w:type="paragraph" w:customStyle="1" w:styleId="FootnoteTextForceStyle">
    <w:name w:val="Footnote Text ForceStyle"/>
    <w:rsid w:val="008F7AA1"/>
    <w:pPr>
      <w:keepLines/>
      <w:widowControl w:val="0"/>
      <w:spacing w:line="240" w:lineRule="exact"/>
      <w:ind w:left="850" w:hanging="850"/>
    </w:pPr>
    <w:rPr>
      <w:sz w:val="24"/>
      <w:lang w:val="it-IT" w:eastAsia="en-US"/>
    </w:rPr>
  </w:style>
  <w:style w:type="character" w:customStyle="1" w:styleId="Hyperlink1">
    <w:name w:val="Hyperlink1"/>
    <w:basedOn w:val="DefaultParagraphFont"/>
    <w:uiPriority w:val="99"/>
    <w:rsid w:val="008F7A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IT/TXT/?uri=CELEX:52024AE01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CL_start</dc:creator>
  <cp:keywords/>
  <cp:lastModifiedBy>CL</cp:lastModifiedBy>
  <cp:revision>2</cp:revision>
  <cp:lastPrinted>2004-11-19T15:42:00Z</cp:lastPrinted>
  <dcterms:created xsi:type="dcterms:W3CDTF">2026-01-28T07:35:00Z</dcterms:created>
  <dcterms:modified xsi:type="dcterms:W3CDTF">2026-01-28T07:35:00Z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P10_TA(2025)0280_</vt:lpwstr>
  </property>
  <property fmtid="{D5CDD505-2E9C-101B-9397-08002B2CF9AE}" pid="4" name="&lt;Type&gt;">
    <vt:lpwstr>RR</vt:lpwstr>
  </property>
</Properties>
</file>