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65AC" w14:paraId="4F112E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3D8A75" w14:textId="77777777" w:rsidR="00751A4A" w:rsidRPr="000C65AC" w:rsidRDefault="00BB7E58" w:rsidP="0010095E">
            <w:pPr>
              <w:pStyle w:val="EPName"/>
            </w:pPr>
            <w:r w:rsidRPr="000C65AC">
              <w:t>Europski parlament</w:t>
            </w:r>
          </w:p>
          <w:p w14:paraId="18F56780" w14:textId="77777777" w:rsidR="00751A4A" w:rsidRPr="000C65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65AC">
              <w:t>2024</w:t>
            </w:r>
            <w:r w:rsidR="00817416" w:rsidRPr="000C65AC">
              <w:t>-202</w:t>
            </w:r>
            <w:r w:rsidRPr="000C65AC">
              <w:t>9</w:t>
            </w:r>
          </w:p>
        </w:tc>
        <w:tc>
          <w:tcPr>
            <w:tcW w:w="2268" w:type="dxa"/>
            <w:shd w:val="clear" w:color="auto" w:fill="auto"/>
          </w:tcPr>
          <w:p w14:paraId="1990476F" w14:textId="77777777" w:rsidR="00751A4A" w:rsidRPr="000C65AC" w:rsidRDefault="00187494" w:rsidP="0010095E">
            <w:pPr>
              <w:pStyle w:val="EPLogo"/>
            </w:pPr>
            <w:r w:rsidRPr="000C65AC">
              <w:rPr>
                <w:noProof/>
                <w:lang w:eastAsia="ja-JP"/>
              </w:rPr>
              <w:drawing>
                <wp:inline distT="0" distB="0" distL="0" distR="0" wp14:anchorId="45DEF028" wp14:editId="14B00F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20F341" w14:textId="77777777" w:rsidR="00D058B8" w:rsidRPr="000C65AC" w:rsidRDefault="00D058B8" w:rsidP="004C5D52">
      <w:pPr>
        <w:pStyle w:val="LineTop"/>
      </w:pPr>
    </w:p>
    <w:p w14:paraId="4820DD7A" w14:textId="77777777" w:rsidR="00680577" w:rsidRPr="000C65AC" w:rsidRDefault="00BB7E58" w:rsidP="00680577">
      <w:pPr>
        <w:pStyle w:val="EPBodyTA1"/>
      </w:pPr>
      <w:r w:rsidRPr="000C65AC">
        <w:t>USVOJENI TEKSTOVI</w:t>
      </w:r>
    </w:p>
    <w:p w14:paraId="2FDD7B7F" w14:textId="77777777" w:rsidR="00D058B8" w:rsidRPr="000C65AC" w:rsidRDefault="00D058B8" w:rsidP="00D058B8">
      <w:pPr>
        <w:pStyle w:val="LineBottom"/>
      </w:pPr>
    </w:p>
    <w:p w14:paraId="5ED7795F" w14:textId="190FE586" w:rsidR="00BB7E58" w:rsidRPr="000C65AC" w:rsidRDefault="00BB7E58" w:rsidP="00BB7E58">
      <w:pPr>
        <w:pStyle w:val="ATHeading1"/>
      </w:pPr>
      <w:bookmarkStart w:id="0" w:name="TANumber"/>
      <w:r w:rsidRPr="000C65AC">
        <w:t>P10_TA(2025)0</w:t>
      </w:r>
      <w:bookmarkEnd w:id="0"/>
      <w:r w:rsidR="00BD5433">
        <w:t>281</w:t>
      </w:r>
    </w:p>
    <w:p w14:paraId="0B58213C" w14:textId="60C0153C" w:rsidR="00BB7E58" w:rsidRPr="000C65AC" w:rsidRDefault="00F923AE" w:rsidP="00BB7E58">
      <w:pPr>
        <w:pStyle w:val="ATHeading2"/>
      </w:pPr>
      <w:bookmarkStart w:id="1" w:name="title"/>
      <w:r w:rsidRPr="00F923AE">
        <w:t>Program za europsku obrambenu industriju i okvir mjera za osiguravanje pravodobne dostupnosti i opskrbe obrambenim proizvodima („EDIP”)</w:t>
      </w:r>
      <w:bookmarkEnd w:id="1"/>
    </w:p>
    <w:p w14:paraId="4EFFA79A" w14:textId="77777777" w:rsidR="00BB7E58" w:rsidRPr="000C65AC" w:rsidRDefault="00BB7E58" w:rsidP="00BB7E58">
      <w:pPr>
        <w:rPr>
          <w:i/>
          <w:vanish/>
        </w:rPr>
      </w:pPr>
      <w:r w:rsidRPr="000C65AC">
        <w:rPr>
          <w:i/>
        </w:rPr>
        <w:fldChar w:fldCharType="begin"/>
      </w:r>
      <w:r w:rsidRPr="000C65AC">
        <w:rPr>
          <w:i/>
        </w:rPr>
        <w:instrText xml:space="preserve"> TC"(</w:instrText>
      </w:r>
      <w:bookmarkStart w:id="2" w:name="DocNumber"/>
      <w:r w:rsidRPr="000C65AC">
        <w:rPr>
          <w:i/>
        </w:rPr>
        <w:instrText>A10-0084/2025</w:instrText>
      </w:r>
      <w:bookmarkEnd w:id="2"/>
      <w:r w:rsidRPr="000C65AC">
        <w:rPr>
          <w:i/>
        </w:rPr>
        <w:instrText xml:space="preserve"> - Izvjestitelji: Raphaël Glucksmann, François Xavier Bellamy)"\l3 \n&gt; \* MERGEFORMAT </w:instrText>
      </w:r>
      <w:r w:rsidRPr="000C65AC">
        <w:rPr>
          <w:i/>
        </w:rPr>
        <w:fldChar w:fldCharType="end"/>
      </w:r>
    </w:p>
    <w:p w14:paraId="40CDB09D" w14:textId="77777777" w:rsidR="00BB7E58" w:rsidRPr="000C65AC" w:rsidRDefault="00BB7E58" w:rsidP="00BB7E58">
      <w:pPr>
        <w:rPr>
          <w:vanish/>
        </w:rPr>
      </w:pPr>
      <w:bookmarkStart w:id="3" w:name="Commission"/>
      <w:r w:rsidRPr="000C65AC">
        <w:rPr>
          <w:vanish/>
        </w:rPr>
        <w:t>Odbor za sigurnost i obranu, Odbor za industriju, istraživanje i energetiku</w:t>
      </w:r>
      <w:bookmarkEnd w:id="3"/>
    </w:p>
    <w:p w14:paraId="2DFD3F91" w14:textId="77777777" w:rsidR="00BB7E58" w:rsidRPr="000C65AC" w:rsidRDefault="00BB7E58" w:rsidP="00BB7E58">
      <w:pPr>
        <w:rPr>
          <w:vanish/>
        </w:rPr>
      </w:pPr>
      <w:bookmarkStart w:id="4" w:name="PE"/>
      <w:r w:rsidRPr="000C65AC">
        <w:rPr>
          <w:vanish/>
        </w:rPr>
        <w:t>PE771.828</w:t>
      </w:r>
      <w:bookmarkEnd w:id="4"/>
    </w:p>
    <w:p w14:paraId="677C70EB" w14:textId="6E62D45F" w:rsidR="00BB7E58" w:rsidRPr="000C65AC" w:rsidRDefault="00BB7E58" w:rsidP="00BB7E58">
      <w:pPr>
        <w:pStyle w:val="ATHeading3"/>
      </w:pPr>
      <w:bookmarkStart w:id="5" w:name="Sujet"/>
      <w:r w:rsidRPr="000C65AC">
        <w:t xml:space="preserve">Zakonodavna rezolucija Europskog parlamenta od </w:t>
      </w:r>
      <w:r w:rsidR="00F72BF6">
        <w:t>25. studenoga</w:t>
      </w:r>
      <w:r w:rsidRPr="000C65AC">
        <w:t xml:space="preserve"> 2025. o Prijedlogu uredbe Europskog parlamenta i Vijeća o uspostavi Programa za europsku obrambenu industriju i okvira mjera za osiguravanje pravodobne dostupnosti i opskrbe obrambenim proizvodima („EDIP”)</w:t>
      </w:r>
      <w:bookmarkEnd w:id="5"/>
      <w:r w:rsidRPr="000C65AC">
        <w:t xml:space="preserve"> </w:t>
      </w:r>
      <w:bookmarkStart w:id="6" w:name="References"/>
      <w:r w:rsidRPr="000C65AC">
        <w:t>(COM(2024)0150 – C10-0005/2024 – 2024/0061(COD))</w:t>
      </w:r>
      <w:bookmarkEnd w:id="6"/>
    </w:p>
    <w:p w14:paraId="7C77CA03" w14:textId="77777777" w:rsidR="00985CEC" w:rsidRPr="000C65AC" w:rsidRDefault="00985CEC" w:rsidP="00985CEC">
      <w:pPr>
        <w:pStyle w:val="NormalBold"/>
      </w:pPr>
      <w:r w:rsidRPr="000C65AC">
        <w:t>(Redovni zakonodavni postupak: prvo čitanje)</w:t>
      </w:r>
    </w:p>
    <w:p w14:paraId="1A8DD2D2" w14:textId="77777777" w:rsidR="00985CEC" w:rsidRPr="000C65AC" w:rsidRDefault="00985CEC" w:rsidP="00985CEC">
      <w:pPr>
        <w:pStyle w:val="EPComma"/>
      </w:pPr>
      <w:r w:rsidRPr="000C65AC">
        <w:rPr>
          <w:i/>
        </w:rPr>
        <w:t>Europski parlament</w:t>
      </w:r>
      <w:r w:rsidRPr="000C65AC">
        <w:t>,</w:t>
      </w:r>
    </w:p>
    <w:p w14:paraId="4DDD9456" w14:textId="77777777" w:rsidR="00985CEC" w:rsidRPr="000C65AC" w:rsidRDefault="00985CEC" w:rsidP="00985CEC">
      <w:pPr>
        <w:pStyle w:val="NormalHanging12a"/>
      </w:pPr>
      <w:r w:rsidRPr="000C65AC">
        <w:t>–</w:t>
      </w:r>
      <w:r w:rsidRPr="000C65AC">
        <w:tab/>
        <w:t>uzimajući u obzir Prijedlog Komisije upućen Europskom parlamentu i Vijeću (COM(2024)0150),</w:t>
      </w:r>
    </w:p>
    <w:p w14:paraId="48907D1C" w14:textId="77777777" w:rsidR="00985CEC" w:rsidRPr="000C65AC" w:rsidRDefault="00985CEC" w:rsidP="00985CEC">
      <w:pPr>
        <w:pStyle w:val="NormalHanging12a"/>
      </w:pPr>
      <w:r w:rsidRPr="000C65AC">
        <w:t>–</w:t>
      </w:r>
      <w:r w:rsidRPr="000C65AC">
        <w:tab/>
        <w:t>uzimajući u obzir članak 294. stavak 2., članak 114. stavak 1., članak 173. stavak 3., članak 212. stavak 2. i članak 322. stavak 1. Ugovora o funkcioniranju Europske unije, u skladu s kojima je Komisija podnijela Prijedlog Parlamentu (C10</w:t>
      </w:r>
      <w:r w:rsidRPr="000C65AC">
        <w:noBreakHyphen/>
        <w:t>0005/2024),</w:t>
      </w:r>
    </w:p>
    <w:p w14:paraId="6A1C7B27" w14:textId="77777777" w:rsidR="00985CEC" w:rsidRPr="000C65AC" w:rsidRDefault="00985CEC" w:rsidP="00985CEC">
      <w:pPr>
        <w:pStyle w:val="NormalHanging12a"/>
      </w:pPr>
      <w:r w:rsidRPr="000C65AC">
        <w:t>–</w:t>
      </w:r>
      <w:r w:rsidRPr="000C65AC">
        <w:tab/>
        <w:t>uzimajući u obzir članak 294. stavak 3. Ugovora o funkcioniranju Europske unije,</w:t>
      </w:r>
    </w:p>
    <w:p w14:paraId="61AD7B28" w14:textId="1C6ECC56" w:rsidR="00985CEC" w:rsidRPr="000C65AC" w:rsidRDefault="00985CEC" w:rsidP="00985CEC">
      <w:pPr>
        <w:pStyle w:val="NormalHanging12a"/>
      </w:pPr>
      <w:r w:rsidRPr="000C65AC">
        <w:t>–</w:t>
      </w:r>
      <w:r w:rsidRPr="000C65AC">
        <w:tab/>
        <w:t>uzimajući u obzir proračunsku procjenu koju je donio Odbor za proračune</w:t>
      </w:r>
      <w:r w:rsidR="0076368E">
        <w:t>,</w:t>
      </w:r>
    </w:p>
    <w:p w14:paraId="48108D49" w14:textId="77777777" w:rsidR="00985CEC" w:rsidRPr="000C65AC" w:rsidRDefault="00985CEC" w:rsidP="00985CEC">
      <w:pPr>
        <w:pStyle w:val="NormalHanging12a"/>
      </w:pPr>
      <w:r w:rsidRPr="000C65AC">
        <w:t>–</w:t>
      </w:r>
      <w:r w:rsidRPr="000C65AC">
        <w:tab/>
        <w:t>uzimajući u obzir mišljenje Revizorskog suda od 31. siječnja 2025.</w:t>
      </w:r>
      <w:r w:rsidRPr="000C65AC">
        <w:rPr>
          <w:rStyle w:val="FootnoteReference"/>
        </w:rPr>
        <w:footnoteReference w:id="1"/>
      </w:r>
      <w:r w:rsidRPr="000C65AC">
        <w:t>,</w:t>
      </w:r>
    </w:p>
    <w:p w14:paraId="3E090768" w14:textId="06CECA6A" w:rsidR="00985CEC" w:rsidRPr="000C65AC" w:rsidRDefault="00985CEC" w:rsidP="00985CEC">
      <w:pPr>
        <w:pStyle w:val="NormalHanging12a"/>
      </w:pPr>
      <w:r w:rsidRPr="000C65AC">
        <w:t>–</w:t>
      </w:r>
      <w:r w:rsidRPr="000C65AC">
        <w:tab/>
        <w:t>uzimajući u obzir mišljenje Europskog</w:t>
      </w:r>
      <w:r w:rsidR="0084629D">
        <w:t>a</w:t>
      </w:r>
      <w:r w:rsidRPr="000C65AC">
        <w:t xml:space="preserve"> gospodarskog i socijalnog odbora od 30. svibnja 2024.</w:t>
      </w:r>
      <w:r w:rsidRPr="000C65AC">
        <w:rPr>
          <w:rStyle w:val="FootnoteReference"/>
        </w:rPr>
        <w:footnoteReference w:id="2"/>
      </w:r>
      <w:r w:rsidRPr="000C65AC">
        <w:t>,</w:t>
      </w:r>
    </w:p>
    <w:p w14:paraId="7B6DEB1B" w14:textId="77777777" w:rsidR="00985CEC" w:rsidRDefault="00985CEC" w:rsidP="00985CEC">
      <w:pPr>
        <w:pStyle w:val="NormalHanging12a"/>
      </w:pPr>
      <w:r w:rsidRPr="000C65AC">
        <w:t>–</w:t>
      </w:r>
      <w:r w:rsidRPr="000C65AC">
        <w:tab/>
        <w:t>uzimajući u obzir mišljenje Odbora regija od 20. veljače 2025.</w:t>
      </w:r>
      <w:r w:rsidRPr="000C65AC">
        <w:rPr>
          <w:rStyle w:val="FootnoteReference"/>
        </w:rPr>
        <w:footnoteReference w:id="3"/>
      </w:r>
      <w:r w:rsidRPr="000C65AC">
        <w:t>,</w:t>
      </w:r>
    </w:p>
    <w:p w14:paraId="0C619F3E" w14:textId="169D6CC6" w:rsidR="00BB7070" w:rsidRPr="000C65AC" w:rsidRDefault="00BB7070" w:rsidP="00985CEC">
      <w:pPr>
        <w:pStyle w:val="NormalHanging12a"/>
      </w:pPr>
      <w:r w:rsidRPr="00BB7070">
        <w:t>–</w:t>
      </w:r>
      <w:r w:rsidRPr="00BB7070">
        <w:tab/>
        <w:t>uzimajući u obzir privremeni sporazum</w:t>
      </w:r>
      <w:r w:rsidR="00B51AE7">
        <w:t xml:space="preserve"> </w:t>
      </w:r>
      <w:r w:rsidRPr="00BB7070">
        <w:t xml:space="preserve">koji su odobrili nadležni odbori u skladu s </w:t>
      </w:r>
      <w:r w:rsidRPr="00BB7070">
        <w:lastRenderedPageBreak/>
        <w:t>člankom 7</w:t>
      </w:r>
      <w:r w:rsidR="0084629D">
        <w:t>5</w:t>
      </w:r>
      <w:r w:rsidRPr="00BB7070">
        <w:t>. stavkom 4. Poslovnika te činjenicu da se predstavnik Vijeća pismom od 1</w:t>
      </w:r>
      <w:r w:rsidR="00B51AE7">
        <w:t>7</w:t>
      </w:r>
      <w:r w:rsidRPr="00BB7070">
        <w:t xml:space="preserve">. </w:t>
      </w:r>
      <w:r w:rsidR="00B51AE7">
        <w:t>listopada</w:t>
      </w:r>
      <w:r w:rsidRPr="00BB7070">
        <w:t xml:space="preserve"> 202</w:t>
      </w:r>
      <w:r w:rsidR="00B51AE7">
        <w:t>5</w:t>
      </w:r>
      <w:r w:rsidRPr="00BB7070">
        <w:t>. obvezao prihvatiti stajalište Europskog parlamenta u skladu s člankom 294. stavkom 4. Ugovora o funkcioniranju Europske unije</w:t>
      </w:r>
      <w:r w:rsidR="00B51AE7">
        <w:t>,</w:t>
      </w:r>
    </w:p>
    <w:p w14:paraId="42E17234" w14:textId="52AE6DEB" w:rsidR="00985CEC" w:rsidRDefault="00985CEC" w:rsidP="00985CEC">
      <w:pPr>
        <w:pStyle w:val="NormalHanging12a"/>
      </w:pPr>
      <w:r w:rsidRPr="000C65AC">
        <w:t>–</w:t>
      </w:r>
      <w:r w:rsidRPr="000C65AC">
        <w:tab/>
        <w:t xml:space="preserve">uzimajući u obzir članke 60., 170. </w:t>
      </w:r>
      <w:r w:rsidR="00590C92">
        <w:t xml:space="preserve">i </w:t>
      </w:r>
      <w:r w:rsidRPr="000C65AC">
        <w:t>58. Poslovnika,</w:t>
      </w:r>
    </w:p>
    <w:p w14:paraId="478C5227" w14:textId="707B6A47" w:rsidR="00BB7070" w:rsidRPr="000C65AC" w:rsidRDefault="00BB7070" w:rsidP="00985CEC">
      <w:pPr>
        <w:pStyle w:val="NormalHanging12a"/>
      </w:pPr>
      <w:r w:rsidRPr="00BB7070">
        <w:t>–</w:t>
      </w:r>
      <w:r w:rsidRPr="00BB7070">
        <w:tab/>
        <w:t>uzimajući u obzir zajedničke rasprave</w:t>
      </w:r>
      <w:r>
        <w:t xml:space="preserve"> </w:t>
      </w:r>
      <w:r w:rsidRPr="00BB7070">
        <w:t>Odbor</w:t>
      </w:r>
      <w:r>
        <w:t>a</w:t>
      </w:r>
      <w:r w:rsidRPr="00BB7070">
        <w:t xml:space="preserve"> za sigurnost i obranu </w:t>
      </w:r>
      <w:r>
        <w:t>i</w:t>
      </w:r>
      <w:r w:rsidRPr="00BB7070">
        <w:t xml:space="preserve"> Odbor</w:t>
      </w:r>
      <w:r>
        <w:t>a</w:t>
      </w:r>
      <w:r w:rsidRPr="00BB7070">
        <w:t xml:space="preserve"> za industriju, istraživanje i energetiku</w:t>
      </w:r>
      <w:r>
        <w:t xml:space="preserve"> </w:t>
      </w:r>
      <w:r w:rsidRPr="00BB7070">
        <w:t>u skladu s člankom 59. Poslovnika,</w:t>
      </w:r>
    </w:p>
    <w:p w14:paraId="5DE7176B" w14:textId="77777777" w:rsidR="00985CEC" w:rsidRPr="000C65AC" w:rsidRDefault="00985CEC" w:rsidP="00985CEC">
      <w:pPr>
        <w:pStyle w:val="NormalHanging12a"/>
      </w:pPr>
      <w:r w:rsidRPr="000C65AC">
        <w:t>–</w:t>
      </w:r>
      <w:r w:rsidRPr="000C65AC">
        <w:tab/>
        <w:t>uzimajući u obzir mišljenja Odbora za vanjske poslove, Odbora za proračunski nadzor i Odbora za unutarnje tržište i zaštitu potrošača,</w:t>
      </w:r>
    </w:p>
    <w:p w14:paraId="057A5E9C" w14:textId="77777777" w:rsidR="00985CEC" w:rsidRPr="000C65AC" w:rsidRDefault="00985CEC" w:rsidP="00985CEC">
      <w:pPr>
        <w:pStyle w:val="NormalHanging12a"/>
      </w:pPr>
      <w:r w:rsidRPr="000C65AC">
        <w:t>–</w:t>
      </w:r>
      <w:r w:rsidRPr="000C65AC">
        <w:tab/>
        <w:t>uzimajući u obzir izvješće Odbora za sigurnost i obranu i Odbora za industriju, istraživanje i energetiku (A10</w:t>
      </w:r>
      <w:r w:rsidRPr="000C65AC">
        <w:noBreakHyphen/>
        <w:t>0084/2025),</w:t>
      </w:r>
    </w:p>
    <w:p w14:paraId="428C2804" w14:textId="77777777" w:rsidR="00985CEC" w:rsidRDefault="00985CEC" w:rsidP="00985CEC">
      <w:pPr>
        <w:pStyle w:val="NormalHanging12a"/>
      </w:pPr>
      <w:r w:rsidRPr="000C65AC">
        <w:t>1.</w:t>
      </w:r>
      <w:r w:rsidRPr="000C65AC">
        <w:tab/>
        <w:t>usvaja sljedeće stajalište u prvom čitanju;</w:t>
      </w:r>
    </w:p>
    <w:p w14:paraId="28F5F4A3" w14:textId="1CF1EFA7" w:rsidR="00B4147C" w:rsidRPr="000C65AC" w:rsidRDefault="00B4147C" w:rsidP="00985CEC">
      <w:pPr>
        <w:pStyle w:val="NormalHanging12a"/>
      </w:pPr>
      <w:r>
        <w:t>2.</w:t>
      </w:r>
      <w:r>
        <w:tab/>
      </w:r>
      <w:r w:rsidRPr="00B4147C">
        <w:t xml:space="preserve">odobrava zajedničku izjavu </w:t>
      </w:r>
      <w:r>
        <w:t>P</w:t>
      </w:r>
      <w:r w:rsidRPr="00B4147C">
        <w:t>arlamenta i Vijeća</w:t>
      </w:r>
      <w:r>
        <w:t xml:space="preserve"> te </w:t>
      </w:r>
      <w:r w:rsidRPr="00B4147C">
        <w:t xml:space="preserve">zajedničke izjave </w:t>
      </w:r>
      <w:r>
        <w:t>P</w:t>
      </w:r>
      <w:r w:rsidRPr="00B4147C">
        <w:t xml:space="preserve">arlamenta, Vijeća i Komisije priložene ovoj Rezoluciji, koje će se objaviti u seriji C </w:t>
      </w:r>
      <w:r w:rsidRPr="00BD5433">
        <w:rPr>
          <w:i/>
          <w:iCs/>
        </w:rPr>
        <w:t>Službenog lista Europske unije</w:t>
      </w:r>
      <w:r w:rsidRPr="00B4147C">
        <w:t>;</w:t>
      </w:r>
    </w:p>
    <w:p w14:paraId="15E7F4C7" w14:textId="08BBA651" w:rsidR="00985CEC" w:rsidRPr="000C65AC" w:rsidRDefault="00B4147C" w:rsidP="00985CEC">
      <w:pPr>
        <w:pStyle w:val="NormalHanging12a"/>
      </w:pPr>
      <w:r>
        <w:t>3</w:t>
      </w:r>
      <w:r w:rsidR="00985CEC" w:rsidRPr="000C65AC">
        <w:t>.</w:t>
      </w:r>
      <w:r w:rsidR="00985CEC" w:rsidRPr="000C65AC">
        <w:tab/>
        <w:t>poziva Komisiju da predmet ponovno uputi Parlamentu ako zamijeni, bitno izmijeni ili namjerava bitno izmijeniti svoj Prijedlog;</w:t>
      </w:r>
    </w:p>
    <w:p w14:paraId="7EA6292A" w14:textId="21E83204" w:rsidR="00985CEC" w:rsidRPr="000C65AC" w:rsidRDefault="00B4147C" w:rsidP="00985CEC">
      <w:pPr>
        <w:pStyle w:val="NormalHanging12a"/>
      </w:pPr>
      <w:r>
        <w:t>4</w:t>
      </w:r>
      <w:r w:rsidR="00985CEC" w:rsidRPr="000C65AC">
        <w:t>.</w:t>
      </w:r>
      <w:r w:rsidR="00985CEC" w:rsidRPr="000C65AC">
        <w:tab/>
        <w:t>nalaže svojoj predsjednici da stajalište Parlamenta proslijedi Vijeću, Komisiji i nacionalnim parlamentima.</w:t>
      </w:r>
    </w:p>
    <w:p w14:paraId="278D0976" w14:textId="77777777" w:rsidR="00F72BF6" w:rsidRDefault="00F72BF6" w:rsidP="00985CEC">
      <w:pPr>
        <w:sectPr w:rsidR="00F72BF6" w:rsidSect="000C65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F343577" w14:textId="77777777" w:rsidR="00B4147C" w:rsidRPr="00BD5433" w:rsidRDefault="00B4147C" w:rsidP="00B4147C">
      <w:pPr>
        <w:spacing w:after="240"/>
        <w:rPr>
          <w:b/>
          <w:bCs/>
          <w:snapToGrid w:val="0"/>
          <w:szCs w:val="24"/>
        </w:rPr>
      </w:pPr>
      <w:bookmarkStart w:id="7" w:name="_bookmark63"/>
      <w:bookmarkEnd w:id="7"/>
      <w:r w:rsidRPr="00BD5433">
        <w:rPr>
          <w:b/>
          <w:bCs/>
          <w:snapToGrid w:val="0"/>
          <w:szCs w:val="24"/>
        </w:rPr>
        <w:lastRenderedPageBreak/>
        <w:t>P10_TC1-COD(2024)0061</w:t>
      </w:r>
    </w:p>
    <w:p w14:paraId="2C95897B" w14:textId="5C720F40" w:rsidR="00B4147C" w:rsidRPr="00B4147C" w:rsidRDefault="00B4147C" w:rsidP="00BD5433">
      <w:pPr>
        <w:spacing w:after="240"/>
        <w:rPr>
          <w:rFonts w:eastAsia="Calibri"/>
          <w:b/>
          <w:bCs/>
          <w:szCs w:val="22"/>
          <w:lang w:eastAsia="en-US"/>
        </w:rPr>
      </w:pPr>
      <w:r w:rsidRPr="00B4147C">
        <w:rPr>
          <w:b/>
          <w:snapToGrid w:val="0"/>
          <w:szCs w:val="24"/>
        </w:rPr>
        <w:t>Stajalište Europskog parlamenta usvojeno u prvom čitanju 2</w:t>
      </w:r>
      <w:r>
        <w:rPr>
          <w:b/>
          <w:snapToGrid w:val="0"/>
          <w:szCs w:val="24"/>
        </w:rPr>
        <w:t>5</w:t>
      </w:r>
      <w:r w:rsidRPr="00B4147C">
        <w:rPr>
          <w:b/>
          <w:snapToGrid w:val="0"/>
          <w:szCs w:val="24"/>
        </w:rPr>
        <w:t xml:space="preserve">. studenoga 2025. radi donošenja Uredbe (EU) 2025/... Europskog parlamenta i Vijeća </w:t>
      </w:r>
      <w:r w:rsidRPr="00B4147C">
        <w:rPr>
          <w:rFonts w:eastAsia="Calibri"/>
          <w:b/>
          <w:szCs w:val="22"/>
          <w:lang w:eastAsia="en-US"/>
        </w:rPr>
        <w:t>o uspostavi Programa za europsku obrambenu industriju i okvira mjera za osiguravanje pravodobne dostupnosti obrambenih proizvoda i opskrbe njima („</w:t>
      </w:r>
      <w:r w:rsidRPr="007F6250">
        <w:rPr>
          <w:rFonts w:eastAsia="Calibri"/>
          <w:b/>
          <w:iCs/>
          <w:szCs w:val="22"/>
          <w:lang w:eastAsia="en-US"/>
        </w:rPr>
        <w:t xml:space="preserve">Uredba </w:t>
      </w:r>
      <w:r w:rsidRPr="00B4147C">
        <w:rPr>
          <w:rFonts w:eastAsia="Calibri"/>
          <w:b/>
          <w:szCs w:val="22"/>
          <w:lang w:eastAsia="en-US"/>
        </w:rPr>
        <w:t>EDIP”)</w:t>
      </w:r>
    </w:p>
    <w:p w14:paraId="7CC7A053" w14:textId="26B0333C" w:rsidR="00460664" w:rsidRDefault="007F6250" w:rsidP="007F6250">
      <w:pPr>
        <w:widowControl/>
        <w:spacing w:before="120" w:after="120"/>
        <w:rPr>
          <w:rFonts w:eastAsia="Calibri"/>
          <w:i/>
          <w:szCs w:val="24"/>
          <w:lang w:eastAsia="en-US"/>
        </w:rPr>
      </w:pPr>
      <w:r w:rsidRPr="007B561F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7B561F">
        <w:rPr>
          <w:rFonts w:eastAsia="Calibri"/>
          <w:i/>
          <w:szCs w:val="24"/>
          <w:lang w:eastAsia="en-US"/>
        </w:rPr>
        <w:t>(EU</w:t>
      </w:r>
      <w:r>
        <w:rPr>
          <w:rFonts w:eastAsia="Calibri"/>
          <w:i/>
          <w:szCs w:val="24"/>
          <w:lang w:eastAsia="en-US"/>
        </w:rPr>
        <w:t xml:space="preserve">) </w:t>
      </w:r>
      <w:r w:rsidRPr="007F6250">
        <w:rPr>
          <w:rFonts w:eastAsia="Calibri"/>
          <w:i/>
          <w:szCs w:val="24"/>
          <w:lang w:eastAsia="en-US"/>
        </w:rPr>
        <w:t>2025/2643</w:t>
      </w:r>
      <w:r w:rsidRPr="007B561F">
        <w:rPr>
          <w:rFonts w:eastAsia="Calibri"/>
          <w:i/>
          <w:szCs w:val="24"/>
          <w:lang w:eastAsia="en-US"/>
        </w:rPr>
        <w:t xml:space="preserve">) </w:t>
      </w:r>
    </w:p>
    <w:p w14:paraId="34FC3996" w14:textId="77777777" w:rsidR="007F6250" w:rsidRDefault="007F6250" w:rsidP="00B4147C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</w:p>
    <w:p w14:paraId="73532E0F" w14:textId="77777777" w:rsidR="007F6250" w:rsidRDefault="007F6250" w:rsidP="00B4147C">
      <w:pPr>
        <w:widowControl/>
        <w:spacing w:before="120" w:after="120" w:line="360" w:lineRule="auto"/>
        <w:rPr>
          <w:rFonts w:eastAsia="Calibri"/>
          <w:szCs w:val="22"/>
          <w:lang w:eastAsia="en-US"/>
        </w:rPr>
        <w:sectPr w:rsidR="007F6250" w:rsidSect="000C65A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801489B" w14:textId="649C47D3" w:rsidR="00460664" w:rsidRPr="00BD5433" w:rsidRDefault="00460664" w:rsidP="00460664">
      <w:pPr>
        <w:widowControl/>
        <w:spacing w:before="120" w:after="120" w:line="360" w:lineRule="auto"/>
        <w:jc w:val="right"/>
        <w:rPr>
          <w:rFonts w:eastAsia="Calibri"/>
          <w:bCs/>
          <w:szCs w:val="22"/>
          <w:lang w:eastAsia="hr-HR" w:bidi="hr-HR"/>
        </w:rPr>
      </w:pPr>
      <w:r w:rsidRPr="00BD5433">
        <w:rPr>
          <w:rFonts w:eastAsia="Calibri"/>
          <w:bCs/>
          <w:szCs w:val="22"/>
          <w:lang w:eastAsia="hr-HR" w:bidi="hr-HR"/>
        </w:rPr>
        <w:lastRenderedPageBreak/>
        <w:t>PRILOG ZAKONODAVNOJ REZOLUCIJI</w:t>
      </w:r>
    </w:p>
    <w:p w14:paraId="044B11D1" w14:textId="77777777" w:rsidR="00460664" w:rsidRPr="00460664" w:rsidRDefault="00460664" w:rsidP="00460664">
      <w:pPr>
        <w:widowControl/>
        <w:spacing w:before="120" w:after="120" w:line="360" w:lineRule="auto"/>
        <w:rPr>
          <w:iCs/>
          <w:szCs w:val="22"/>
          <w:lang w:eastAsia="hr-HR" w:bidi="hr-HR"/>
        </w:rPr>
      </w:pPr>
      <w:r w:rsidRPr="00460664">
        <w:rPr>
          <w:rFonts w:eastAsia="Calibri"/>
          <w:b/>
          <w:szCs w:val="22"/>
          <w:lang w:eastAsia="hr-HR" w:bidi="hr-HR"/>
        </w:rPr>
        <w:t>Zajednička izjava Europskog parlamenta i Vijeća o financiranju Programa za europsku obrambenu industriju (EDIP) i Instrumenta za potporu Ukrajini na temelju Uredbe o EDIP-u</w:t>
      </w:r>
      <w:r w:rsidRPr="00460664">
        <w:rPr>
          <w:szCs w:val="22"/>
          <w:vertAlign w:val="superscript"/>
          <w:lang w:eastAsia="hr-HR" w:bidi="hr-HR"/>
        </w:rPr>
        <w:footnoteReference w:customMarkFollows="1" w:id="4"/>
        <w:t>+</w:t>
      </w:r>
    </w:p>
    <w:p w14:paraId="4EF7388C" w14:textId="77777777" w:rsidR="00460664" w:rsidRPr="00460664" w:rsidRDefault="00460664" w:rsidP="00460664">
      <w:pPr>
        <w:widowControl/>
        <w:spacing w:before="120" w:after="120" w:line="360" w:lineRule="auto"/>
        <w:rPr>
          <w:color w:val="000000"/>
          <w:szCs w:val="22"/>
          <w:lang w:eastAsia="hr-HR" w:bidi="hr-HR"/>
        </w:rPr>
      </w:pPr>
      <w:r w:rsidRPr="00460664">
        <w:rPr>
          <w:rFonts w:eastAsia="Calibri"/>
          <w:color w:val="000000"/>
          <w:szCs w:val="22"/>
          <w:lang w:eastAsia="hr-HR" w:bidi="hr-HR"/>
        </w:rPr>
        <w:t>Europski parlament i Vijeće potvrđuju da je prijeko potrebno poduprijeti europsku obrambenu tehnološku i industrijsku bazu te ukrajinsku obrambenu tehnološku i industrijsku bazu kako bi se povećala njihova konkurentnost ubrzavanjem prilagodbe industrije strukturnim promjenama, među ostalim povećanjem proizvodnih kapaciteta i suradnje u nabavi obrambenih proizvoda, osobito s obzirom na izazove uzrokovane nezakonitim, ničim izazvanim i neopravdanim agresivnim ratom Rusije protiv Ukrajine.</w:t>
      </w:r>
    </w:p>
    <w:p w14:paraId="7D41207B" w14:textId="77777777" w:rsidR="00460664" w:rsidRPr="00460664" w:rsidRDefault="00460664" w:rsidP="00460664">
      <w:pPr>
        <w:widowControl/>
        <w:spacing w:before="120" w:after="120" w:line="360" w:lineRule="auto"/>
        <w:rPr>
          <w:color w:val="000000"/>
          <w:szCs w:val="22"/>
          <w:lang w:eastAsia="hr-HR" w:bidi="hr-HR"/>
        </w:rPr>
      </w:pPr>
      <w:r w:rsidRPr="00460664">
        <w:rPr>
          <w:rFonts w:eastAsia="Calibri"/>
          <w:color w:val="000000"/>
          <w:szCs w:val="22"/>
          <w:lang w:eastAsia="hr-HR" w:bidi="hr-HR"/>
        </w:rPr>
        <w:t xml:space="preserve">Ne dovodeći u pitanje ovlasti proračunskog tijela u okviru budućih godišnjih proračunskih postupaka, Europski parlament i Vijeće pozivaju Komisiju da hitno istraži mogućnosti za povećanje proračuna Programa za europsku obrambenu industriju i Instrumenta za potporu Ukrajini u skladu s točkom 18. </w:t>
      </w:r>
      <w:proofErr w:type="spellStart"/>
      <w:r w:rsidRPr="00460664">
        <w:rPr>
          <w:rFonts w:eastAsia="Calibri"/>
          <w:color w:val="000000"/>
          <w:szCs w:val="22"/>
          <w:lang w:eastAsia="hr-HR" w:bidi="hr-HR"/>
        </w:rPr>
        <w:t>Međuinstitucijskog</w:t>
      </w:r>
      <w:proofErr w:type="spellEnd"/>
      <w:r w:rsidRPr="00460664">
        <w:rPr>
          <w:rFonts w:eastAsia="Calibri"/>
          <w:color w:val="000000"/>
          <w:szCs w:val="22"/>
          <w:lang w:eastAsia="hr-HR" w:bidi="hr-HR"/>
        </w:rPr>
        <w:t xml:space="preserve"> sporazuma o proračunskoj disciplini bez smanjenja sličnih programa i fondova EU-a, uzimajući pritom u obzir prethodne političke obveze proračunskog tijela, među ostalim za pokrivanje troškova kamata EURI-ja.</w:t>
      </w:r>
    </w:p>
    <w:p w14:paraId="729516C5" w14:textId="7D21BA25" w:rsidR="00B63860" w:rsidRDefault="00B63860" w:rsidP="00B4147C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br w:type="page"/>
      </w:r>
    </w:p>
    <w:p w14:paraId="1255097F" w14:textId="77777777" w:rsidR="00460664" w:rsidRPr="00460664" w:rsidRDefault="00460664" w:rsidP="00460664">
      <w:pPr>
        <w:widowControl/>
        <w:spacing w:before="120" w:after="120" w:line="360" w:lineRule="auto"/>
        <w:rPr>
          <w:iCs/>
          <w:szCs w:val="22"/>
          <w:lang w:eastAsia="hr-HR" w:bidi="hr-HR"/>
        </w:rPr>
      </w:pPr>
      <w:r w:rsidRPr="00460664">
        <w:rPr>
          <w:rFonts w:eastAsia="Calibri"/>
          <w:b/>
          <w:szCs w:val="22"/>
          <w:lang w:eastAsia="hr-HR" w:bidi="hr-HR"/>
        </w:rPr>
        <w:lastRenderedPageBreak/>
        <w:t>Zajednička izjava Europskog parlamenta, Vijeća i Komisije o financijskim doprinosima trećih zemalja za njihovo sudjelovanje u instrumentu SAFE kao dodatnim financijskim sredstvima za Program za europsku obrambenu industriju (EDIP) i Instrument za potporu Ukrajini (USI) na temelju Uredbe o EDIP-u</w:t>
      </w:r>
      <w:r w:rsidRPr="00460664">
        <w:rPr>
          <w:szCs w:val="22"/>
          <w:vertAlign w:val="superscript"/>
          <w:lang w:eastAsia="hr-HR" w:bidi="hr-HR"/>
        </w:rPr>
        <w:footnoteReference w:customMarkFollows="1" w:id="5"/>
        <w:t>+</w:t>
      </w:r>
    </w:p>
    <w:p w14:paraId="0FD90D12" w14:textId="77777777" w:rsidR="00460664" w:rsidRPr="00460664" w:rsidRDefault="00460664" w:rsidP="00460664">
      <w:pPr>
        <w:widowControl/>
        <w:spacing w:before="120" w:after="120" w:line="360" w:lineRule="auto"/>
        <w:rPr>
          <w:color w:val="000000"/>
          <w:szCs w:val="24"/>
          <w:lang w:eastAsia="hr-HR" w:bidi="hr-HR"/>
        </w:rPr>
      </w:pPr>
      <w:r w:rsidRPr="00460664">
        <w:rPr>
          <w:rFonts w:eastAsia="Calibri"/>
          <w:color w:val="000000"/>
          <w:szCs w:val="22"/>
          <w:lang w:eastAsia="hr-HR" w:bidi="hr-HR"/>
        </w:rPr>
        <w:t>Europski parlament i Vijeće potvrđuju da je prijeko potrebno poduprijeti europsku obrambenu tehnološku i industrijsku bazu te ukrajinsku obrambenu tehnološku i industrijsku bazu kako bi se povećala njihova konkurentnost ubrzavanjem prilagodbe industrije strukturnim promjenama, među ostalim povećanjem proizvodnih kapaciteta i suradnje u nabavi obrambenih proizvoda, osobito s obzirom na izazove uzrokovane nezakonitim, ničim izazvanim i neopravdanim agresivnim ratom Rusije protiv Ukrajine.</w:t>
      </w:r>
    </w:p>
    <w:p w14:paraId="14D72B4E" w14:textId="77777777" w:rsidR="00460664" w:rsidRPr="00460664" w:rsidRDefault="00460664" w:rsidP="00460664">
      <w:pPr>
        <w:widowControl/>
        <w:spacing w:before="120" w:after="120" w:line="360" w:lineRule="auto"/>
        <w:rPr>
          <w:szCs w:val="24"/>
          <w:lang w:eastAsia="hr-HR" w:bidi="hr-HR"/>
        </w:rPr>
      </w:pPr>
      <w:r w:rsidRPr="00460664">
        <w:rPr>
          <w:rFonts w:eastAsia="Calibri"/>
          <w:szCs w:val="22"/>
          <w:lang w:eastAsia="hr-HR" w:bidi="hr-HR"/>
        </w:rPr>
        <w:t>U skladu s člankom 17. stavkom 4. Uredbe o SAFE-u financijski doprinosi koje treće zemlje moraju osigurati za svoje sudjelovanje u instrumentu SAFE upotrebljavaju se za programe za potporu obrambenoj industriji Unije, ukrajinskoj obrambenoj industriji i Ukrajini u skladu s pravilima tih programa. Europski parlament, Vijeće i Komisija slažu se da bi se takvi doprinosi trebali upotrebljavati za jačanje EDIP-a, uključujući Instrument za potporu Ukrajini.</w:t>
      </w:r>
    </w:p>
    <w:p w14:paraId="67B64AEC" w14:textId="77777777" w:rsidR="00B63860" w:rsidRDefault="00B63860" w:rsidP="00460664">
      <w:pPr>
        <w:widowControl/>
        <w:spacing w:before="120" w:after="120" w:line="360" w:lineRule="auto"/>
        <w:rPr>
          <w:rFonts w:eastAsia="Calibri"/>
          <w:b/>
          <w:szCs w:val="22"/>
          <w:lang w:eastAsia="hr-HR" w:bidi="hr-HR"/>
        </w:rPr>
      </w:pPr>
      <w:r>
        <w:rPr>
          <w:rFonts w:eastAsia="Calibri"/>
          <w:b/>
          <w:szCs w:val="22"/>
          <w:lang w:eastAsia="hr-HR" w:bidi="hr-HR"/>
        </w:rPr>
        <w:br w:type="page"/>
      </w:r>
    </w:p>
    <w:p w14:paraId="3A03AB1F" w14:textId="286938D7" w:rsidR="00460664" w:rsidRPr="00460664" w:rsidRDefault="00460664" w:rsidP="00460664">
      <w:pPr>
        <w:widowControl/>
        <w:spacing w:before="120" w:after="120" w:line="360" w:lineRule="auto"/>
        <w:rPr>
          <w:iCs/>
          <w:szCs w:val="22"/>
          <w:lang w:eastAsia="hr-HR" w:bidi="hr-HR"/>
        </w:rPr>
      </w:pPr>
      <w:r w:rsidRPr="00460664">
        <w:rPr>
          <w:rFonts w:eastAsia="Calibri"/>
          <w:b/>
          <w:szCs w:val="22"/>
          <w:lang w:eastAsia="hr-HR" w:bidi="hr-HR"/>
        </w:rPr>
        <w:lastRenderedPageBreak/>
        <w:t>Zajednička izjava Europskog parlamenta, Vijeća i Komisije o dodatnim financijskim sredstvima za Uredbu o EDIP-u</w:t>
      </w:r>
      <w:r w:rsidRPr="00460664">
        <w:rPr>
          <w:szCs w:val="22"/>
          <w:vertAlign w:val="superscript"/>
          <w:lang w:eastAsia="hr-HR" w:bidi="hr-HR"/>
        </w:rPr>
        <w:footnoteReference w:customMarkFollows="1" w:id="6"/>
        <w:t>+</w:t>
      </w:r>
    </w:p>
    <w:p w14:paraId="5EE4EE72" w14:textId="77777777" w:rsidR="00460664" w:rsidRPr="00460664" w:rsidRDefault="00460664" w:rsidP="00460664">
      <w:pPr>
        <w:widowControl/>
        <w:spacing w:before="120" w:after="120" w:line="360" w:lineRule="auto"/>
        <w:rPr>
          <w:szCs w:val="22"/>
          <w:lang w:eastAsia="hr-HR" w:bidi="hr-HR"/>
        </w:rPr>
      </w:pPr>
      <w:r w:rsidRPr="00460664">
        <w:rPr>
          <w:rFonts w:eastAsia="Calibri"/>
          <w:szCs w:val="22"/>
          <w:lang w:eastAsia="hr-HR" w:bidi="hr-HR"/>
        </w:rPr>
        <w:t>Europski parlament, Vijeće i Komisija slažu se da bi se u sklopu Uredbe o EDIP-u trebalo raspolagati dodatnim financijskim sredstvima.</w:t>
      </w:r>
    </w:p>
    <w:p w14:paraId="0F9C73F1" w14:textId="77777777" w:rsidR="00460664" w:rsidRPr="00460664" w:rsidRDefault="00460664" w:rsidP="00460664">
      <w:pPr>
        <w:widowControl/>
        <w:spacing w:before="120" w:after="120" w:line="360" w:lineRule="auto"/>
        <w:rPr>
          <w:szCs w:val="22"/>
          <w:lang w:eastAsia="hr-HR" w:bidi="hr-HR"/>
        </w:rPr>
      </w:pPr>
      <w:r w:rsidRPr="00460664">
        <w:rPr>
          <w:rFonts w:eastAsia="Calibri"/>
          <w:szCs w:val="22"/>
          <w:lang w:eastAsia="hr-HR" w:bidi="hr-HR"/>
        </w:rPr>
        <w:t>U tu se svrhu Uredbom o EDIP-u posebno predviđa mogućnost dodatnih financijskih doprinosa država članica, institucija, tijela i agencija Unije, trećih zemalja, međunarodnih organizacija, međunarodnih financijskih institucija ili ostalih trećih strana te se u tom pogledu izričito upućuje na Fond za ubrzavanje transformacije obrambenih lanaca opskrbe (FAST).</w:t>
      </w:r>
    </w:p>
    <w:p w14:paraId="0018A6F1" w14:textId="580F2627" w:rsidR="00460664" w:rsidRPr="00460664" w:rsidRDefault="00460664" w:rsidP="00460664">
      <w:pPr>
        <w:widowControl/>
        <w:spacing w:before="120" w:after="120" w:line="360" w:lineRule="auto"/>
        <w:rPr>
          <w:szCs w:val="22"/>
          <w:lang w:eastAsia="hr-HR" w:bidi="hr-HR"/>
        </w:rPr>
      </w:pPr>
      <w:r w:rsidRPr="00460664">
        <w:rPr>
          <w:rFonts w:eastAsia="Calibri"/>
          <w:szCs w:val="22"/>
          <w:lang w:eastAsia="hr-HR" w:bidi="hr-HR"/>
        </w:rPr>
        <w:t>S obzirom na to i na ključnu ulogu FAST-a u jačanju obrambenih proizvodnih kapaciteta MSP-ova i malih poduzeća srednje tržišne kapitalizacije kojima su posebno potrebna ulaganja, takvi dodatni doprinosi trebali bi se prioritetno dodijeliti FAST-u te bi se njima trebali dopuniti iznosi dodijeljeni iz omotnice od 1200 milijuna EUR iz članka </w:t>
      </w:r>
      <w:r w:rsidR="00235112">
        <w:rPr>
          <w:rFonts w:eastAsia="Calibri"/>
          <w:szCs w:val="22"/>
          <w:lang w:eastAsia="hr-HR" w:bidi="hr-HR"/>
        </w:rPr>
        <w:t>3</w:t>
      </w:r>
      <w:r w:rsidRPr="00460664">
        <w:rPr>
          <w:rFonts w:eastAsia="Calibri"/>
          <w:szCs w:val="22"/>
          <w:lang w:eastAsia="hr-HR" w:bidi="hr-HR"/>
        </w:rPr>
        <w:t>. stavka 1., s ciljem da ukupni okvirni iznos za taj fond u okviru Programa dosegne najmanje 150 milijuna EUR, uz poštovanje ovlasti proračunskog tijela.</w:t>
      </w:r>
    </w:p>
    <w:p w14:paraId="5C9774B5" w14:textId="77777777" w:rsidR="00B4147C" w:rsidRPr="00B4147C" w:rsidRDefault="00B4147C" w:rsidP="00B4147C">
      <w:pPr>
        <w:widowControl/>
        <w:spacing w:after="160" w:line="259" w:lineRule="auto"/>
        <w:rPr>
          <w:rFonts w:eastAsia="Calibri"/>
          <w:szCs w:val="22"/>
          <w:lang w:eastAsia="en-US"/>
        </w:rPr>
      </w:pPr>
    </w:p>
    <w:p w14:paraId="288B1F56" w14:textId="1B1F34ED" w:rsidR="00E365E1" w:rsidRPr="000C65AC" w:rsidRDefault="00E365E1" w:rsidP="00BB7E58"/>
    <w:sectPr w:rsidR="00E365E1" w:rsidRPr="000C65AC" w:rsidSect="000C65A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258D0" w14:textId="77777777" w:rsidR="00BB7E58" w:rsidRPr="000C65AC" w:rsidRDefault="00BB7E58">
      <w:r w:rsidRPr="000C65AC">
        <w:separator/>
      </w:r>
    </w:p>
  </w:endnote>
  <w:endnote w:type="continuationSeparator" w:id="0">
    <w:p w14:paraId="4DC40E28" w14:textId="77777777" w:rsidR="00BB7E58" w:rsidRPr="000C65AC" w:rsidRDefault="00BB7E58">
      <w:r w:rsidRPr="000C65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11122" w14:textId="77777777" w:rsidR="00064002" w:rsidRPr="000C65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29607" w14:textId="77777777" w:rsidR="00064002" w:rsidRPr="000C65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9D8FA" w14:textId="77777777" w:rsidR="00064002" w:rsidRPr="000C65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535A4" w14:textId="77777777" w:rsidR="00BB7E58" w:rsidRPr="000C65AC" w:rsidRDefault="00BB7E58">
      <w:r w:rsidRPr="000C65AC">
        <w:separator/>
      </w:r>
    </w:p>
  </w:footnote>
  <w:footnote w:type="continuationSeparator" w:id="0">
    <w:p w14:paraId="0AFCA6CA" w14:textId="77777777" w:rsidR="00BB7E58" w:rsidRPr="000C65AC" w:rsidRDefault="00BB7E58">
      <w:r w:rsidRPr="000C65AC">
        <w:continuationSeparator/>
      </w:r>
    </w:p>
  </w:footnote>
  <w:footnote w:id="1">
    <w:p w14:paraId="36114885" w14:textId="5828D011" w:rsidR="00985CEC" w:rsidRPr="00AE3913" w:rsidRDefault="00985CEC" w:rsidP="00CF73F8">
      <w:pPr>
        <w:pStyle w:val="FootnoteText"/>
        <w:ind w:left="567" w:hanging="567"/>
        <w:rPr>
          <w:sz w:val="24"/>
          <w:szCs w:val="24"/>
          <w:lang w:val="hr-HR"/>
        </w:rPr>
      </w:pPr>
      <w:r w:rsidRPr="00AE3913">
        <w:rPr>
          <w:rStyle w:val="FootnoteReference"/>
          <w:sz w:val="24"/>
          <w:szCs w:val="24"/>
          <w:lang w:val="hr-HR"/>
        </w:rPr>
        <w:footnoteRef/>
      </w:r>
      <w:r w:rsidR="000C65AC" w:rsidRPr="00AE3913">
        <w:rPr>
          <w:sz w:val="24"/>
          <w:szCs w:val="24"/>
          <w:lang w:val="hr-HR"/>
        </w:rPr>
        <w:t xml:space="preserve"> </w:t>
      </w:r>
      <w:r w:rsidR="000C65AC" w:rsidRPr="00AE3913">
        <w:rPr>
          <w:sz w:val="24"/>
          <w:szCs w:val="24"/>
          <w:lang w:val="hr-HR"/>
        </w:rPr>
        <w:tab/>
      </w:r>
      <w:r w:rsidRPr="00AE3913">
        <w:rPr>
          <w:sz w:val="24"/>
          <w:szCs w:val="24"/>
          <w:lang w:val="hr-HR"/>
        </w:rPr>
        <w:t>SL C</w:t>
      </w:r>
      <w:r w:rsidR="00F72BF6" w:rsidRPr="00AE3913">
        <w:rPr>
          <w:sz w:val="24"/>
          <w:szCs w:val="24"/>
          <w:lang w:val="hr-HR"/>
        </w:rPr>
        <w:t>,</w:t>
      </w:r>
      <w:r w:rsidRPr="00AE3913">
        <w:rPr>
          <w:sz w:val="24"/>
          <w:szCs w:val="24"/>
          <w:lang w:val="hr-HR"/>
        </w:rPr>
        <w:t xml:space="preserve"> </w:t>
      </w:r>
      <w:r w:rsidR="00F72BF6" w:rsidRPr="00AE3913">
        <w:rPr>
          <w:sz w:val="24"/>
          <w:szCs w:val="24"/>
          <w:lang w:val="hr-HR"/>
        </w:rPr>
        <w:t>C/2025/805,</w:t>
      </w:r>
      <w:r w:rsidRPr="00AE3913">
        <w:rPr>
          <w:sz w:val="24"/>
          <w:szCs w:val="24"/>
          <w:lang w:val="hr-HR"/>
        </w:rPr>
        <w:t xml:space="preserve"> 31.1.2025., ELI: </w:t>
      </w:r>
      <w:hyperlink r:id="rId1" w:history="1">
        <w:r w:rsidRPr="00AE3913">
          <w:rPr>
            <w:rStyle w:val="Hyperlink"/>
            <w:sz w:val="24"/>
            <w:szCs w:val="24"/>
            <w:lang w:val="hr-HR"/>
          </w:rPr>
          <w:t>http://dat</w:t>
        </w:r>
        <w:r w:rsidRPr="00AE3913">
          <w:rPr>
            <w:rStyle w:val="Hyperlink"/>
            <w:sz w:val="24"/>
            <w:szCs w:val="24"/>
            <w:lang w:val="hr-HR"/>
          </w:rPr>
          <w:t>a</w:t>
        </w:r>
        <w:r w:rsidRPr="00AE3913">
          <w:rPr>
            <w:rStyle w:val="Hyperlink"/>
            <w:sz w:val="24"/>
            <w:szCs w:val="24"/>
            <w:lang w:val="hr-HR"/>
          </w:rPr>
          <w:t>.europa.eu/eli/C/2025/805/oj</w:t>
        </w:r>
      </w:hyperlink>
      <w:r w:rsidRPr="00AE3913">
        <w:rPr>
          <w:sz w:val="24"/>
          <w:szCs w:val="24"/>
          <w:lang w:val="hr-HR"/>
        </w:rPr>
        <w:t>.</w:t>
      </w:r>
    </w:p>
  </w:footnote>
  <w:footnote w:id="2">
    <w:p w14:paraId="5017D807" w14:textId="30C30959" w:rsidR="00985CEC" w:rsidRPr="00AE3913" w:rsidRDefault="00985CEC" w:rsidP="00CF73F8">
      <w:pPr>
        <w:pStyle w:val="FootnoteText"/>
        <w:ind w:left="567" w:hanging="567"/>
        <w:rPr>
          <w:sz w:val="24"/>
          <w:szCs w:val="24"/>
          <w:lang w:val="hr-HR"/>
        </w:rPr>
      </w:pPr>
      <w:r w:rsidRPr="00AE3913">
        <w:rPr>
          <w:rStyle w:val="FootnoteReference"/>
          <w:sz w:val="24"/>
          <w:szCs w:val="24"/>
          <w:lang w:val="hr-HR"/>
        </w:rPr>
        <w:footnoteRef/>
      </w:r>
      <w:r w:rsidR="000C65AC" w:rsidRPr="00AE3913">
        <w:rPr>
          <w:sz w:val="24"/>
          <w:szCs w:val="24"/>
          <w:lang w:val="hr-HR"/>
        </w:rPr>
        <w:t xml:space="preserve"> </w:t>
      </w:r>
      <w:r w:rsidR="000C65AC" w:rsidRPr="00AE3913">
        <w:rPr>
          <w:sz w:val="24"/>
          <w:szCs w:val="24"/>
          <w:lang w:val="hr-HR"/>
        </w:rPr>
        <w:tab/>
      </w:r>
      <w:r w:rsidR="00BB7070" w:rsidRPr="00AE3913">
        <w:rPr>
          <w:sz w:val="24"/>
          <w:szCs w:val="24"/>
          <w:lang w:val="hr-HR"/>
        </w:rPr>
        <w:t xml:space="preserve">SL C, C/2024/4662, 9.8.2024., ELI: </w:t>
      </w:r>
      <w:hyperlink r:id="rId2" w:history="1">
        <w:r w:rsidR="00BB7070" w:rsidRPr="00AE3913">
          <w:rPr>
            <w:rStyle w:val="Hyperlink"/>
            <w:sz w:val="24"/>
            <w:szCs w:val="24"/>
            <w:lang w:val="hr-HR"/>
          </w:rPr>
          <w:t>http://data.europa.eu/eli/C/2024/4662/oj</w:t>
        </w:r>
      </w:hyperlink>
      <w:r w:rsidRPr="00AE3913">
        <w:rPr>
          <w:sz w:val="24"/>
          <w:szCs w:val="24"/>
          <w:lang w:val="hr-HR"/>
        </w:rPr>
        <w:t>.</w:t>
      </w:r>
    </w:p>
  </w:footnote>
  <w:footnote w:id="3">
    <w:p w14:paraId="3DC769D9" w14:textId="527B61CE" w:rsidR="00985CEC" w:rsidRPr="00AE3913" w:rsidRDefault="00985CEC" w:rsidP="00CF73F8">
      <w:pPr>
        <w:pStyle w:val="FootnoteText"/>
        <w:ind w:left="567" w:hanging="567"/>
        <w:rPr>
          <w:sz w:val="24"/>
          <w:szCs w:val="24"/>
          <w:lang w:val="hr-HR"/>
        </w:rPr>
      </w:pPr>
      <w:r w:rsidRPr="00AE3913">
        <w:rPr>
          <w:rStyle w:val="FootnoteReference"/>
          <w:sz w:val="24"/>
          <w:szCs w:val="24"/>
          <w:lang w:val="hr-HR"/>
        </w:rPr>
        <w:footnoteRef/>
      </w:r>
      <w:r w:rsidR="000C65AC" w:rsidRPr="00AE3913">
        <w:rPr>
          <w:sz w:val="24"/>
          <w:szCs w:val="24"/>
          <w:lang w:val="hr-HR"/>
        </w:rPr>
        <w:t xml:space="preserve"> </w:t>
      </w:r>
      <w:r w:rsidR="000C65AC" w:rsidRPr="00AE3913">
        <w:rPr>
          <w:sz w:val="24"/>
          <w:szCs w:val="24"/>
          <w:lang w:val="hr-HR"/>
        </w:rPr>
        <w:tab/>
      </w:r>
      <w:r w:rsidR="00B4147C" w:rsidRPr="00AE3913">
        <w:rPr>
          <w:sz w:val="24"/>
          <w:szCs w:val="24"/>
          <w:lang w:val="hr-HR"/>
        </w:rPr>
        <w:t xml:space="preserve">SL C, C/2025/1705, 26.3.2025., ELI: </w:t>
      </w:r>
      <w:hyperlink r:id="rId3" w:history="1">
        <w:r w:rsidR="00B4147C" w:rsidRPr="00AE3913">
          <w:rPr>
            <w:rStyle w:val="Hyperlink"/>
            <w:sz w:val="24"/>
            <w:szCs w:val="24"/>
            <w:lang w:val="hr-HR"/>
          </w:rPr>
          <w:t>http://data.europa.eu/eli/C/2025/1705/oj</w:t>
        </w:r>
      </w:hyperlink>
      <w:r w:rsidRPr="00AE3913">
        <w:rPr>
          <w:sz w:val="24"/>
          <w:szCs w:val="24"/>
          <w:lang w:val="hr-HR"/>
        </w:rPr>
        <w:t>.</w:t>
      </w:r>
    </w:p>
  </w:footnote>
  <w:footnote w:id="4">
    <w:p w14:paraId="468815C7" w14:textId="4FD98C8B" w:rsidR="00460664" w:rsidRPr="00AE3913" w:rsidRDefault="00460664" w:rsidP="00CF73F8">
      <w:pPr>
        <w:pStyle w:val="FootnoteText"/>
        <w:ind w:left="851" w:hanging="851"/>
        <w:rPr>
          <w:sz w:val="24"/>
          <w:szCs w:val="24"/>
          <w:lang w:val="hr-HR"/>
        </w:rPr>
      </w:pPr>
      <w:r w:rsidRPr="00AE3913">
        <w:rPr>
          <w:rStyle w:val="FootnoteReference"/>
          <w:lang w:val="hr-HR"/>
        </w:rPr>
        <w:t>+</w:t>
      </w:r>
      <w:r w:rsidRPr="00AE3913">
        <w:rPr>
          <w:lang w:val="hr-HR"/>
        </w:rPr>
        <w:tab/>
      </w:r>
      <w:r w:rsidR="00235112" w:rsidRPr="00235112">
        <w:rPr>
          <w:sz w:val="24"/>
          <w:szCs w:val="24"/>
          <w:lang w:val="hr-HR"/>
        </w:rPr>
        <w:t>SL</w:t>
      </w:r>
      <w:r w:rsidR="00235112" w:rsidRPr="00235112">
        <w:rPr>
          <w:sz w:val="24"/>
          <w:szCs w:val="24"/>
          <w:lang w:val="hr-HR" w:eastAsia="en-GB"/>
        </w:rPr>
        <w:t xml:space="preserve"> L, 2025/2643, 29.12.2025</w:t>
      </w:r>
      <w:r w:rsidR="00235112">
        <w:rPr>
          <w:sz w:val="24"/>
          <w:szCs w:val="24"/>
          <w:lang w:val="hr-HR" w:eastAsia="en-GB"/>
        </w:rPr>
        <w:t>.</w:t>
      </w:r>
      <w:r w:rsidR="00235112" w:rsidRPr="00235112">
        <w:rPr>
          <w:sz w:val="24"/>
          <w:szCs w:val="24"/>
          <w:lang w:val="hr-HR" w:eastAsia="en-GB"/>
        </w:rPr>
        <w:t>, ELI: </w:t>
      </w:r>
      <w:hyperlink r:id="rId4" w:tgtFrame="_blank" w:tooltip="Gives access to this document through its ELI URI." w:history="1"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http://data.euro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p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a.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e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u/eli/re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g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/2025/2643/oj</w:t>
        </w:r>
      </w:hyperlink>
      <w:r w:rsidRPr="00AE3913">
        <w:rPr>
          <w:sz w:val="24"/>
          <w:szCs w:val="24"/>
          <w:lang w:val="hr-HR"/>
        </w:rPr>
        <w:t>.</w:t>
      </w:r>
    </w:p>
  </w:footnote>
  <w:footnote w:id="5">
    <w:p w14:paraId="1DA518EB" w14:textId="585F61D7" w:rsidR="00460664" w:rsidRPr="00AE3913" w:rsidRDefault="00460664" w:rsidP="00CF73F8">
      <w:pPr>
        <w:pStyle w:val="FootnoteText"/>
        <w:ind w:left="851" w:hanging="851"/>
        <w:rPr>
          <w:sz w:val="24"/>
          <w:szCs w:val="24"/>
          <w:lang w:val="hr-HR"/>
        </w:rPr>
      </w:pPr>
      <w:r w:rsidRPr="00AE3913">
        <w:rPr>
          <w:rStyle w:val="FootnoteReference"/>
          <w:lang w:val="hr-HR"/>
        </w:rPr>
        <w:t>+</w:t>
      </w:r>
      <w:r w:rsidRPr="00AE3913">
        <w:rPr>
          <w:lang w:val="hr-HR"/>
        </w:rPr>
        <w:tab/>
      </w:r>
      <w:r w:rsidR="00235112" w:rsidRPr="00235112">
        <w:rPr>
          <w:sz w:val="24"/>
          <w:szCs w:val="24"/>
          <w:lang w:val="hr-HR"/>
        </w:rPr>
        <w:t>SL</w:t>
      </w:r>
      <w:r w:rsidR="00235112" w:rsidRPr="00235112">
        <w:rPr>
          <w:sz w:val="24"/>
          <w:szCs w:val="24"/>
          <w:lang w:val="hr-HR" w:eastAsia="en-GB"/>
        </w:rPr>
        <w:t xml:space="preserve"> L, 2025/2643, 29.12.2025</w:t>
      </w:r>
      <w:r w:rsidR="00235112">
        <w:rPr>
          <w:sz w:val="24"/>
          <w:szCs w:val="24"/>
          <w:lang w:val="hr-HR" w:eastAsia="en-GB"/>
        </w:rPr>
        <w:t>.</w:t>
      </w:r>
      <w:r w:rsidR="00235112" w:rsidRPr="00235112">
        <w:rPr>
          <w:sz w:val="24"/>
          <w:szCs w:val="24"/>
          <w:lang w:val="hr-HR" w:eastAsia="en-GB"/>
        </w:rPr>
        <w:t>, ELI: </w:t>
      </w:r>
      <w:hyperlink r:id="rId5" w:tgtFrame="_blank" w:tooltip="Gives access to this document through its ELI URI." w:history="1"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http://data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.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europa.eu/eli/reg/2025/2643/oj</w:t>
        </w:r>
      </w:hyperlink>
      <w:r w:rsidRPr="00AE3913">
        <w:rPr>
          <w:sz w:val="24"/>
          <w:szCs w:val="24"/>
          <w:lang w:val="hr-HR"/>
        </w:rPr>
        <w:t>.</w:t>
      </w:r>
    </w:p>
  </w:footnote>
  <w:footnote w:id="6">
    <w:p w14:paraId="4CC91C7A" w14:textId="63D5130E" w:rsidR="00460664" w:rsidRPr="00AE3913" w:rsidRDefault="00460664" w:rsidP="00CF73F8">
      <w:pPr>
        <w:pStyle w:val="FootnoteText"/>
        <w:ind w:left="851" w:hanging="851"/>
        <w:rPr>
          <w:sz w:val="24"/>
          <w:szCs w:val="24"/>
          <w:lang w:val="hr-HR"/>
        </w:rPr>
      </w:pPr>
      <w:r w:rsidRPr="00AE3913">
        <w:rPr>
          <w:rStyle w:val="FootnoteReference"/>
          <w:lang w:val="hr-HR"/>
        </w:rPr>
        <w:t>+</w:t>
      </w:r>
      <w:r w:rsidRPr="00AE3913">
        <w:rPr>
          <w:lang w:val="hr-HR"/>
        </w:rPr>
        <w:tab/>
      </w:r>
      <w:r w:rsidR="00235112" w:rsidRPr="00235112">
        <w:rPr>
          <w:sz w:val="24"/>
          <w:szCs w:val="24"/>
          <w:lang w:val="hr-HR"/>
        </w:rPr>
        <w:t>SL</w:t>
      </w:r>
      <w:r w:rsidR="00235112" w:rsidRPr="00235112">
        <w:rPr>
          <w:sz w:val="24"/>
          <w:szCs w:val="24"/>
          <w:lang w:val="hr-HR" w:eastAsia="en-GB"/>
        </w:rPr>
        <w:t xml:space="preserve"> L, 2025/2643, 29.12.2025</w:t>
      </w:r>
      <w:r w:rsidR="00235112">
        <w:rPr>
          <w:sz w:val="24"/>
          <w:szCs w:val="24"/>
          <w:lang w:val="hr-HR" w:eastAsia="en-GB"/>
        </w:rPr>
        <w:t>.</w:t>
      </w:r>
      <w:r w:rsidR="00235112" w:rsidRPr="00235112">
        <w:rPr>
          <w:sz w:val="24"/>
          <w:szCs w:val="24"/>
          <w:lang w:val="hr-HR" w:eastAsia="en-GB"/>
        </w:rPr>
        <w:t>, ELI: </w:t>
      </w:r>
      <w:hyperlink r:id="rId6" w:tgtFrame="_blank" w:tooltip="Gives access to this document through its ELI URI." w:history="1"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http://data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.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euro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p</w:t>
        </w:r>
        <w:r w:rsidR="00235112" w:rsidRPr="00235112">
          <w:rPr>
            <w:color w:val="0000FF"/>
            <w:sz w:val="24"/>
            <w:szCs w:val="24"/>
            <w:u w:val="single"/>
            <w:lang w:val="hr-HR" w:eastAsia="en-GB"/>
          </w:rPr>
          <w:t>a.eu/eli/reg/2025/2643/oj</w:t>
        </w:r>
      </w:hyperlink>
      <w:r w:rsidRPr="00AE3913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C5268" w14:textId="77777777" w:rsidR="00064002" w:rsidRPr="000C65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9A53B" w14:textId="77777777" w:rsidR="00064002" w:rsidRPr="000C65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604EC" w14:textId="77777777" w:rsidR="00064002" w:rsidRPr="000C65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0numb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1numb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959337997">
    <w:abstractNumId w:val="4"/>
  </w:num>
  <w:num w:numId="2" w16cid:durableId="340277317">
    <w:abstractNumId w:val="18"/>
  </w:num>
  <w:num w:numId="3" w16cid:durableId="1895696030">
    <w:abstractNumId w:val="1"/>
  </w:num>
  <w:num w:numId="4" w16cid:durableId="712386603">
    <w:abstractNumId w:val="35"/>
  </w:num>
  <w:num w:numId="5" w16cid:durableId="1456173818">
    <w:abstractNumId w:val="15"/>
  </w:num>
  <w:num w:numId="6" w16cid:durableId="818308657">
    <w:abstractNumId w:val="29"/>
  </w:num>
  <w:num w:numId="7" w16cid:durableId="1610818648">
    <w:abstractNumId w:val="27"/>
  </w:num>
  <w:num w:numId="8" w16cid:durableId="1894151897">
    <w:abstractNumId w:val="45"/>
  </w:num>
  <w:num w:numId="9" w16cid:durableId="182214156">
    <w:abstractNumId w:val="40"/>
  </w:num>
  <w:num w:numId="10" w16cid:durableId="649990906">
    <w:abstractNumId w:val="46"/>
  </w:num>
  <w:num w:numId="11" w16cid:durableId="1534344327">
    <w:abstractNumId w:val="48"/>
  </w:num>
  <w:num w:numId="12" w16cid:durableId="1529685359">
    <w:abstractNumId w:val="6"/>
  </w:num>
  <w:num w:numId="13" w16cid:durableId="1237088631">
    <w:abstractNumId w:val="17"/>
  </w:num>
  <w:num w:numId="14" w16cid:durableId="1451583039">
    <w:abstractNumId w:val="7"/>
  </w:num>
  <w:num w:numId="15" w16cid:durableId="85929667">
    <w:abstractNumId w:val="19"/>
  </w:num>
  <w:num w:numId="16" w16cid:durableId="894005749">
    <w:abstractNumId w:val="16"/>
  </w:num>
  <w:num w:numId="17" w16cid:durableId="2021811133">
    <w:abstractNumId w:val="30"/>
  </w:num>
  <w:num w:numId="18" w16cid:durableId="6150634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438003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2386498">
    <w:abstractNumId w:val="54"/>
    <w:lvlOverride w:ilvl="0">
      <w:startOverride w:val="1"/>
    </w:lvlOverride>
  </w:num>
  <w:num w:numId="21" w16cid:durableId="57442260">
    <w:abstractNumId w:val="38"/>
    <w:lvlOverride w:ilvl="0">
      <w:startOverride w:val="1"/>
    </w:lvlOverride>
  </w:num>
  <w:num w:numId="22" w16cid:durableId="1982923608">
    <w:abstractNumId w:val="22"/>
  </w:num>
  <w:num w:numId="23" w16cid:durableId="296836575">
    <w:abstractNumId w:val="42"/>
  </w:num>
  <w:num w:numId="24" w16cid:durableId="1660233816">
    <w:abstractNumId w:val="14"/>
  </w:num>
  <w:num w:numId="25" w16cid:durableId="1349018449">
    <w:abstractNumId w:val="23"/>
  </w:num>
  <w:num w:numId="26" w16cid:durableId="1306935562">
    <w:abstractNumId w:val="24"/>
  </w:num>
  <w:num w:numId="27" w16cid:durableId="1950315787">
    <w:abstractNumId w:val="26"/>
  </w:num>
  <w:num w:numId="28" w16cid:durableId="176044339">
    <w:abstractNumId w:val="36"/>
  </w:num>
  <w:num w:numId="29" w16cid:durableId="1446343423">
    <w:abstractNumId w:val="37"/>
  </w:num>
  <w:num w:numId="30" w16cid:durableId="1933855184">
    <w:abstractNumId w:val="13"/>
  </w:num>
  <w:num w:numId="31" w16cid:durableId="773860472">
    <w:abstractNumId w:val="31"/>
  </w:num>
  <w:num w:numId="32" w16cid:durableId="1466007105">
    <w:abstractNumId w:val="43"/>
  </w:num>
  <w:num w:numId="33" w16cid:durableId="1475875094">
    <w:abstractNumId w:val="3"/>
  </w:num>
  <w:num w:numId="34" w16cid:durableId="1816027014">
    <w:abstractNumId w:val="44"/>
  </w:num>
  <w:num w:numId="35" w16cid:durableId="1689023111">
    <w:abstractNumId w:val="39"/>
  </w:num>
  <w:num w:numId="36" w16cid:durableId="1106273980">
    <w:abstractNumId w:val="5"/>
  </w:num>
  <w:num w:numId="37" w16cid:durableId="154153400">
    <w:abstractNumId w:val="49"/>
  </w:num>
  <w:num w:numId="38" w16cid:durableId="366873316">
    <w:abstractNumId w:val="53"/>
  </w:num>
  <w:num w:numId="39" w16cid:durableId="1037966521">
    <w:abstractNumId w:val="32"/>
  </w:num>
  <w:num w:numId="40" w16cid:durableId="1971782157">
    <w:abstractNumId w:val="47"/>
  </w:num>
  <w:num w:numId="41" w16cid:durableId="2094692991">
    <w:abstractNumId w:val="41"/>
  </w:num>
  <w:num w:numId="42" w16cid:durableId="1095132390">
    <w:abstractNumId w:val="25"/>
  </w:num>
  <w:num w:numId="43" w16cid:durableId="1755589573">
    <w:abstractNumId w:val="2"/>
  </w:num>
  <w:num w:numId="44" w16cid:durableId="1059204818">
    <w:abstractNumId w:val="11"/>
  </w:num>
  <w:num w:numId="45" w16cid:durableId="1023554113">
    <w:abstractNumId w:val="8"/>
  </w:num>
  <w:num w:numId="46" w16cid:durableId="1342467967">
    <w:abstractNumId w:val="12"/>
  </w:num>
  <w:num w:numId="47" w16cid:durableId="1277717369">
    <w:abstractNumId w:val="33"/>
  </w:num>
  <w:num w:numId="48" w16cid:durableId="1186288313">
    <w:abstractNumId w:val="20"/>
  </w:num>
  <w:num w:numId="49" w16cid:durableId="525561290">
    <w:abstractNumId w:val="21"/>
  </w:num>
  <w:num w:numId="50" w16cid:durableId="50227971">
    <w:abstractNumId w:val="28"/>
  </w:num>
  <w:num w:numId="51" w16cid:durableId="1691368473">
    <w:abstractNumId w:val="0"/>
  </w:num>
  <w:num w:numId="52" w16cid:durableId="968052574">
    <w:abstractNumId w:val="34"/>
  </w:num>
  <w:num w:numId="53" w16cid:durableId="1579635249">
    <w:abstractNumId w:val="51"/>
  </w:num>
  <w:num w:numId="54" w16cid:durableId="328409989">
    <w:abstractNumId w:val="50"/>
  </w:num>
  <w:num w:numId="55" w16cid:durableId="1055085742">
    <w:abstractNumId w:val="5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4/2025"/>
    <w:docVar w:name="dvlangue" w:val="HR"/>
    <w:docVar w:name="dvnumam" w:val="311"/>
    <w:docVar w:name="dvpe" w:val="771.828"/>
    <w:docVar w:name="dvrapporteur" w:val="Izvjestitelji: "/>
    <w:docVar w:name="dvstar" w:val="***I"/>
    <w:docVar w:name="dvtitre" w:val="Zakonodavna rezolucija Europskog parlamenta od .... 2025. o Prijedlogu uredbe Europskog parlamenta i Vijeća o uspostavi Programa za europsku obrambenu industriju i okvira mjera za osiguravanje pravodobne dostupnosti i opskrbe obrambenim proizvodima („EDIP”)(COM(2024)0150 – C10-0005/2024 – 2024/0061(COD))"/>
  </w:docVars>
  <w:rsids>
    <w:rsidRoot w:val="00BB7E58"/>
    <w:rsid w:val="00002272"/>
    <w:rsid w:val="00064002"/>
    <w:rsid w:val="000677B9"/>
    <w:rsid w:val="000831BA"/>
    <w:rsid w:val="000A42CC"/>
    <w:rsid w:val="000C65AC"/>
    <w:rsid w:val="000E7DD9"/>
    <w:rsid w:val="0010095E"/>
    <w:rsid w:val="00125B37"/>
    <w:rsid w:val="00187494"/>
    <w:rsid w:val="001F32AE"/>
    <w:rsid w:val="00235112"/>
    <w:rsid w:val="002767FF"/>
    <w:rsid w:val="002B18FE"/>
    <w:rsid w:val="002B5493"/>
    <w:rsid w:val="002C4AC8"/>
    <w:rsid w:val="00343214"/>
    <w:rsid w:val="00361C00"/>
    <w:rsid w:val="00395FA1"/>
    <w:rsid w:val="003E15D4"/>
    <w:rsid w:val="00411CCE"/>
    <w:rsid w:val="0041666E"/>
    <w:rsid w:val="00421060"/>
    <w:rsid w:val="00460664"/>
    <w:rsid w:val="00471C19"/>
    <w:rsid w:val="004867E3"/>
    <w:rsid w:val="00494A28"/>
    <w:rsid w:val="004C0004"/>
    <w:rsid w:val="004C5D52"/>
    <w:rsid w:val="004E695B"/>
    <w:rsid w:val="0050519A"/>
    <w:rsid w:val="005072A1"/>
    <w:rsid w:val="00514517"/>
    <w:rsid w:val="00545827"/>
    <w:rsid w:val="00560270"/>
    <w:rsid w:val="00590C92"/>
    <w:rsid w:val="005C2568"/>
    <w:rsid w:val="005F1B17"/>
    <w:rsid w:val="006037C0"/>
    <w:rsid w:val="006631B6"/>
    <w:rsid w:val="00680577"/>
    <w:rsid w:val="006A5990"/>
    <w:rsid w:val="006F74FA"/>
    <w:rsid w:val="00731ADD"/>
    <w:rsid w:val="00734777"/>
    <w:rsid w:val="00747932"/>
    <w:rsid w:val="00751A4A"/>
    <w:rsid w:val="00756632"/>
    <w:rsid w:val="00762C74"/>
    <w:rsid w:val="0076368E"/>
    <w:rsid w:val="00786EC0"/>
    <w:rsid w:val="007A312C"/>
    <w:rsid w:val="007D1690"/>
    <w:rsid w:val="007E22AD"/>
    <w:rsid w:val="007F41E9"/>
    <w:rsid w:val="007F6250"/>
    <w:rsid w:val="007F7D45"/>
    <w:rsid w:val="00817416"/>
    <w:rsid w:val="00842779"/>
    <w:rsid w:val="0084629D"/>
    <w:rsid w:val="00865F67"/>
    <w:rsid w:val="0087079D"/>
    <w:rsid w:val="00881A7B"/>
    <w:rsid w:val="008840E5"/>
    <w:rsid w:val="00887B3E"/>
    <w:rsid w:val="008C2AC6"/>
    <w:rsid w:val="00930C23"/>
    <w:rsid w:val="0093193B"/>
    <w:rsid w:val="00937B05"/>
    <w:rsid w:val="009509D8"/>
    <w:rsid w:val="00950B64"/>
    <w:rsid w:val="00981893"/>
    <w:rsid w:val="00985CEC"/>
    <w:rsid w:val="00986F05"/>
    <w:rsid w:val="00A13893"/>
    <w:rsid w:val="00A1687D"/>
    <w:rsid w:val="00A41DC3"/>
    <w:rsid w:val="00A43E52"/>
    <w:rsid w:val="00A4678D"/>
    <w:rsid w:val="00A778C7"/>
    <w:rsid w:val="00A80F82"/>
    <w:rsid w:val="00AB441E"/>
    <w:rsid w:val="00AB6293"/>
    <w:rsid w:val="00AD1814"/>
    <w:rsid w:val="00AE0928"/>
    <w:rsid w:val="00AE3913"/>
    <w:rsid w:val="00AF3B82"/>
    <w:rsid w:val="00B12E95"/>
    <w:rsid w:val="00B22876"/>
    <w:rsid w:val="00B4147C"/>
    <w:rsid w:val="00B51AE7"/>
    <w:rsid w:val="00B558F0"/>
    <w:rsid w:val="00B62EFB"/>
    <w:rsid w:val="00B63860"/>
    <w:rsid w:val="00BB7070"/>
    <w:rsid w:val="00BB7E58"/>
    <w:rsid w:val="00BD48FE"/>
    <w:rsid w:val="00BD5433"/>
    <w:rsid w:val="00BD7BD8"/>
    <w:rsid w:val="00BE3986"/>
    <w:rsid w:val="00BE6ADC"/>
    <w:rsid w:val="00C05BFE"/>
    <w:rsid w:val="00C23CD4"/>
    <w:rsid w:val="00C61C0C"/>
    <w:rsid w:val="00C81FA3"/>
    <w:rsid w:val="00C941CB"/>
    <w:rsid w:val="00CC2357"/>
    <w:rsid w:val="00CF071A"/>
    <w:rsid w:val="00CF73F8"/>
    <w:rsid w:val="00D058B8"/>
    <w:rsid w:val="00D56C11"/>
    <w:rsid w:val="00D834A0"/>
    <w:rsid w:val="00D872DF"/>
    <w:rsid w:val="00D91E21"/>
    <w:rsid w:val="00DA7FCD"/>
    <w:rsid w:val="00E06EEE"/>
    <w:rsid w:val="00E365E1"/>
    <w:rsid w:val="00E820A4"/>
    <w:rsid w:val="00E921B8"/>
    <w:rsid w:val="00EB006A"/>
    <w:rsid w:val="00EB4772"/>
    <w:rsid w:val="00ED169E"/>
    <w:rsid w:val="00ED4235"/>
    <w:rsid w:val="00F04346"/>
    <w:rsid w:val="00F075DC"/>
    <w:rsid w:val="00F149E9"/>
    <w:rsid w:val="00F5134D"/>
    <w:rsid w:val="00F72BF6"/>
    <w:rsid w:val="00F74202"/>
    <w:rsid w:val="00F87713"/>
    <w:rsid w:val="00F923A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08CFE4"/>
  <w15:chartTrackingRefBased/>
  <w15:docId w15:val="{2E9F08EA-2B53-40C3-9A42-B82221B33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SUPERSCharCharCharCharCharCharCharCha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85CE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CE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CE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CE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CE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CEC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CEC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985CEC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985CEC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985CE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85C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85CE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85CEC"/>
    <w:pPr>
      <w:spacing w:after="120"/>
    </w:pPr>
  </w:style>
  <w:style w:type="paragraph" w:customStyle="1" w:styleId="PageHeading">
    <w:name w:val="PageHeading"/>
    <w:basedOn w:val="Normal"/>
    <w:rsid w:val="00985C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85CE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85CEC"/>
    <w:rPr>
      <w:b/>
      <w:sz w:val="24"/>
      <w:lang w:val="hr-HR"/>
    </w:rPr>
  </w:style>
  <w:style w:type="paragraph" w:customStyle="1" w:styleId="NormalBold12a">
    <w:name w:val="NormalBold12a"/>
    <w:basedOn w:val="Normal"/>
    <w:rsid w:val="00985CEC"/>
    <w:pPr>
      <w:spacing w:after="240"/>
    </w:pPr>
    <w:rPr>
      <w:b/>
    </w:rPr>
  </w:style>
  <w:style w:type="paragraph" w:customStyle="1" w:styleId="AmJustText">
    <w:name w:val="AmJustText"/>
    <w:basedOn w:val="Normal"/>
    <w:rsid w:val="00985CE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85CE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85CEC"/>
    <w:pPr>
      <w:spacing w:after="480"/>
      <w:ind w:left="1417"/>
    </w:pPr>
  </w:style>
  <w:style w:type="paragraph" w:customStyle="1" w:styleId="CoverNormal">
    <w:name w:val="CoverNormal"/>
    <w:basedOn w:val="Normal"/>
    <w:rsid w:val="00985CEC"/>
    <w:pPr>
      <w:ind w:left="1418"/>
    </w:pPr>
  </w:style>
  <w:style w:type="paragraph" w:customStyle="1" w:styleId="AmCrossRef">
    <w:name w:val="AmCrossRef"/>
    <w:basedOn w:val="Normal"/>
    <w:rsid w:val="00985CE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85CE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85CE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85CE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85CE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85CE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85C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CEC"/>
    <w:rPr>
      <w:sz w:val="24"/>
      <w:lang w:val="hr-HR"/>
    </w:rPr>
  </w:style>
  <w:style w:type="paragraph" w:customStyle="1" w:styleId="AmOrLang">
    <w:name w:val="AmOrLang"/>
    <w:basedOn w:val="Normal"/>
    <w:rsid w:val="00985CE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85CE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85C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985CEC"/>
    <w:rPr>
      <w:b/>
      <w:sz w:val="24"/>
      <w:lang w:val="hr-HR"/>
    </w:rPr>
  </w:style>
  <w:style w:type="paragraph" w:customStyle="1" w:styleId="NormalBold12b">
    <w:name w:val="NormalBold12b"/>
    <w:basedOn w:val="Normal"/>
    <w:link w:val="NormalBold12bChar"/>
    <w:rsid w:val="00985CEC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985CEC"/>
    <w:rPr>
      <w:b/>
      <w:sz w:val="24"/>
      <w:lang w:val="hr-HR"/>
    </w:rPr>
  </w:style>
  <w:style w:type="paragraph" w:customStyle="1" w:styleId="EPBody">
    <w:name w:val="EPBody"/>
    <w:basedOn w:val="Normal"/>
    <w:rsid w:val="00985CE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85C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85CEC"/>
    <w:pPr>
      <w:spacing w:before="480" w:after="240"/>
    </w:pPr>
  </w:style>
  <w:style w:type="paragraph" w:customStyle="1" w:styleId="Lgendesigne">
    <w:name w:val="Légende signe"/>
    <w:basedOn w:val="Normal"/>
    <w:rsid w:val="00985CE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85CE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85CEC"/>
    <w:rPr>
      <w:sz w:val="18"/>
    </w:rPr>
  </w:style>
  <w:style w:type="paragraph" w:customStyle="1" w:styleId="SUPERSCharCharCharCharCharCharCharChar">
    <w:name w:val="SUPERS Char Char Char Char Char Char Char Char"/>
    <w:aliases w:val="SUPERS Tegn Char Char Char Char Char Char Char Char Char,Footnote Reference Number Tegn Char Char Char Char Char Char Char Char Char"/>
    <w:basedOn w:val="Normal"/>
    <w:link w:val="FootnoteReference"/>
    <w:autoRedefine/>
    <w:rsid w:val="00985CEC"/>
    <w:pPr>
      <w:widowControl/>
      <w:spacing w:before="120" w:after="160" w:line="240" w:lineRule="exact"/>
      <w:contextualSpacing/>
      <w:jc w:val="both"/>
    </w:pPr>
    <w:rPr>
      <w:sz w:val="20"/>
      <w:vertAlign w:val="superscript"/>
      <w:lang w:val="en-GB"/>
    </w:rPr>
  </w:style>
  <w:style w:type="paragraph" w:customStyle="1" w:styleId="Normal24a">
    <w:name w:val="Normal24a"/>
    <w:basedOn w:val="Normal"/>
    <w:rsid w:val="00985CEC"/>
    <w:pPr>
      <w:spacing w:after="480"/>
    </w:pPr>
  </w:style>
  <w:style w:type="paragraph" w:customStyle="1" w:styleId="NormalBoldCenter">
    <w:name w:val="NormalBoldCenter"/>
    <w:basedOn w:val="Normal"/>
    <w:rsid w:val="00985CEC"/>
    <w:pPr>
      <w:jc w:val="center"/>
    </w:pPr>
    <w:rPr>
      <w:b/>
    </w:rPr>
  </w:style>
  <w:style w:type="paragraph" w:customStyle="1" w:styleId="Footprint12b">
    <w:name w:val="Footprint12b"/>
    <w:basedOn w:val="Normal"/>
    <w:rsid w:val="00985CE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85CEC"/>
    <w:rPr>
      <w:szCs w:val="24"/>
    </w:rPr>
  </w:style>
  <w:style w:type="paragraph" w:styleId="Footer">
    <w:name w:val="footer"/>
    <w:basedOn w:val="Normal"/>
    <w:link w:val="FooterChar"/>
    <w:uiPriority w:val="99"/>
    <w:rsid w:val="00985C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CEC"/>
    <w:rPr>
      <w:sz w:val="24"/>
      <w:lang w:val="hr-HR"/>
    </w:rPr>
  </w:style>
  <w:style w:type="character" w:styleId="Hyperlink">
    <w:name w:val="Hyperlink"/>
    <w:basedOn w:val="DefaultParagraphFont"/>
    <w:uiPriority w:val="99"/>
    <w:unhideWhenUsed/>
    <w:rsid w:val="00985CEC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985CEC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985CEC"/>
    <w:rPr>
      <w:noProof/>
      <w:sz w:val="24"/>
    </w:rPr>
  </w:style>
  <w:style w:type="paragraph" w:customStyle="1" w:styleId="Normal12">
    <w:name w:val="Normal12"/>
    <w:basedOn w:val="Normal"/>
    <w:link w:val="Normal12Char"/>
    <w:rsid w:val="00985CE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85CE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85CE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85CE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85CE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85CE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85CEC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985CEC"/>
    <w:pPr>
      <w:spacing w:after="120"/>
    </w:pPr>
  </w:style>
  <w:style w:type="paragraph" w:customStyle="1" w:styleId="Normal12Italic">
    <w:name w:val="Normal12Italic"/>
    <w:basedOn w:val="Normal12"/>
    <w:rsid w:val="00985CEC"/>
    <w:rPr>
      <w:i/>
    </w:rPr>
  </w:style>
  <w:style w:type="paragraph" w:customStyle="1" w:styleId="JustificationTitle">
    <w:name w:val="JustificationTitle"/>
    <w:basedOn w:val="Normal"/>
    <w:next w:val="Normal12"/>
    <w:rsid w:val="00985CE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85CE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85CE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85C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85CEC"/>
    <w:pPr>
      <w:spacing w:before="240"/>
      <w:jc w:val="center"/>
    </w:pPr>
    <w:rPr>
      <w:i/>
    </w:rPr>
  </w:style>
  <w:style w:type="character" w:customStyle="1" w:styleId="Footer2Middle">
    <w:name w:val="Footer2Middle"/>
    <w:rsid w:val="00985CE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85CEC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985C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5CEC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uiPriority w:val="99"/>
    <w:rsid w:val="00985C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85CE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5CEC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85C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85CEC"/>
    <w:rPr>
      <w:b/>
      <w:bCs/>
      <w:lang w:val="hr-HR"/>
    </w:rPr>
  </w:style>
  <w:style w:type="paragraph" w:styleId="Revision">
    <w:name w:val="Revision"/>
    <w:hidden/>
    <w:uiPriority w:val="99"/>
    <w:semiHidden/>
    <w:rsid w:val="00985CEC"/>
    <w:rPr>
      <w:sz w:val="24"/>
      <w:lang w:val="hr-HR"/>
    </w:rPr>
  </w:style>
  <w:style w:type="character" w:styleId="FollowedHyperlink">
    <w:name w:val="FollowedHyperlink"/>
    <w:basedOn w:val="DefaultParagraphFont"/>
    <w:uiPriority w:val="99"/>
    <w:unhideWhenUsed/>
    <w:rsid w:val="00985CEC"/>
    <w:rPr>
      <w:color w:val="954F72" w:themeColor="followedHyperlink"/>
      <w:u w:val="single"/>
    </w:rPr>
  </w:style>
  <w:style w:type="paragraph" w:customStyle="1" w:styleId="NormalCenter12a">
    <w:name w:val="NormalCenter12a"/>
    <w:basedOn w:val="Normal"/>
    <w:rsid w:val="00985CEC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985CEC"/>
    <w:pPr>
      <w:spacing w:before="720" w:after="240"/>
      <w:jc w:val="center"/>
    </w:pPr>
    <w:rPr>
      <w:lang w:val="en-GB"/>
    </w:rPr>
  </w:style>
  <w:style w:type="paragraph" w:styleId="ListBullet4">
    <w:name w:val="List Bullet 4"/>
    <w:basedOn w:val="Normal"/>
    <w:uiPriority w:val="99"/>
    <w:rsid w:val="00985CEC"/>
    <w:pPr>
      <w:widowControl/>
      <w:numPr>
        <w:numId w:val="4"/>
      </w:numPr>
      <w:spacing w:before="120" w:after="120"/>
      <w:jc w:val="both"/>
    </w:pPr>
    <w:rPr>
      <w:szCs w:val="22"/>
      <w:lang w:val="en-GB" w:eastAsia="de-DE"/>
    </w:rPr>
  </w:style>
  <w:style w:type="paragraph" w:styleId="ListNumber">
    <w:name w:val="List Number"/>
    <w:basedOn w:val="Normal"/>
    <w:rsid w:val="00985CEC"/>
    <w:pPr>
      <w:widowControl/>
      <w:numPr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Bullet1">
    <w:name w:val="List Bullet 1"/>
    <w:basedOn w:val="Normal"/>
    <w:rsid w:val="00985CEC"/>
    <w:pPr>
      <w:widowControl/>
      <w:numPr>
        <w:numId w:val="3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">
    <w:name w:val="List Dash"/>
    <w:basedOn w:val="Normal"/>
    <w:rsid w:val="00985CEC"/>
    <w:pPr>
      <w:widowControl/>
      <w:numPr>
        <w:numId w:val="5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1">
    <w:name w:val="List Dash 1"/>
    <w:basedOn w:val="Normal"/>
    <w:rsid w:val="00985CEC"/>
    <w:pPr>
      <w:widowControl/>
      <w:numPr>
        <w:numId w:val="6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2">
    <w:name w:val="List Dash 2"/>
    <w:basedOn w:val="Normal"/>
    <w:rsid w:val="00985CEC"/>
    <w:pPr>
      <w:widowControl/>
      <w:numPr>
        <w:numId w:val="7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2">
    <w:name w:val="List Number (Level 2)"/>
    <w:basedOn w:val="Normal"/>
    <w:rsid w:val="00985CEC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val="en-GB" w:eastAsia="de-DE"/>
    </w:rPr>
  </w:style>
  <w:style w:type="paragraph" w:customStyle="1" w:styleId="ListNumberLevel3">
    <w:name w:val="List Number (Level 3)"/>
    <w:basedOn w:val="Normal"/>
    <w:rsid w:val="00985CEC"/>
    <w:pPr>
      <w:widowControl/>
      <w:numPr>
        <w:ilvl w:val="2"/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4">
    <w:name w:val="List Number (Level 4)"/>
    <w:basedOn w:val="Normal"/>
    <w:rsid w:val="00985CEC"/>
    <w:pPr>
      <w:widowControl/>
      <w:numPr>
        <w:ilvl w:val="3"/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styleId="ListBullet">
    <w:name w:val="List Bullet"/>
    <w:basedOn w:val="Normal"/>
    <w:uiPriority w:val="99"/>
    <w:rsid w:val="00985CEC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uiPriority w:val="99"/>
    <w:rsid w:val="00985CEC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uiPriority w:val="99"/>
    <w:rsid w:val="00985CEC"/>
    <w:pPr>
      <w:widowControl/>
      <w:numPr>
        <w:numId w:val="11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985CEC"/>
    <w:pPr>
      <w:widowControl/>
      <w:numPr>
        <w:numId w:val="15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rsid w:val="00985CEC"/>
    <w:pPr>
      <w:widowControl/>
      <w:numPr>
        <w:numId w:val="16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985CEC"/>
    <w:pPr>
      <w:widowControl/>
      <w:numPr>
        <w:numId w:val="17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985CEC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985CEC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985CEC"/>
    <w:pPr>
      <w:numPr>
        <w:numId w:val="14"/>
      </w:numPr>
    </w:pPr>
    <w:rPr>
      <w:rFonts w:eastAsia="Times New Roman"/>
      <w:lang w:val="fr-FR" w:eastAsia="en-GB"/>
    </w:rPr>
  </w:style>
  <w:style w:type="paragraph" w:customStyle="1" w:styleId="Text1">
    <w:name w:val="Text 1"/>
    <w:basedOn w:val="Normal"/>
    <w:rsid w:val="00985CEC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ListNumber1Level2">
    <w:name w:val="List Number 1 (Level 2)"/>
    <w:basedOn w:val="Text1"/>
    <w:rsid w:val="00985CEC"/>
    <w:pPr>
      <w:numPr>
        <w:ilvl w:val="2"/>
        <w:numId w:val="14"/>
      </w:numPr>
      <w:tabs>
        <w:tab w:val="clear" w:pos="2977"/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985CEC"/>
    <w:pPr>
      <w:numPr>
        <w:ilvl w:val="2"/>
        <w:numId w:val="15"/>
      </w:numPr>
      <w:tabs>
        <w:tab w:val="clear" w:pos="2977"/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Text2">
    <w:name w:val="Text 2"/>
    <w:basedOn w:val="Normal"/>
    <w:rsid w:val="00985CEC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ListNumber3Level2">
    <w:name w:val="List Number 3 (Level 2)"/>
    <w:basedOn w:val="Text3"/>
    <w:rsid w:val="00985CEC"/>
    <w:pPr>
      <w:numPr>
        <w:ilvl w:val="1"/>
        <w:numId w:val="16"/>
      </w:numPr>
    </w:pPr>
    <w:rPr>
      <w:rFonts w:eastAsia="Times New Roman"/>
      <w:lang w:val="fr-FR" w:eastAsia="en-GB"/>
    </w:rPr>
  </w:style>
  <w:style w:type="paragraph" w:customStyle="1" w:styleId="Text3">
    <w:name w:val="Text 3"/>
    <w:basedOn w:val="Normal"/>
    <w:rsid w:val="00985CEC"/>
    <w:pPr>
      <w:widowControl/>
      <w:spacing w:before="120" w:after="120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ListNumber4Level2">
    <w:name w:val="List Number 4 (Level 2)"/>
    <w:basedOn w:val="Text4"/>
    <w:rsid w:val="00985CEC"/>
    <w:pPr>
      <w:numPr>
        <w:ilvl w:val="1"/>
        <w:numId w:val="17"/>
      </w:numPr>
    </w:pPr>
    <w:rPr>
      <w:rFonts w:eastAsia="Times New Roman"/>
      <w:lang w:val="fr-FR" w:eastAsia="en-GB"/>
    </w:rPr>
  </w:style>
  <w:style w:type="paragraph" w:customStyle="1" w:styleId="Text4">
    <w:name w:val="Text 4"/>
    <w:basedOn w:val="Normal"/>
    <w:rsid w:val="00985CEC"/>
    <w:pPr>
      <w:widowControl/>
      <w:spacing w:before="120" w:after="120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ListNumber1Level3">
    <w:name w:val="List Number 1 (Level 3)"/>
    <w:basedOn w:val="Text1"/>
    <w:rsid w:val="00985CEC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985CEC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985CEC"/>
    <w:pPr>
      <w:numPr>
        <w:ilvl w:val="2"/>
        <w:numId w:val="16"/>
      </w:numPr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985CEC"/>
    <w:pPr>
      <w:numPr>
        <w:ilvl w:val="2"/>
        <w:numId w:val="17"/>
      </w:numPr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985CEC"/>
    <w:pPr>
      <w:numPr>
        <w:ilvl w:val="3"/>
        <w:numId w:val="14"/>
      </w:numPr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985CEC"/>
    <w:pPr>
      <w:numPr>
        <w:ilvl w:val="3"/>
        <w:numId w:val="15"/>
      </w:numPr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985CEC"/>
    <w:pPr>
      <w:numPr>
        <w:ilvl w:val="3"/>
        <w:numId w:val="16"/>
      </w:numPr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985CEC"/>
    <w:pPr>
      <w:numPr>
        <w:ilvl w:val="3"/>
        <w:numId w:val="17"/>
      </w:numPr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985CEC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985CEC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985CEC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985CEC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985CEC"/>
    <w:pPr>
      <w:widowControl/>
      <w:spacing w:after="240"/>
      <w:ind w:left="5103"/>
    </w:pPr>
    <w:rPr>
      <w:szCs w:val="22"/>
      <w:lang w:val="fr-FR"/>
    </w:rPr>
  </w:style>
  <w:style w:type="paragraph" w:customStyle="1" w:styleId="Statut">
    <w:name w:val="Statut"/>
    <w:basedOn w:val="Normal"/>
    <w:next w:val="Typedudocument"/>
    <w:rsid w:val="00985CEC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985CEC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985CEC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985CEC"/>
    <w:pPr>
      <w:spacing w:after="240"/>
    </w:pPr>
  </w:style>
  <w:style w:type="paragraph" w:customStyle="1" w:styleId="Languesfaisantfoi">
    <w:name w:val="Langues faisant foi"/>
    <w:basedOn w:val="Normal"/>
    <w:next w:val="Normal"/>
    <w:rsid w:val="00985CEC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Rfrenceinterinstitutionelle">
    <w:name w:val="Référence interinstitutionelle"/>
    <w:basedOn w:val="Normal"/>
    <w:next w:val="Statut"/>
    <w:rsid w:val="00985CEC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985CEC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985CEC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985CEC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985CEC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985CEC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985CE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styleId="Caption">
    <w:name w:val="caption"/>
    <w:basedOn w:val="Normal"/>
    <w:next w:val="Normal"/>
    <w:qFormat/>
    <w:rsid w:val="00985CEC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985CEC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985CEC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985CEC"/>
    <w:pPr>
      <w:widowControl/>
      <w:jc w:val="center"/>
    </w:pPr>
    <w:rPr>
      <w:b/>
      <w:szCs w:val="22"/>
      <w:lang w:val="en-GB"/>
    </w:rPr>
  </w:style>
  <w:style w:type="paragraph" w:customStyle="1" w:styleId="Sous-titreobjetPagedecouverture">
    <w:name w:val="Sous-titre objet (Page de couverture)"/>
    <w:basedOn w:val="Sous-titreobjet"/>
    <w:rsid w:val="00985CEC"/>
  </w:style>
  <w:style w:type="paragraph" w:customStyle="1" w:styleId="FooterCoverPage">
    <w:name w:val="Footer Cover Page"/>
    <w:basedOn w:val="Normal"/>
    <w:link w:val="FooterCoverPageChar"/>
    <w:rsid w:val="00985CE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val="en-GB"/>
    </w:rPr>
  </w:style>
  <w:style w:type="character" w:customStyle="1" w:styleId="FooterCoverPageChar">
    <w:name w:val="Footer Cover Page Char"/>
    <w:link w:val="FooterCoverPage"/>
    <w:rsid w:val="00985CEC"/>
    <w:rPr>
      <w:rFonts w:eastAsia="Calibri"/>
      <w:sz w:val="24"/>
      <w:szCs w:val="22"/>
    </w:rPr>
  </w:style>
  <w:style w:type="paragraph" w:customStyle="1" w:styleId="HeaderCoverPage">
    <w:name w:val="Header Cover Page"/>
    <w:basedOn w:val="Normal"/>
    <w:link w:val="HeaderCoverPageChar"/>
    <w:rsid w:val="00985CEC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val="en-GB"/>
    </w:rPr>
  </w:style>
  <w:style w:type="character" w:customStyle="1" w:styleId="HeaderCoverPageChar">
    <w:name w:val="Header Cover Page Char"/>
    <w:link w:val="HeaderCoverPage"/>
    <w:rsid w:val="00985CEC"/>
    <w:rPr>
      <w:rFonts w:eastAsia="Calibri"/>
      <w:sz w:val="24"/>
      <w:szCs w:val="22"/>
    </w:rPr>
  </w:style>
  <w:style w:type="paragraph" w:customStyle="1" w:styleId="paragraph">
    <w:name w:val="paragraph"/>
    <w:basedOn w:val="Normal"/>
    <w:link w:val="paragraphChar"/>
    <w:rsid w:val="00985CEC"/>
    <w:pPr>
      <w:widowControl/>
      <w:spacing w:before="100" w:beforeAutospacing="1" w:after="100" w:afterAutospacing="1"/>
    </w:pPr>
    <w:rPr>
      <w:szCs w:val="24"/>
      <w:lang w:val="en-IE" w:eastAsia="en-IE"/>
      <w14:ligatures w14:val="standardContextual"/>
    </w:rPr>
  </w:style>
  <w:style w:type="character" w:customStyle="1" w:styleId="paragraphChar">
    <w:name w:val="paragraph Char"/>
    <w:basedOn w:val="DefaultParagraphFont"/>
    <w:link w:val="paragraph"/>
    <w:rsid w:val="00985CEC"/>
    <w:rPr>
      <w:sz w:val="24"/>
      <w:szCs w:val="24"/>
      <w:lang w:val="en-IE" w:eastAsia="en-IE"/>
      <w14:ligatures w14:val="standardContextual"/>
    </w:rPr>
  </w:style>
  <w:style w:type="character" w:customStyle="1" w:styleId="normaltextrun">
    <w:name w:val="normaltextrun"/>
    <w:basedOn w:val="DefaultParagraphFont"/>
    <w:rsid w:val="00985CEC"/>
  </w:style>
  <w:style w:type="character" w:customStyle="1" w:styleId="findhit">
    <w:name w:val="findhit"/>
    <w:basedOn w:val="DefaultParagraphFont"/>
    <w:rsid w:val="00985CEC"/>
  </w:style>
  <w:style w:type="character" w:customStyle="1" w:styleId="eop">
    <w:name w:val="eop"/>
    <w:basedOn w:val="DefaultParagraphFont"/>
    <w:rsid w:val="00985CEC"/>
  </w:style>
  <w:style w:type="paragraph" w:styleId="ListParagraph">
    <w:name w:val="List Paragraph"/>
    <w:basedOn w:val="Normal"/>
    <w:uiPriority w:val="1"/>
    <w:qFormat/>
    <w:rsid w:val="00985CE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E" w:eastAsia="en-US"/>
      <w14:ligatures w14:val="standardContextual"/>
    </w:rPr>
  </w:style>
  <w:style w:type="paragraph" w:customStyle="1" w:styleId="li">
    <w:name w:val="li"/>
    <w:basedOn w:val="Normal"/>
    <w:rsid w:val="00985CEC"/>
    <w:pPr>
      <w:widowControl/>
      <w:spacing w:before="100" w:beforeAutospacing="1" w:after="100" w:afterAutospacing="1"/>
    </w:pPr>
    <w:rPr>
      <w:szCs w:val="24"/>
      <w:lang w:val="en-IE" w:eastAsia="en-IE"/>
      <w14:ligatures w14:val="standardContextual"/>
    </w:rPr>
  </w:style>
  <w:style w:type="paragraph" w:customStyle="1" w:styleId="oj-normal">
    <w:name w:val="oj-normal"/>
    <w:basedOn w:val="Normal"/>
    <w:rsid w:val="00985CEC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styleId="Title">
    <w:name w:val="Title"/>
    <w:basedOn w:val="Normal"/>
    <w:link w:val="TitleChar"/>
    <w:uiPriority w:val="10"/>
    <w:qFormat/>
    <w:rsid w:val="00985CEC"/>
    <w:pPr>
      <w:autoSpaceDE w:val="0"/>
      <w:autoSpaceDN w:val="0"/>
      <w:ind w:left="315" w:right="332"/>
      <w:jc w:val="center"/>
    </w:pPr>
    <w:rPr>
      <w:rFonts w:ascii="Cambria" w:eastAsia="Cambria" w:hAnsi="Cambria" w:cs="Cambria"/>
      <w:sz w:val="34"/>
      <w:szCs w:val="34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985CEC"/>
    <w:rPr>
      <w:rFonts w:ascii="Cambria" w:eastAsia="Cambria" w:hAnsi="Cambria" w:cs="Cambria"/>
      <w:sz w:val="34"/>
      <w:szCs w:val="34"/>
      <w:lang w:val="en-US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985CEC"/>
    <w:pPr>
      <w:autoSpaceDE w:val="0"/>
      <w:autoSpaceDN w:val="0"/>
    </w:pPr>
    <w:rPr>
      <w:rFonts w:ascii="Cambria" w:eastAsia="Cambria" w:hAnsi="Cambria" w:cs="Cambria"/>
      <w:sz w:val="19"/>
      <w:szCs w:val="19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85CEC"/>
    <w:rPr>
      <w:rFonts w:ascii="Cambria" w:eastAsia="Cambria" w:hAnsi="Cambria" w:cs="Cambria"/>
      <w:sz w:val="19"/>
      <w:szCs w:val="19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985CEC"/>
    <w:pPr>
      <w:autoSpaceDE w:val="0"/>
      <w:autoSpaceDN w:val="0"/>
    </w:pPr>
    <w:rPr>
      <w:rFonts w:ascii="Cambria" w:eastAsia="Cambria" w:hAnsi="Cambria" w:cs="Cambria"/>
      <w:sz w:val="22"/>
      <w:szCs w:val="22"/>
      <w:lang w:val="en-US" w:eastAsia="en-US"/>
    </w:rPr>
  </w:style>
  <w:style w:type="character" w:customStyle="1" w:styleId="num">
    <w:name w:val="num"/>
    <w:basedOn w:val="DefaultParagraphFont"/>
    <w:rsid w:val="00985CEC"/>
  </w:style>
  <w:style w:type="paragraph" w:customStyle="1" w:styleId="NumPar10">
    <w:name w:val="Num Par 1"/>
    <w:basedOn w:val="Text1"/>
    <w:rsid w:val="00985CEC"/>
    <w:rPr>
      <w:lang w:val="fr-BE"/>
    </w:rPr>
  </w:style>
  <w:style w:type="paragraph" w:customStyle="1" w:styleId="Normal1">
    <w:name w:val="Normal1"/>
    <w:basedOn w:val="Normal"/>
    <w:rsid w:val="00985CEC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character" w:customStyle="1" w:styleId="oj-super">
    <w:name w:val="oj-super"/>
    <w:basedOn w:val="DefaultParagraphFont"/>
    <w:rsid w:val="00985CEC"/>
  </w:style>
  <w:style w:type="paragraph" w:customStyle="1" w:styleId="numpar11">
    <w:name w:val="numpar1"/>
    <w:basedOn w:val="Normal"/>
    <w:rsid w:val="00985CEC"/>
    <w:pPr>
      <w:widowControl/>
      <w:spacing w:before="120" w:after="120"/>
      <w:ind w:left="850" w:hanging="850"/>
      <w:jc w:val="both"/>
    </w:pPr>
    <w:rPr>
      <w:rFonts w:eastAsiaTheme="minorHAnsi"/>
      <w:szCs w:val="24"/>
      <w:lang w:val="en-IE" w:eastAsia="en-IE"/>
    </w:rPr>
  </w:style>
  <w:style w:type="paragraph" w:customStyle="1" w:styleId="Article">
    <w:name w:val="Article"/>
    <w:basedOn w:val="Text1"/>
    <w:rsid w:val="00985CEC"/>
    <w:pPr>
      <w:ind w:left="0"/>
      <w:jc w:val="center"/>
    </w:pPr>
    <w:rPr>
      <w:i/>
    </w:rPr>
  </w:style>
  <w:style w:type="character" w:customStyle="1" w:styleId="cf01">
    <w:name w:val="cf01"/>
    <w:basedOn w:val="DefaultParagraphFont"/>
    <w:rsid w:val="00985CEC"/>
    <w:rPr>
      <w:rFonts w:ascii="Times New Roman" w:hAnsi="Times New Roman" w:cs="Times New Roman" w:hint="default"/>
      <w:sz w:val="24"/>
      <w:szCs w:val="24"/>
    </w:rPr>
  </w:style>
  <w:style w:type="character" w:styleId="Strong">
    <w:name w:val="Strong"/>
    <w:basedOn w:val="DefaultParagraphFont"/>
    <w:uiPriority w:val="22"/>
    <w:qFormat/>
    <w:rsid w:val="00985CEC"/>
    <w:rPr>
      <w:b/>
      <w:bCs/>
    </w:rPr>
  </w:style>
  <w:style w:type="paragraph" w:customStyle="1" w:styleId="Body">
    <w:name w:val="Body"/>
    <w:rsid w:val="00985CEC"/>
    <w:pPr>
      <w:spacing w:before="120" w:after="120"/>
      <w:jc w:val="both"/>
    </w:pPr>
    <w:rPr>
      <w:color w:val="000000"/>
      <w:sz w:val="24"/>
      <w:szCs w:val="24"/>
      <w:u w:color="000000"/>
    </w:rPr>
  </w:style>
  <w:style w:type="character" w:customStyle="1" w:styleId="ilfuvd">
    <w:name w:val="ilfuvd"/>
    <w:basedOn w:val="DefaultParagraphFont"/>
    <w:rsid w:val="00985CEC"/>
  </w:style>
  <w:style w:type="character" w:customStyle="1" w:styleId="Mention1">
    <w:name w:val="Mention1"/>
    <w:basedOn w:val="DefaultParagraphFont"/>
    <w:uiPriority w:val="99"/>
    <w:unhideWhenUsed/>
    <w:rsid w:val="00985CEC"/>
    <w:rPr>
      <w:color w:val="2B579A"/>
      <w:shd w:val="clear" w:color="auto" w:fill="E1DFDD"/>
    </w:rPr>
  </w:style>
  <w:style w:type="paragraph" w:customStyle="1" w:styleId="AmHeadingPA">
    <w:name w:val="AmHeadingPA"/>
    <w:basedOn w:val="Normal"/>
    <w:next w:val="Normal"/>
    <w:rsid w:val="00985CEC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styleId="TOC4">
    <w:name w:val="toc 4"/>
    <w:basedOn w:val="Normal"/>
    <w:next w:val="Normal"/>
    <w:uiPriority w:val="39"/>
    <w:unhideWhenUsed/>
    <w:rsid w:val="00985CEC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985CEC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985CEC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985CEC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985CEC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985CEC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985CE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HeaderSensitivityRight">
    <w:name w:val="Header Sensitivity Right"/>
    <w:basedOn w:val="Normal"/>
    <w:rsid w:val="00985CEC"/>
    <w:pPr>
      <w:widowControl/>
      <w:spacing w:after="120"/>
      <w:jc w:val="right"/>
    </w:pPr>
    <w:rPr>
      <w:rFonts w:eastAsiaTheme="minorHAnsi"/>
      <w:sz w:val="28"/>
      <w:szCs w:val="22"/>
      <w:lang w:val="en-GB" w:eastAsia="en-US"/>
    </w:rPr>
  </w:style>
  <w:style w:type="paragraph" w:customStyle="1" w:styleId="FooterSensitivity">
    <w:name w:val="Footer Sensitivity"/>
    <w:basedOn w:val="Normal"/>
    <w:rsid w:val="00985CE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Text5">
    <w:name w:val="Text 5"/>
    <w:basedOn w:val="Normal"/>
    <w:rsid w:val="00985CEC"/>
    <w:pPr>
      <w:widowControl/>
      <w:spacing w:before="120" w:after="120"/>
      <w:ind w:left="3118"/>
      <w:jc w:val="both"/>
    </w:pPr>
    <w:rPr>
      <w:rFonts w:eastAsiaTheme="minorHAnsi"/>
      <w:szCs w:val="22"/>
      <w:lang w:val="en-GB" w:eastAsia="en-US"/>
    </w:rPr>
  </w:style>
  <w:style w:type="paragraph" w:customStyle="1" w:styleId="Text6">
    <w:name w:val="Text 6"/>
    <w:basedOn w:val="Normal"/>
    <w:rsid w:val="00985CEC"/>
    <w:pPr>
      <w:widowControl/>
      <w:spacing w:before="120" w:after="120"/>
      <w:ind w:left="3685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rsid w:val="00985CEC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NormalLeft">
    <w:name w:val="Normal Left"/>
    <w:basedOn w:val="Normal"/>
    <w:rsid w:val="00985CEC"/>
    <w:pPr>
      <w:widowControl/>
      <w:spacing w:before="120" w:after="120"/>
    </w:pPr>
    <w:rPr>
      <w:rFonts w:eastAsiaTheme="minorHAnsi"/>
      <w:szCs w:val="22"/>
      <w:lang w:val="en-GB" w:eastAsia="en-US"/>
    </w:rPr>
  </w:style>
  <w:style w:type="paragraph" w:customStyle="1" w:styleId="NormalRight">
    <w:name w:val="Normal Right"/>
    <w:basedOn w:val="Normal"/>
    <w:rsid w:val="00985CEC"/>
    <w:pPr>
      <w:widowControl/>
      <w:spacing w:before="120" w:after="120"/>
      <w:jc w:val="right"/>
    </w:pPr>
    <w:rPr>
      <w:rFonts w:eastAsiaTheme="minorHAnsi"/>
      <w:szCs w:val="22"/>
      <w:lang w:val="en-GB" w:eastAsia="en-US"/>
    </w:rPr>
  </w:style>
  <w:style w:type="paragraph" w:customStyle="1" w:styleId="QuotedText">
    <w:name w:val="Quoted Text"/>
    <w:basedOn w:val="Normal"/>
    <w:rsid w:val="00985CEC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985CEC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985CEC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985CEC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985CEC"/>
    <w:pPr>
      <w:widowControl/>
      <w:spacing w:before="120" w:after="120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rsid w:val="00985CEC"/>
    <w:pPr>
      <w:widowControl/>
      <w:spacing w:before="120" w:after="120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5">
    <w:name w:val="Point 5"/>
    <w:basedOn w:val="Normal"/>
    <w:rsid w:val="00985CEC"/>
    <w:pPr>
      <w:widowControl/>
      <w:spacing w:before="120" w:after="120"/>
      <w:ind w:left="36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0">
    <w:name w:val="Tiret 0"/>
    <w:basedOn w:val="Point0"/>
    <w:rsid w:val="00985CEC"/>
    <w:pPr>
      <w:numPr>
        <w:numId w:val="21"/>
      </w:numPr>
    </w:pPr>
  </w:style>
  <w:style w:type="paragraph" w:customStyle="1" w:styleId="Tiret1">
    <w:name w:val="Tiret 1"/>
    <w:basedOn w:val="Point1"/>
    <w:rsid w:val="00985CEC"/>
    <w:pPr>
      <w:numPr>
        <w:numId w:val="22"/>
      </w:numPr>
    </w:pPr>
  </w:style>
  <w:style w:type="paragraph" w:customStyle="1" w:styleId="Tiret2">
    <w:name w:val="Tiret 2"/>
    <w:basedOn w:val="Point2"/>
    <w:rsid w:val="00985CEC"/>
    <w:pPr>
      <w:numPr>
        <w:numId w:val="23"/>
      </w:numPr>
    </w:pPr>
  </w:style>
  <w:style w:type="paragraph" w:customStyle="1" w:styleId="Tiret3">
    <w:name w:val="Tiret 3"/>
    <w:basedOn w:val="Point3"/>
    <w:rsid w:val="00985CEC"/>
    <w:pPr>
      <w:numPr>
        <w:numId w:val="24"/>
      </w:numPr>
    </w:pPr>
  </w:style>
  <w:style w:type="paragraph" w:customStyle="1" w:styleId="Tiret4">
    <w:name w:val="Tiret 4"/>
    <w:basedOn w:val="Point4"/>
    <w:rsid w:val="00985CEC"/>
    <w:pPr>
      <w:numPr>
        <w:numId w:val="25"/>
      </w:numPr>
    </w:pPr>
  </w:style>
  <w:style w:type="paragraph" w:customStyle="1" w:styleId="Tiret5">
    <w:name w:val="Tiret 5"/>
    <w:basedOn w:val="Point5"/>
    <w:rsid w:val="00985CEC"/>
    <w:pPr>
      <w:numPr>
        <w:numId w:val="26"/>
      </w:numPr>
    </w:pPr>
  </w:style>
  <w:style w:type="paragraph" w:customStyle="1" w:styleId="PointDouble0">
    <w:name w:val="PointDouble 0"/>
    <w:basedOn w:val="Normal"/>
    <w:rsid w:val="00985CE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PointDouble1">
    <w:name w:val="PointDouble 1"/>
    <w:basedOn w:val="Normal"/>
    <w:rsid w:val="00985CE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2">
    <w:name w:val="PointDouble 2"/>
    <w:basedOn w:val="Normal"/>
    <w:rsid w:val="00985CE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3">
    <w:name w:val="PointDouble 3"/>
    <w:basedOn w:val="Normal"/>
    <w:rsid w:val="00985CE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4">
    <w:name w:val="PointDouble 4"/>
    <w:basedOn w:val="Normal"/>
    <w:rsid w:val="00985CE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Triple0">
    <w:name w:val="PointTriple 0"/>
    <w:basedOn w:val="Normal"/>
    <w:rsid w:val="00985CE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val="en-GB" w:eastAsia="en-US"/>
    </w:rPr>
  </w:style>
  <w:style w:type="paragraph" w:customStyle="1" w:styleId="PointTriple1">
    <w:name w:val="PointTriple 1"/>
    <w:basedOn w:val="Normal"/>
    <w:rsid w:val="00985CE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2">
    <w:name w:val="PointTriple 2"/>
    <w:basedOn w:val="Normal"/>
    <w:rsid w:val="00985CE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3">
    <w:name w:val="PointTriple 3"/>
    <w:basedOn w:val="Normal"/>
    <w:rsid w:val="00985CE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4">
    <w:name w:val="PointTriple 4"/>
    <w:basedOn w:val="Normal"/>
    <w:rsid w:val="00985CE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NumPar1">
    <w:name w:val="NumPar 1"/>
    <w:basedOn w:val="Normal"/>
    <w:next w:val="Text1"/>
    <w:rsid w:val="00985CEC"/>
    <w:pPr>
      <w:widowControl/>
      <w:numPr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985CEC"/>
    <w:pPr>
      <w:widowControl/>
      <w:numPr>
        <w:ilvl w:val="1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985CEC"/>
    <w:pPr>
      <w:widowControl/>
      <w:numPr>
        <w:ilvl w:val="2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985CEC"/>
    <w:pPr>
      <w:widowControl/>
      <w:numPr>
        <w:ilvl w:val="3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5">
    <w:name w:val="NumPar 5"/>
    <w:basedOn w:val="Normal"/>
    <w:next w:val="Text2"/>
    <w:rsid w:val="00985CEC"/>
    <w:pPr>
      <w:widowControl/>
      <w:numPr>
        <w:ilvl w:val="4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985CEC"/>
    <w:pPr>
      <w:widowControl/>
      <w:numPr>
        <w:ilvl w:val="5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985CEC"/>
    <w:pPr>
      <w:widowControl/>
      <w:numPr>
        <w:ilvl w:val="6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985CEC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985CEC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985CEC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985CEC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985CEC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985CEC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985CEC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QuotedNumPar">
    <w:name w:val="Quoted NumPar"/>
    <w:basedOn w:val="Normal"/>
    <w:rsid w:val="00985CEC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985CE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985CE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985CE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985CE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val="en-GB" w:eastAsia="en-US"/>
    </w:rPr>
  </w:style>
  <w:style w:type="paragraph" w:customStyle="1" w:styleId="ManualHeading5">
    <w:name w:val="Manual Heading 5"/>
    <w:basedOn w:val="Normal"/>
    <w:next w:val="Text2"/>
    <w:rsid w:val="00985CE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val="en-GB" w:eastAsia="en-US"/>
    </w:rPr>
  </w:style>
  <w:style w:type="paragraph" w:customStyle="1" w:styleId="ManualHeading6">
    <w:name w:val="Manual Heading 6"/>
    <w:basedOn w:val="Normal"/>
    <w:next w:val="Text2"/>
    <w:rsid w:val="00985CE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val="en-GB" w:eastAsia="en-US"/>
    </w:rPr>
  </w:style>
  <w:style w:type="paragraph" w:customStyle="1" w:styleId="ManualHeading7">
    <w:name w:val="Manual Heading 7"/>
    <w:basedOn w:val="Normal"/>
    <w:next w:val="Text2"/>
    <w:rsid w:val="00985CE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985CEC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985CEC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985CEC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985CEC"/>
    <w:pPr>
      <w:widowControl/>
      <w:spacing w:before="120" w:after="120"/>
      <w:jc w:val="center"/>
    </w:pPr>
    <w:rPr>
      <w:rFonts w:eastAsiaTheme="minorHAnsi"/>
      <w:b/>
      <w:szCs w:val="22"/>
      <w:lang w:val="en-GB" w:eastAsia="en-US"/>
    </w:rPr>
  </w:style>
  <w:style w:type="character" w:customStyle="1" w:styleId="Marker">
    <w:name w:val="Marker"/>
    <w:basedOn w:val="DefaultParagraphFont"/>
    <w:rsid w:val="00985CE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85CEC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85CE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85CEC"/>
    <w:pPr>
      <w:widowControl/>
      <w:numPr>
        <w:ilvl w:val="7"/>
        <w:numId w:val="18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985CEC"/>
    <w:pPr>
      <w:widowControl/>
      <w:numPr>
        <w:ilvl w:val="8"/>
        <w:numId w:val="18"/>
      </w:numPr>
      <w:tabs>
        <w:tab w:val="clear" w:pos="3118"/>
        <w:tab w:val="num" w:pos="1417"/>
      </w:tabs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rsid w:val="00985CEC"/>
    <w:pPr>
      <w:widowControl/>
      <w:numPr>
        <w:ilvl w:val="4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985CEC"/>
    <w:pPr>
      <w:widowControl/>
      <w:numPr>
        <w:ilvl w:val="6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985CEC"/>
    <w:pPr>
      <w:widowControl/>
      <w:numPr>
        <w:ilvl w:val="1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rsid w:val="00985CEC"/>
    <w:pPr>
      <w:widowControl/>
      <w:numPr>
        <w:ilvl w:val="3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985CEC"/>
    <w:pPr>
      <w:widowControl/>
      <w:numPr>
        <w:ilvl w:val="5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985CE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985CEC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Bullet0">
    <w:name w:val="Bullet 0"/>
    <w:basedOn w:val="Normal"/>
    <w:rsid w:val="00985CEC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1">
    <w:name w:val="Bullet 1"/>
    <w:basedOn w:val="Normal"/>
    <w:rsid w:val="00985CEC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2">
    <w:name w:val="Bullet 2"/>
    <w:basedOn w:val="Normal"/>
    <w:rsid w:val="00985CEC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3">
    <w:name w:val="Bullet 3"/>
    <w:basedOn w:val="Normal"/>
    <w:rsid w:val="00985CEC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4">
    <w:name w:val="Bullet 4"/>
    <w:basedOn w:val="Normal"/>
    <w:rsid w:val="00985CEC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985CEC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985CEC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985CEC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985CEC"/>
    <w:pPr>
      <w:widowControl/>
    </w:pPr>
    <w:rPr>
      <w:rFonts w:ascii="Arial" w:eastAsiaTheme="minorHAnsi" w:hAnsi="Arial" w:cs="Arial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985CEC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985CEC"/>
    <w:pPr>
      <w:widowControl/>
      <w:spacing w:after="240"/>
      <w:ind w:left="5103"/>
    </w:pPr>
    <w:rPr>
      <w:rFonts w:eastAsiaTheme="minorHAns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985CEC"/>
    <w:pPr>
      <w:widowControl/>
      <w:spacing w:before="240" w:after="240"/>
      <w:ind w:left="5103"/>
    </w:pPr>
    <w:rPr>
      <w:rFonts w:eastAsiaTheme="minorHAnsi"/>
      <w:i/>
      <w:sz w:val="32"/>
      <w:szCs w:val="22"/>
      <w:lang w:val="en-GB"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985CEC"/>
  </w:style>
  <w:style w:type="paragraph" w:customStyle="1" w:styleId="TitreobjetPagedecouverture">
    <w:name w:val="Titre objet (Page de couverture)"/>
    <w:basedOn w:val="Titreobjet"/>
    <w:next w:val="IntrtEEEPagedecouverture"/>
    <w:rsid w:val="00985CEC"/>
  </w:style>
  <w:style w:type="paragraph" w:customStyle="1" w:styleId="IntrtEEEPagedecouverture">
    <w:name w:val="Intérêt EEE (Page de couverture)"/>
    <w:basedOn w:val="IntrtEEE"/>
    <w:next w:val="Rfrencecroise"/>
    <w:rsid w:val="00985CEC"/>
  </w:style>
  <w:style w:type="paragraph" w:customStyle="1" w:styleId="Rfrencecroise">
    <w:name w:val="Référence croisée"/>
    <w:basedOn w:val="Normal"/>
    <w:rsid w:val="00985CEC"/>
    <w:pPr>
      <w:widowControl/>
      <w:jc w:val="center"/>
    </w:pPr>
    <w:rPr>
      <w:rFonts w:eastAsiaTheme="minorHAnsi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985CEC"/>
    <w:pPr>
      <w:widowControl/>
      <w:jc w:val="both"/>
    </w:pPr>
    <w:rPr>
      <w:rFonts w:eastAsiaTheme="minorHAns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985CEC"/>
    <w:pPr>
      <w:widowControl/>
      <w:jc w:val="both"/>
    </w:pPr>
    <w:rPr>
      <w:rFonts w:eastAsiaTheme="minorHAnsi"/>
      <w:szCs w:val="22"/>
      <w:lang w:val="en-GB" w:eastAsia="en-US"/>
    </w:rPr>
  </w:style>
  <w:style w:type="paragraph" w:customStyle="1" w:styleId="Disclaimer">
    <w:name w:val="Disclaimer"/>
    <w:basedOn w:val="Normal"/>
    <w:rsid w:val="00985CE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SecurityMarking">
    <w:name w:val="SecurityMarking"/>
    <w:basedOn w:val="Normal"/>
    <w:rsid w:val="00985CEC"/>
    <w:pPr>
      <w:widowControl/>
      <w:spacing w:line="276" w:lineRule="auto"/>
      <w:ind w:left="5103"/>
    </w:pPr>
    <w:rPr>
      <w:rFonts w:eastAsiaTheme="minorHAnsi"/>
      <w:sz w:val="28"/>
      <w:szCs w:val="22"/>
      <w:lang w:val="en-GB" w:eastAsia="en-US"/>
    </w:rPr>
  </w:style>
  <w:style w:type="paragraph" w:customStyle="1" w:styleId="DateMarking">
    <w:name w:val="DateMarking"/>
    <w:basedOn w:val="Normal"/>
    <w:rsid w:val="00985CEC"/>
    <w:pPr>
      <w:widowControl/>
      <w:spacing w:line="276" w:lineRule="auto"/>
      <w:ind w:left="5103"/>
    </w:pPr>
    <w:rPr>
      <w:rFonts w:eastAsiaTheme="minorHAnsi"/>
      <w:i/>
      <w:sz w:val="28"/>
      <w:szCs w:val="22"/>
      <w:lang w:val="en-GB" w:eastAsia="en-US"/>
    </w:rPr>
  </w:style>
  <w:style w:type="paragraph" w:customStyle="1" w:styleId="ReleasableTo">
    <w:name w:val="ReleasableTo"/>
    <w:basedOn w:val="Normal"/>
    <w:rsid w:val="00985CEC"/>
    <w:pPr>
      <w:widowControl/>
      <w:spacing w:line="276" w:lineRule="auto"/>
      <w:ind w:left="5103"/>
    </w:pPr>
    <w:rPr>
      <w:rFonts w:eastAsiaTheme="minorHAnsi"/>
      <w:i/>
      <w:sz w:val="28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rsid w:val="00985CEC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985CEC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985CEC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985CEC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985CEC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985CE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985CEC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985CEC"/>
    <w:pPr>
      <w:keepNext/>
      <w:widowControl/>
      <w:spacing w:before="480" w:after="120"/>
      <w:jc w:val="both"/>
    </w:pPr>
    <w:rPr>
      <w:rFonts w:eastAsiaTheme="minorHAns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985CEC"/>
    <w:pPr>
      <w:widowControl/>
      <w:spacing w:before="36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Considrant">
    <w:name w:val="Considérant"/>
    <w:basedOn w:val="Normal"/>
    <w:rsid w:val="00985CEC"/>
    <w:pPr>
      <w:widowControl/>
      <w:numPr>
        <w:numId w:val="20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985CEC"/>
    <w:pPr>
      <w:widowControl/>
      <w:spacing w:after="240"/>
    </w:pPr>
    <w:rPr>
      <w:rFonts w:eastAsiaTheme="minorHAns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985CEC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985CEC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985CEC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985CEC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985CEC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985CEC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character" w:customStyle="1" w:styleId="Added">
    <w:name w:val="Added"/>
    <w:basedOn w:val="DefaultParagraphFont"/>
    <w:rsid w:val="00985CE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85CE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85CEC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985CEC"/>
    <w:pPr>
      <w:widowControl/>
      <w:spacing w:before="120" w:after="120"/>
      <w:jc w:val="both"/>
    </w:pPr>
    <w:rPr>
      <w:rFonts w:eastAsiaTheme="minorHAns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985CEC"/>
    <w:pPr>
      <w:widowControl/>
      <w:spacing w:after="60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985CEC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85CE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85CEC"/>
  </w:style>
  <w:style w:type="paragraph" w:customStyle="1" w:styleId="StatutPagedecouverture">
    <w:name w:val="Statut (Page de couverture)"/>
    <w:basedOn w:val="Statut"/>
    <w:next w:val="TypedudocumentPagedecouverture"/>
    <w:rsid w:val="00985CEC"/>
  </w:style>
  <w:style w:type="paragraph" w:customStyle="1" w:styleId="Volume">
    <w:name w:val="Volume"/>
    <w:basedOn w:val="Normal"/>
    <w:next w:val="Confidentialit"/>
    <w:rsid w:val="00985CEC"/>
    <w:pPr>
      <w:widowControl/>
      <w:spacing w:after="240"/>
      <w:ind w:left="5103"/>
    </w:pPr>
    <w:rPr>
      <w:rFonts w:eastAsiaTheme="minorHAnsi"/>
      <w:szCs w:val="22"/>
      <w:lang w:val="en-GB" w:eastAsia="en-US"/>
    </w:rPr>
  </w:style>
  <w:style w:type="paragraph" w:customStyle="1" w:styleId="Accompagnant">
    <w:name w:val="Accompagnant"/>
    <w:basedOn w:val="Normal"/>
    <w:next w:val="Typeacteprincipal"/>
    <w:rsid w:val="00985CEC"/>
    <w:pPr>
      <w:widowControl/>
      <w:spacing w:after="240"/>
      <w:jc w:val="center"/>
    </w:pPr>
    <w:rPr>
      <w:rFonts w:eastAsiaTheme="minorHAnsi"/>
      <w:b/>
      <w:i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985CEC"/>
    <w:pPr>
      <w:widowControl/>
      <w:spacing w:after="24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985CEC"/>
    <w:pPr>
      <w:widowControl/>
      <w:spacing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985CE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85CEC"/>
  </w:style>
  <w:style w:type="paragraph" w:customStyle="1" w:styleId="ObjetacteprincipalPagedecouverture">
    <w:name w:val="Objet acte principal (Page de couverture)"/>
    <w:basedOn w:val="Objetacteprincipal"/>
    <w:next w:val="Rfrencecroise"/>
    <w:rsid w:val="00985CEC"/>
  </w:style>
  <w:style w:type="paragraph" w:customStyle="1" w:styleId="LanguesfaisantfoiPagedecouverture">
    <w:name w:val="Langues faisant foi (Page de couverture)"/>
    <w:basedOn w:val="Normal"/>
    <w:next w:val="Normal"/>
    <w:rsid w:val="00985CEC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HeaderLandscape">
    <w:name w:val="HeaderLandscape"/>
    <w:basedOn w:val="Normal"/>
    <w:rsid w:val="00985CEC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val="en-GB" w:eastAsia="en-US"/>
    </w:rPr>
  </w:style>
  <w:style w:type="paragraph" w:customStyle="1" w:styleId="FooterLandscape">
    <w:name w:val="FooterLandscape"/>
    <w:basedOn w:val="Normal"/>
    <w:rsid w:val="00985CE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val="en-GB" w:eastAsia="en-US"/>
    </w:rPr>
  </w:style>
  <w:style w:type="paragraph" w:customStyle="1" w:styleId="Normal12a">
    <w:name w:val="Normal12a"/>
    <w:basedOn w:val="Normal"/>
    <w:rsid w:val="00985CEC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985CEC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RollCallSymbols14pt">
    <w:name w:val="RollCallSymbols14pt"/>
    <w:basedOn w:val="Normal"/>
    <w:rsid w:val="00985CEC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985CEC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985CEC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985CEC"/>
    <w:pPr>
      <w:spacing w:before="120" w:after="120"/>
    </w:pPr>
    <w:rPr>
      <w:snapToGrid w:val="0"/>
      <w:sz w:val="16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72BF6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B4147C"/>
  </w:style>
  <w:style w:type="paragraph" w:customStyle="1" w:styleId="NormalJustified">
    <w:name w:val="Normal Justified"/>
    <w:basedOn w:val="Normal"/>
    <w:rsid w:val="00B4147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4147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4147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4147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4147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4147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B4147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4147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4147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4147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4147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4147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4147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4147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4147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4147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4147C"/>
    <w:pPr>
      <w:widowControl/>
      <w:numPr>
        <w:ilvl w:val="1"/>
        <w:numId w:val="43"/>
      </w:numPr>
      <w:tabs>
        <w:tab w:val="clear" w:pos="567"/>
        <w:tab w:val="num" w:pos="2268"/>
      </w:tabs>
      <w:spacing w:before="120" w:after="120" w:line="360" w:lineRule="auto"/>
      <w:ind w:left="2268" w:hanging="708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4147C"/>
    <w:pPr>
      <w:widowControl/>
      <w:numPr>
        <w:ilvl w:val="3"/>
        <w:numId w:val="43"/>
      </w:numPr>
      <w:tabs>
        <w:tab w:val="clear" w:pos="1134"/>
        <w:tab w:val="num" w:pos="3686"/>
      </w:tabs>
      <w:spacing w:before="120" w:after="120" w:line="360" w:lineRule="auto"/>
      <w:ind w:left="3686" w:hanging="709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4147C"/>
    <w:pPr>
      <w:widowControl/>
      <w:numPr>
        <w:ilvl w:val="5"/>
        <w:numId w:val="43"/>
      </w:numPr>
      <w:tabs>
        <w:tab w:val="clear" w:pos="1701"/>
        <w:tab w:val="num" w:pos="2160"/>
      </w:tabs>
      <w:spacing w:before="120" w:after="120" w:line="360" w:lineRule="auto"/>
      <w:ind w:left="21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4147C"/>
    <w:pPr>
      <w:widowControl/>
      <w:numPr>
        <w:ilvl w:val="7"/>
        <w:numId w:val="43"/>
      </w:numPr>
      <w:tabs>
        <w:tab w:val="clear" w:pos="2268"/>
        <w:tab w:val="num" w:pos="2880"/>
      </w:tabs>
      <w:spacing w:before="120" w:after="120" w:line="360" w:lineRule="auto"/>
      <w:ind w:left="28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4147C"/>
    <w:pPr>
      <w:widowControl/>
      <w:numPr>
        <w:ilvl w:val="8"/>
        <w:numId w:val="43"/>
      </w:numPr>
      <w:tabs>
        <w:tab w:val="clear" w:pos="2835"/>
        <w:tab w:val="num" w:pos="3240"/>
      </w:tabs>
      <w:spacing w:before="120" w:after="120" w:line="360" w:lineRule="auto"/>
      <w:ind w:left="324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4147C"/>
    <w:pPr>
      <w:widowControl/>
      <w:numPr>
        <w:numId w:val="43"/>
      </w:numPr>
      <w:tabs>
        <w:tab w:val="clear" w:pos="567"/>
        <w:tab w:val="num" w:pos="1560"/>
      </w:tabs>
      <w:spacing w:before="120" w:after="120" w:line="360" w:lineRule="auto"/>
      <w:ind w:left="1560" w:hanging="709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4147C"/>
    <w:pPr>
      <w:widowControl/>
      <w:numPr>
        <w:ilvl w:val="2"/>
        <w:numId w:val="43"/>
      </w:numPr>
      <w:tabs>
        <w:tab w:val="clear" w:pos="1134"/>
        <w:tab w:val="num" w:pos="2977"/>
      </w:tabs>
      <w:spacing w:before="120" w:after="120" w:line="360" w:lineRule="auto"/>
      <w:ind w:left="2977" w:hanging="709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4147C"/>
    <w:pPr>
      <w:widowControl/>
      <w:numPr>
        <w:ilvl w:val="4"/>
        <w:numId w:val="43"/>
      </w:numPr>
      <w:tabs>
        <w:tab w:val="clear" w:pos="1701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4147C"/>
    <w:pPr>
      <w:widowControl/>
      <w:numPr>
        <w:ilvl w:val="6"/>
        <w:numId w:val="43"/>
      </w:numPr>
      <w:tabs>
        <w:tab w:val="clear" w:pos="2268"/>
        <w:tab w:val="num" w:pos="2520"/>
      </w:tabs>
      <w:spacing w:before="120" w:after="120" w:line="360" w:lineRule="auto"/>
      <w:ind w:left="252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4147C"/>
    <w:pPr>
      <w:widowControl/>
      <w:numPr>
        <w:numId w:val="44"/>
      </w:numPr>
      <w:tabs>
        <w:tab w:val="clear" w:pos="567"/>
        <w:tab w:val="num" w:pos="1560"/>
      </w:tabs>
      <w:spacing w:before="120" w:after="120" w:line="360" w:lineRule="auto"/>
      <w:ind w:left="1560" w:hanging="709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4147C"/>
    <w:pPr>
      <w:widowControl/>
      <w:numPr>
        <w:ilvl w:val="1"/>
        <w:numId w:val="44"/>
      </w:numPr>
      <w:tabs>
        <w:tab w:val="clear" w:pos="1134"/>
        <w:tab w:val="num" w:pos="2268"/>
      </w:tabs>
      <w:spacing w:before="120" w:after="120" w:line="360" w:lineRule="auto"/>
      <w:ind w:left="2268" w:hanging="708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4147C"/>
    <w:pPr>
      <w:widowControl/>
      <w:numPr>
        <w:ilvl w:val="2"/>
        <w:numId w:val="44"/>
      </w:numPr>
      <w:tabs>
        <w:tab w:val="clear" w:pos="1701"/>
        <w:tab w:val="num" w:pos="2977"/>
      </w:tabs>
      <w:spacing w:before="120" w:after="120" w:line="360" w:lineRule="auto"/>
      <w:ind w:left="2977" w:hanging="709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4147C"/>
    <w:pPr>
      <w:widowControl/>
      <w:numPr>
        <w:ilvl w:val="3"/>
        <w:numId w:val="44"/>
      </w:numPr>
      <w:tabs>
        <w:tab w:val="clear" w:pos="2268"/>
        <w:tab w:val="num" w:pos="3686"/>
      </w:tabs>
      <w:spacing w:before="120" w:after="120" w:line="360" w:lineRule="auto"/>
      <w:ind w:left="3686" w:hanging="709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4147C"/>
    <w:pPr>
      <w:widowControl/>
      <w:numPr>
        <w:ilvl w:val="4"/>
        <w:numId w:val="44"/>
      </w:numPr>
      <w:tabs>
        <w:tab w:val="clear" w:pos="2835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4147C"/>
    <w:pPr>
      <w:widowControl/>
      <w:numPr>
        <w:numId w:val="42"/>
      </w:numPr>
      <w:tabs>
        <w:tab w:val="clear" w:pos="567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4147C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4147C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4147C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4147C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4147C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4147C"/>
    <w:pPr>
      <w:numPr>
        <w:numId w:val="37"/>
      </w:numPr>
      <w:tabs>
        <w:tab w:val="clear" w:pos="567"/>
        <w:tab w:val="num" w:pos="1134"/>
      </w:tabs>
      <w:ind w:left="1134" w:hanging="283"/>
    </w:pPr>
  </w:style>
  <w:style w:type="paragraph" w:customStyle="1" w:styleId="DashEqual1">
    <w:name w:val="Dash Equal 1"/>
    <w:basedOn w:val="Dash1"/>
    <w:rsid w:val="00B4147C"/>
    <w:pPr>
      <w:numPr>
        <w:numId w:val="38"/>
      </w:numPr>
      <w:ind w:hanging="283"/>
    </w:pPr>
  </w:style>
  <w:style w:type="paragraph" w:customStyle="1" w:styleId="DashEqual2">
    <w:name w:val="Dash Equal 2"/>
    <w:basedOn w:val="Dash2"/>
    <w:rsid w:val="00B4147C"/>
    <w:pPr>
      <w:numPr>
        <w:numId w:val="39"/>
      </w:numPr>
      <w:tabs>
        <w:tab w:val="clear" w:pos="1701"/>
        <w:tab w:val="num" w:pos="709"/>
      </w:tabs>
      <w:ind w:left="709" w:hanging="709"/>
    </w:pPr>
  </w:style>
  <w:style w:type="paragraph" w:customStyle="1" w:styleId="DashEqual3">
    <w:name w:val="Dash Equal 3"/>
    <w:basedOn w:val="Dash3"/>
    <w:rsid w:val="00B4147C"/>
    <w:pPr>
      <w:numPr>
        <w:numId w:val="40"/>
      </w:numPr>
      <w:tabs>
        <w:tab w:val="clear" w:pos="2268"/>
        <w:tab w:val="num" w:pos="283"/>
      </w:tabs>
      <w:ind w:left="283" w:hanging="283"/>
    </w:pPr>
  </w:style>
  <w:style w:type="paragraph" w:customStyle="1" w:styleId="DashEqual4">
    <w:name w:val="Dash Equal 4"/>
    <w:basedOn w:val="Dash4"/>
    <w:rsid w:val="00B4147C"/>
    <w:pPr>
      <w:numPr>
        <w:numId w:val="41"/>
      </w:numPr>
      <w:tabs>
        <w:tab w:val="clear" w:pos="2835"/>
        <w:tab w:val="num" w:pos="1134"/>
      </w:tabs>
      <w:ind w:left="1134" w:hanging="283"/>
    </w:pPr>
  </w:style>
  <w:style w:type="paragraph" w:customStyle="1" w:styleId="HeadingLeft">
    <w:name w:val="Heading Left"/>
    <w:basedOn w:val="Normal"/>
    <w:next w:val="Normal"/>
    <w:rsid w:val="00B4147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4147C"/>
    <w:pPr>
      <w:numPr>
        <w:numId w:val="47"/>
      </w:numPr>
      <w:tabs>
        <w:tab w:val="clear" w:pos="567"/>
        <w:tab w:val="num" w:pos="709"/>
      </w:tabs>
      <w:ind w:left="709" w:hanging="709"/>
    </w:pPr>
  </w:style>
  <w:style w:type="paragraph" w:customStyle="1" w:styleId="Heading123">
    <w:name w:val="Heading 123"/>
    <w:basedOn w:val="HeadingLeft"/>
    <w:next w:val="Normal"/>
    <w:rsid w:val="00B4147C"/>
    <w:pPr>
      <w:numPr>
        <w:numId w:val="46"/>
      </w:numPr>
      <w:tabs>
        <w:tab w:val="clear" w:pos="567"/>
        <w:tab w:val="num" w:pos="850"/>
      </w:tabs>
      <w:ind w:left="850" w:hanging="850"/>
    </w:pPr>
  </w:style>
  <w:style w:type="paragraph" w:customStyle="1" w:styleId="HeadingABC">
    <w:name w:val="Heading ABC"/>
    <w:basedOn w:val="HeadingLeft"/>
    <w:next w:val="Normal"/>
    <w:rsid w:val="00B4147C"/>
    <w:pPr>
      <w:numPr>
        <w:numId w:val="45"/>
      </w:numPr>
      <w:tabs>
        <w:tab w:val="clear" w:pos="567"/>
        <w:tab w:val="num" w:pos="850"/>
      </w:tabs>
      <w:ind w:left="850" w:hanging="850"/>
    </w:pPr>
  </w:style>
  <w:style w:type="paragraph" w:customStyle="1" w:styleId="HeadingCentered">
    <w:name w:val="Heading Centered"/>
    <w:basedOn w:val="HeadingLeft"/>
    <w:next w:val="Normal"/>
    <w:rsid w:val="00B4147C"/>
    <w:pPr>
      <w:jc w:val="center"/>
    </w:pPr>
  </w:style>
  <w:style w:type="paragraph" w:customStyle="1" w:styleId="Jardin">
    <w:name w:val="Jardin"/>
    <w:basedOn w:val="Normal"/>
    <w:rsid w:val="00B4147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4147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4147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4147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4147C"/>
    <w:rPr>
      <w:b/>
    </w:rPr>
  </w:style>
  <w:style w:type="paragraph" w:customStyle="1" w:styleId="Annex">
    <w:name w:val="Annex"/>
    <w:basedOn w:val="Normal"/>
    <w:next w:val="Normal"/>
    <w:rsid w:val="00B4147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4147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4147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4147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4147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B4147C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B4147C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B4147C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B4147C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4147C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4147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4147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B4147C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B4147C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B4147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4147C"/>
    <w:rPr>
      <w:rFonts w:ascii="Arial" w:hAnsi="Arial" w:cs="Arial"/>
      <w:b/>
      <w:sz w:val="23"/>
      <w:u w:color="606060"/>
      <w:lang w:val="hr-HR" w:eastAsia="fr-BE"/>
    </w:rPr>
  </w:style>
  <w:style w:type="paragraph" w:customStyle="1" w:styleId="TBSubjectTable">
    <w:name w:val="TBSubjectTable"/>
    <w:basedOn w:val="TechnicalBlockBase"/>
    <w:rsid w:val="00B4147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B4147C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B4147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4147C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r-HR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B4147C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r-HR" w:eastAsia="fr-BE"/>
    </w:rPr>
  </w:style>
  <w:style w:type="paragraph" w:customStyle="1" w:styleId="HeaderCouncilLarge">
    <w:name w:val="Header Council Large"/>
    <w:basedOn w:val="Normal"/>
    <w:link w:val="HeaderCouncilLargeChar"/>
    <w:rsid w:val="00B4147C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B4147C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hr-HR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B4147C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hr-HR" w:eastAsia="fr-BE"/>
    </w:rPr>
  </w:style>
  <w:style w:type="paragraph" w:customStyle="1" w:styleId="FooterText">
    <w:name w:val="Footer Text"/>
    <w:basedOn w:val="Normal"/>
    <w:rsid w:val="00B4147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4147C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B4147C"/>
    <w:pPr>
      <w:keepNext/>
      <w:widowControl/>
      <w:numPr>
        <w:numId w:val="51"/>
      </w:numPr>
      <w:tabs>
        <w:tab w:val="num" w:pos="567"/>
        <w:tab w:val="left" w:pos="850"/>
      </w:tabs>
      <w:spacing w:before="360" w:after="120" w:line="360" w:lineRule="auto"/>
      <w:ind w:left="567" w:hanging="567"/>
      <w:outlineLvl w:val="0"/>
    </w:pPr>
    <w:rPr>
      <w:rFonts w:ascii="Cambria" w:hAnsi="Cambria"/>
      <w:color w:val="365F91"/>
      <w:sz w:val="40"/>
      <w:szCs w:val="40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B4147C"/>
    <w:pPr>
      <w:keepNext/>
      <w:widowControl/>
      <w:numPr>
        <w:ilvl w:val="1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1"/>
    </w:pPr>
    <w:rPr>
      <w:b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B4147C"/>
    <w:pPr>
      <w:keepNext/>
      <w:widowControl/>
      <w:numPr>
        <w:ilvl w:val="2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2"/>
    </w:pPr>
    <w:rPr>
      <w:i/>
      <w:szCs w:val="24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B4147C"/>
    <w:pPr>
      <w:keepNext/>
      <w:widowControl/>
      <w:numPr>
        <w:ilvl w:val="3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3"/>
    </w:pPr>
    <w:rPr>
      <w:iCs/>
      <w:szCs w:val="22"/>
      <w:lang w:eastAsia="en-US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B4147C"/>
    <w:pPr>
      <w:keepNext/>
      <w:widowControl/>
      <w:numPr>
        <w:ilvl w:val="4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B4147C"/>
    <w:pPr>
      <w:keepNext/>
      <w:widowControl/>
      <w:numPr>
        <w:ilvl w:val="5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B4147C"/>
    <w:pPr>
      <w:keepNext/>
      <w:widowControl/>
      <w:numPr>
        <w:ilvl w:val="6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character" w:customStyle="1" w:styleId="Heading1Char1">
    <w:name w:val="Heading 1 Char1"/>
    <w:basedOn w:val="DefaultParagraphFont"/>
    <w:uiPriority w:val="9"/>
    <w:rsid w:val="00B4147C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Text7">
    <w:name w:val="Text 7"/>
    <w:basedOn w:val="Normal"/>
    <w:rsid w:val="00B4147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4147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4147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4147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4147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4147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4147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4147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4147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4147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4147C"/>
    <w:pPr>
      <w:widowControl/>
      <w:numPr>
        <w:numId w:val="48"/>
      </w:numPr>
      <w:tabs>
        <w:tab w:val="clear" w:pos="4252"/>
        <w:tab w:val="num" w:pos="1134"/>
        <w:tab w:val="num" w:pos="1417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4147C"/>
    <w:pPr>
      <w:widowControl/>
      <w:numPr>
        <w:numId w:val="49"/>
      </w:numPr>
      <w:tabs>
        <w:tab w:val="clear" w:pos="4819"/>
        <w:tab w:val="num" w:pos="1701"/>
        <w:tab w:val="num" w:pos="1984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4147C"/>
    <w:pPr>
      <w:widowControl/>
      <w:numPr>
        <w:numId w:val="50"/>
      </w:numPr>
      <w:tabs>
        <w:tab w:val="clear" w:pos="5386"/>
        <w:tab w:val="num" w:pos="2268"/>
        <w:tab w:val="num" w:pos="2551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4147C"/>
    <w:pPr>
      <w:widowControl/>
      <w:numPr>
        <w:numId w:val="52"/>
      </w:numPr>
      <w:tabs>
        <w:tab w:val="clear" w:pos="3685"/>
        <w:tab w:val="num" w:pos="567"/>
        <w:tab w:val="num" w:pos="2268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4147C"/>
    <w:pPr>
      <w:widowControl/>
      <w:numPr>
        <w:numId w:val="53"/>
      </w:numPr>
      <w:tabs>
        <w:tab w:val="clear" w:pos="4252"/>
        <w:tab w:val="num" w:pos="567"/>
        <w:tab w:val="num" w:pos="2835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4147C"/>
    <w:pPr>
      <w:widowControl/>
      <w:numPr>
        <w:numId w:val="54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4147C"/>
    <w:pPr>
      <w:widowControl/>
      <w:numPr>
        <w:numId w:val="55"/>
      </w:numPr>
      <w:tabs>
        <w:tab w:val="clear" w:pos="5386"/>
        <w:tab w:val="num" w:pos="643"/>
        <w:tab w:val="num" w:pos="1134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4147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4147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B4147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4147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4147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4147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4147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4147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4147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4147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4147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4147C"/>
    <w:pPr>
      <w:spacing w:before="240"/>
    </w:pPr>
  </w:style>
  <w:style w:type="paragraph" w:customStyle="1" w:styleId="Accordtitre">
    <w:name w:val="Accord titre"/>
    <w:basedOn w:val="Normal"/>
    <w:rsid w:val="00B4147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4147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4147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4147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B4147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4147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4147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4147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4147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4147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4147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4147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4147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4147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4147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4147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4147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4147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4147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4147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4147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4147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4147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4147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4147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4147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4147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4147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4147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4147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4147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4147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B4147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4147C"/>
    <w:pPr>
      <w:pBdr>
        <w:top w:val="none" w:sz="0" w:space="0" w:color="auto"/>
        <w:left w:val="single" w:sz="4" w:space="20" w:color="auto"/>
      </w:pBdr>
    </w:pPr>
  </w:style>
  <w:style w:type="character" w:customStyle="1" w:styleId="Heading2Char1">
    <w:name w:val="Heading 2 Char1"/>
    <w:basedOn w:val="DefaultParagraphFont"/>
    <w:uiPriority w:val="9"/>
    <w:semiHidden/>
    <w:rsid w:val="00B4147C"/>
    <w:rPr>
      <w:rFonts w:ascii="Cambria" w:eastAsia="Times New Roman" w:hAnsi="Cambria" w:cs="Times New Roman"/>
      <w:color w:val="365F91"/>
      <w:sz w:val="26"/>
      <w:szCs w:val="26"/>
      <w:lang w:val="hr-HR"/>
    </w:rPr>
  </w:style>
  <w:style w:type="character" w:customStyle="1" w:styleId="Heading3Char1">
    <w:name w:val="Heading 3 Char1"/>
    <w:basedOn w:val="DefaultParagraphFont"/>
    <w:uiPriority w:val="9"/>
    <w:semiHidden/>
    <w:rsid w:val="00B4147C"/>
    <w:rPr>
      <w:rFonts w:ascii="Cambria" w:eastAsia="Times New Roman" w:hAnsi="Cambria" w:cs="Times New Roman"/>
      <w:color w:val="243F60"/>
      <w:sz w:val="24"/>
      <w:szCs w:val="24"/>
      <w:lang w:val="hr-HR"/>
    </w:rPr>
  </w:style>
  <w:style w:type="character" w:customStyle="1" w:styleId="Heading4Char1">
    <w:name w:val="Heading 4 Char1"/>
    <w:basedOn w:val="DefaultParagraphFont"/>
    <w:uiPriority w:val="9"/>
    <w:semiHidden/>
    <w:rsid w:val="00B4147C"/>
    <w:rPr>
      <w:rFonts w:ascii="Cambria" w:eastAsia="Times New Roman" w:hAnsi="Cambria" w:cs="Times New Roman"/>
      <w:i/>
      <w:iCs/>
      <w:color w:val="365F91"/>
      <w:sz w:val="24"/>
      <w:lang w:val="hr-HR"/>
    </w:rPr>
  </w:style>
  <w:style w:type="character" w:customStyle="1" w:styleId="Heading5Char1">
    <w:name w:val="Heading 5 Char1"/>
    <w:basedOn w:val="DefaultParagraphFont"/>
    <w:uiPriority w:val="9"/>
    <w:semiHidden/>
    <w:rsid w:val="00B4147C"/>
    <w:rPr>
      <w:rFonts w:ascii="Cambria" w:eastAsia="Times New Roman" w:hAnsi="Cambria" w:cs="Times New Roman"/>
      <w:color w:val="365F91"/>
      <w:sz w:val="24"/>
      <w:lang w:val="hr-HR"/>
    </w:rPr>
  </w:style>
  <w:style w:type="character" w:customStyle="1" w:styleId="Heading6Char1">
    <w:name w:val="Heading 6 Char1"/>
    <w:basedOn w:val="DefaultParagraphFont"/>
    <w:uiPriority w:val="9"/>
    <w:semiHidden/>
    <w:rsid w:val="00B4147C"/>
    <w:rPr>
      <w:rFonts w:ascii="Cambria" w:eastAsia="Times New Roman" w:hAnsi="Cambria" w:cs="Times New Roman"/>
      <w:color w:val="243F60"/>
      <w:sz w:val="24"/>
      <w:lang w:val="hr-HR"/>
    </w:rPr>
  </w:style>
  <w:style w:type="character" w:customStyle="1" w:styleId="Heading7Char1">
    <w:name w:val="Heading 7 Char1"/>
    <w:basedOn w:val="DefaultParagraphFont"/>
    <w:uiPriority w:val="9"/>
    <w:semiHidden/>
    <w:rsid w:val="00B4147C"/>
    <w:rPr>
      <w:rFonts w:ascii="Cambria" w:eastAsia="Times New Roman" w:hAnsi="Cambria" w:cs="Times New Roman"/>
      <w:i/>
      <w:iCs/>
      <w:color w:val="243F60"/>
      <w:sz w:val="24"/>
      <w:lang w:val="hr-HR"/>
    </w:rPr>
  </w:style>
  <w:style w:type="paragraph" w:styleId="EndnoteText">
    <w:name w:val="endnote text"/>
    <w:basedOn w:val="Normal"/>
    <w:link w:val="EndnoteTextChar1"/>
    <w:rsid w:val="00B4147C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B4147C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705/oj" TargetMode="External"/><Relationship Id="rId2" Type="http://schemas.openxmlformats.org/officeDocument/2006/relationships/hyperlink" Target="http://data.europa.eu/eli/C/2024/4662/oj" TargetMode="External"/><Relationship Id="rId1" Type="http://schemas.openxmlformats.org/officeDocument/2006/relationships/hyperlink" Target="http://data.europa.eu/eli/C/2025/805/oj" TargetMode="External"/><Relationship Id="rId6" Type="http://schemas.openxmlformats.org/officeDocument/2006/relationships/hyperlink" Target="http://data.europa.eu/eli/reg/2025/2643/oj" TargetMode="External"/><Relationship Id="rId5" Type="http://schemas.openxmlformats.org/officeDocument/2006/relationships/hyperlink" Target="http://data.europa.eu/eli/reg/2025/2643/oj" TargetMode="External"/><Relationship Id="rId4" Type="http://schemas.openxmlformats.org/officeDocument/2006/relationships/hyperlink" Target="http://data.europa.eu/eli/reg/2025/26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897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2026-01-28T10:31:00Z</dcterms:created>
  <dcterms:modified xsi:type="dcterms:W3CDTF">2026-01-28T10:31:00Z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P10_TA(2025)0281_</vt:lpwstr>
  </property>
  <property fmtid="{D5CDD505-2E9C-101B-9397-08002B2CF9AE}" pid="4" name="&lt;Type&gt;">
    <vt:lpwstr>RR</vt:lpwstr>
  </property>
</Properties>
</file>