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7A57" w14:paraId="310385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EF6026" w14:textId="77777777" w:rsidR="00751A4A" w:rsidRPr="00F87A57" w:rsidRDefault="009704C1" w:rsidP="0010095E">
            <w:pPr>
              <w:pStyle w:val="EPName"/>
            </w:pPr>
            <w:r w:rsidRPr="00F87A57">
              <w:t>Parlament Europejski</w:t>
            </w:r>
          </w:p>
          <w:p w14:paraId="35489AB3" w14:textId="77777777" w:rsidR="00751A4A" w:rsidRPr="00F87A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7A57">
              <w:t>2024</w:t>
            </w:r>
            <w:r w:rsidR="00817416" w:rsidRPr="00F87A57">
              <w:t>-202</w:t>
            </w:r>
            <w:r w:rsidRPr="00F87A57">
              <w:t>9</w:t>
            </w:r>
          </w:p>
        </w:tc>
        <w:tc>
          <w:tcPr>
            <w:tcW w:w="2268" w:type="dxa"/>
            <w:shd w:val="clear" w:color="auto" w:fill="auto"/>
          </w:tcPr>
          <w:p w14:paraId="3D639979" w14:textId="77777777" w:rsidR="00751A4A" w:rsidRPr="00F87A57" w:rsidRDefault="00187494" w:rsidP="0010095E">
            <w:pPr>
              <w:pStyle w:val="EPLogo"/>
            </w:pPr>
            <w:r w:rsidRPr="00F87A57">
              <w:rPr>
                <w:noProof/>
                <w:lang w:eastAsia="ja-JP"/>
              </w:rPr>
              <w:drawing>
                <wp:inline distT="0" distB="0" distL="0" distR="0" wp14:anchorId="31F69FE5" wp14:editId="5D60D7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2A670C" w14:textId="77777777" w:rsidR="00D058B8" w:rsidRPr="00F87A57" w:rsidRDefault="00D058B8" w:rsidP="004C5D52">
      <w:pPr>
        <w:pStyle w:val="LineTop"/>
      </w:pPr>
    </w:p>
    <w:p w14:paraId="48C03756" w14:textId="77777777" w:rsidR="00680577" w:rsidRPr="00F87A57" w:rsidRDefault="009704C1" w:rsidP="00680577">
      <w:pPr>
        <w:pStyle w:val="EPBodyTA1"/>
      </w:pPr>
      <w:r w:rsidRPr="00F87A57">
        <w:t>TEKSTY PRZYJĘTE</w:t>
      </w:r>
    </w:p>
    <w:p w14:paraId="1117C160" w14:textId="77777777" w:rsidR="00D058B8" w:rsidRPr="00F87A57" w:rsidRDefault="00D058B8" w:rsidP="00D058B8">
      <w:pPr>
        <w:pStyle w:val="LineBottom"/>
      </w:pPr>
    </w:p>
    <w:p w14:paraId="57623F43" w14:textId="4A2CF2A5" w:rsidR="009704C1" w:rsidRPr="00F87A57" w:rsidRDefault="009704C1" w:rsidP="009704C1">
      <w:pPr>
        <w:pStyle w:val="ATHeading1"/>
      </w:pPr>
      <w:bookmarkStart w:id="0" w:name="TANumber"/>
      <w:r w:rsidRPr="00F87A57">
        <w:t>P10_TA(2025)0</w:t>
      </w:r>
      <w:r w:rsidR="00A51D76">
        <w:t>281</w:t>
      </w:r>
      <w:bookmarkEnd w:id="0"/>
    </w:p>
    <w:p w14:paraId="6F21E0CD" w14:textId="2A5124BB" w:rsidR="009704C1" w:rsidRPr="00F87A57" w:rsidRDefault="00D97753" w:rsidP="009704C1">
      <w:pPr>
        <w:pStyle w:val="ATHeading2"/>
      </w:pPr>
      <w:bookmarkStart w:id="1" w:name="title"/>
      <w:r w:rsidRPr="00D97753">
        <w:t>Program na rzecz europejskiego przemysłu obronnego oraz ramy środków w celu zapewnienia terminowej dostępności i dostaw produktów związanych z obronnością („EDIP”)</w:t>
      </w:r>
      <w:bookmarkEnd w:id="1"/>
    </w:p>
    <w:p w14:paraId="01BA1528" w14:textId="77777777" w:rsidR="009704C1" w:rsidRPr="00F87A57" w:rsidRDefault="009704C1" w:rsidP="009704C1">
      <w:pPr>
        <w:rPr>
          <w:i/>
          <w:vanish/>
        </w:rPr>
      </w:pPr>
      <w:r w:rsidRPr="00F87A57">
        <w:rPr>
          <w:i/>
        </w:rPr>
        <w:fldChar w:fldCharType="begin"/>
      </w:r>
      <w:r w:rsidRPr="00F87A57">
        <w:rPr>
          <w:i/>
        </w:rPr>
        <w:instrText xml:space="preserve"> TC"(</w:instrText>
      </w:r>
      <w:bookmarkStart w:id="2" w:name="DocNumber"/>
      <w:r w:rsidRPr="00F87A57">
        <w:rPr>
          <w:i/>
        </w:rPr>
        <w:instrText>A10-0084/2025</w:instrText>
      </w:r>
      <w:bookmarkEnd w:id="2"/>
      <w:r w:rsidRPr="00F87A57">
        <w:rPr>
          <w:i/>
        </w:rPr>
        <w:instrText xml:space="preserve"> - Sprawozdawca: Raphaël Glucksmann, François-Xavier Bellamy)"\l3 \n&gt; \* MERGEFORMAT </w:instrText>
      </w:r>
      <w:r w:rsidRPr="00F87A57">
        <w:rPr>
          <w:i/>
        </w:rPr>
        <w:fldChar w:fldCharType="end"/>
      </w:r>
    </w:p>
    <w:p w14:paraId="5ACA5C99" w14:textId="77777777" w:rsidR="009704C1" w:rsidRPr="00F87A57" w:rsidRDefault="009704C1" w:rsidP="009704C1">
      <w:pPr>
        <w:rPr>
          <w:vanish/>
        </w:rPr>
      </w:pPr>
      <w:bookmarkStart w:id="3" w:name="Commission"/>
      <w:r w:rsidRPr="00F87A57">
        <w:rPr>
          <w:vanish/>
        </w:rPr>
        <w:t>Komisja Bezpieczeństwa i Obrony, Komisja Przemysłu, Badań Naukowych i Energii</w:t>
      </w:r>
      <w:bookmarkEnd w:id="3"/>
    </w:p>
    <w:p w14:paraId="204F34D9" w14:textId="77777777" w:rsidR="009704C1" w:rsidRPr="00F87A57" w:rsidRDefault="009704C1" w:rsidP="009704C1">
      <w:pPr>
        <w:rPr>
          <w:vanish/>
        </w:rPr>
      </w:pPr>
      <w:bookmarkStart w:id="4" w:name="PE"/>
      <w:r w:rsidRPr="00F87A57">
        <w:rPr>
          <w:vanish/>
        </w:rPr>
        <w:t>PE771.828</w:t>
      </w:r>
      <w:bookmarkEnd w:id="4"/>
    </w:p>
    <w:p w14:paraId="19AB3C74" w14:textId="5D270B25" w:rsidR="009704C1" w:rsidRPr="00F87A57" w:rsidRDefault="009704C1" w:rsidP="009704C1">
      <w:pPr>
        <w:pStyle w:val="ATHeading3"/>
      </w:pPr>
      <w:bookmarkStart w:id="5" w:name="Sujet"/>
      <w:r w:rsidRPr="00F87A57">
        <w:t xml:space="preserve">Rezolucja ustawodawcza Parlamentu Europejskiego z dnia </w:t>
      </w:r>
      <w:r w:rsidR="009705C9">
        <w:t>25</w:t>
      </w:r>
      <w:r w:rsidR="00433A28">
        <w:t xml:space="preserve"> listopada</w:t>
      </w:r>
      <w:r w:rsidRPr="00F87A57">
        <w:t xml:space="preserve"> 2025 r. w sprawie wniosku dotyczącego rozporządzenia Parlamentu Europejskiego i Rady ustanawiającego Program na rzecz europejskiego przemysłu obronnego oraz ramy środków w celu zapewnienia terminowej dostępności i dostaw produktów związanych z obronnością („EDIP”)</w:t>
      </w:r>
      <w:bookmarkEnd w:id="5"/>
      <w:r w:rsidRPr="00F87A57">
        <w:t xml:space="preserve"> </w:t>
      </w:r>
      <w:bookmarkStart w:id="6" w:name="References"/>
      <w:r w:rsidRPr="00F87A57">
        <w:t>(COM(2024)0150 – C10-0005/2024 – 2024/0061(COD))</w:t>
      </w:r>
      <w:bookmarkEnd w:id="6"/>
    </w:p>
    <w:p w14:paraId="4DE98734" w14:textId="77777777" w:rsidR="007E53CE" w:rsidRPr="00F87A57" w:rsidRDefault="007E53CE" w:rsidP="007E53CE">
      <w:pPr>
        <w:pStyle w:val="NormalBold"/>
      </w:pPr>
      <w:r w:rsidRPr="00F87A57">
        <w:t>(Zwykła procedura ustawodawcza: pierwsze czytanie)</w:t>
      </w:r>
    </w:p>
    <w:p w14:paraId="12F4BF51" w14:textId="77777777" w:rsidR="007E53CE" w:rsidRPr="00F87A57" w:rsidRDefault="007E53CE" w:rsidP="007E53CE">
      <w:pPr>
        <w:pStyle w:val="EPComma"/>
      </w:pPr>
      <w:r w:rsidRPr="00F87A57">
        <w:rPr>
          <w:i/>
          <w:iCs/>
        </w:rPr>
        <w:t>Parlament Europejski</w:t>
      </w:r>
      <w:r w:rsidRPr="00F87A57">
        <w:t>,</w:t>
      </w:r>
    </w:p>
    <w:p w14:paraId="525C4FB4" w14:textId="77777777" w:rsidR="007E53CE" w:rsidRPr="00F87A57" w:rsidRDefault="007E53CE" w:rsidP="007E53CE">
      <w:pPr>
        <w:pStyle w:val="NormalHanging12a"/>
      </w:pPr>
      <w:r w:rsidRPr="00F87A57">
        <w:t>–</w:t>
      </w:r>
      <w:r w:rsidRPr="00F87A57">
        <w:tab/>
        <w:t>uwzględniając wniosek Komisji przedstawiony Parlamentowi Europejskiemu i Radzie (COM(2024)0150),</w:t>
      </w:r>
    </w:p>
    <w:p w14:paraId="3A6A9EF5" w14:textId="77777777" w:rsidR="007E53CE" w:rsidRPr="00F87A57" w:rsidRDefault="007E53CE" w:rsidP="007E53CE">
      <w:pPr>
        <w:pStyle w:val="NormalHanging12a"/>
      </w:pPr>
      <w:r w:rsidRPr="00F87A57">
        <w:t>–</w:t>
      </w:r>
      <w:r w:rsidRPr="00F87A57">
        <w:tab/>
        <w:t xml:space="preserve">uwzględniając art. 294 ust. 2, art. </w:t>
      </w:r>
      <w:r w:rsidRPr="00F87A57">
        <w:rPr>
          <w:sz w:val="23"/>
        </w:rPr>
        <w:t>114 ust. 1, art. 173 ust. 3, art. 212 ust. 2 i art. 322 ust. 1</w:t>
      </w:r>
      <w:r w:rsidRPr="00F87A57">
        <w:t xml:space="preserve"> Traktatu o funkcjonowaniu Unii Europejskiej, zgodnie z którymi wniosek został przedstawiony Parlamentowi przez Komisję (C10-0005/2024),</w:t>
      </w:r>
    </w:p>
    <w:p w14:paraId="2760EC6E" w14:textId="77777777" w:rsidR="007E53CE" w:rsidRPr="00F87A57" w:rsidRDefault="007E53CE" w:rsidP="007E53CE">
      <w:pPr>
        <w:pStyle w:val="NormalHanging12a"/>
      </w:pPr>
      <w:r w:rsidRPr="00F87A57">
        <w:t>–</w:t>
      </w:r>
      <w:r w:rsidRPr="00F87A57">
        <w:tab/>
        <w:t>uwzględniając art. 294 ust. 3 Traktatu o funkcjonowaniu Unii Europejskiej,</w:t>
      </w:r>
    </w:p>
    <w:p w14:paraId="4C5B001E" w14:textId="77777777" w:rsidR="007E53CE" w:rsidRPr="00F87A57" w:rsidRDefault="007E53CE" w:rsidP="007E53CE">
      <w:pPr>
        <w:pStyle w:val="NormalHanging12a"/>
      </w:pPr>
      <w:r w:rsidRPr="00F87A57">
        <w:t>–</w:t>
      </w:r>
      <w:r w:rsidRPr="00F87A57">
        <w:tab/>
        <w:t>uwzględniając ocenę budżetową przedstawioną przez Komisję Budżetową,</w:t>
      </w:r>
    </w:p>
    <w:p w14:paraId="258341A3" w14:textId="77777777" w:rsidR="007E53CE" w:rsidRPr="00F87A57" w:rsidRDefault="007E53CE" w:rsidP="007E53CE">
      <w:pPr>
        <w:pStyle w:val="NormalHanging12a"/>
      </w:pPr>
      <w:r w:rsidRPr="00F87A57">
        <w:t>–</w:t>
      </w:r>
      <w:r w:rsidRPr="00F87A57">
        <w:tab/>
        <w:t>uwzględniając opinię Europejskiego Trybunału Obrachunkowego z dnia 31 stycznia 2025 r.</w:t>
      </w:r>
      <w:r w:rsidRPr="00F87A57">
        <w:rPr>
          <w:rStyle w:val="FootnoteReference"/>
        </w:rPr>
        <w:footnoteReference w:id="1"/>
      </w:r>
      <w:r w:rsidRPr="00F87A57">
        <w:t>,</w:t>
      </w:r>
    </w:p>
    <w:p w14:paraId="3779CCC1" w14:textId="77777777" w:rsidR="007E53CE" w:rsidRPr="00F87A57" w:rsidRDefault="007E53CE" w:rsidP="007E53CE">
      <w:pPr>
        <w:pStyle w:val="NormalHanging12a"/>
      </w:pPr>
      <w:r w:rsidRPr="00F87A57">
        <w:t>–</w:t>
      </w:r>
      <w:r w:rsidRPr="00F87A57">
        <w:tab/>
        <w:t>uwzględniając opinię Europejskiego Komitetu Ekonomiczno-Społecznego z dnia 30 maja 2024 r.</w:t>
      </w:r>
      <w:r w:rsidRPr="00F87A57">
        <w:rPr>
          <w:rStyle w:val="FootnoteReference"/>
        </w:rPr>
        <w:footnoteReference w:id="2"/>
      </w:r>
      <w:r w:rsidRPr="00F87A57">
        <w:t>,</w:t>
      </w:r>
    </w:p>
    <w:p w14:paraId="56B0C6FA" w14:textId="77777777" w:rsidR="007E53CE" w:rsidRDefault="007E53CE" w:rsidP="007E53CE">
      <w:pPr>
        <w:pStyle w:val="NormalHanging12a"/>
      </w:pPr>
      <w:r w:rsidRPr="00F87A57">
        <w:t>–</w:t>
      </w:r>
      <w:r w:rsidRPr="00F87A57">
        <w:tab/>
        <w:t>uwzględniając opinię Komitetu Regionów z dnia 20 lutego 2025 r.</w:t>
      </w:r>
      <w:r w:rsidRPr="00F87A57">
        <w:rPr>
          <w:rStyle w:val="FootnoteReference"/>
        </w:rPr>
        <w:footnoteReference w:id="3"/>
      </w:r>
      <w:r w:rsidRPr="00F87A57">
        <w:t xml:space="preserve">,  </w:t>
      </w:r>
    </w:p>
    <w:p w14:paraId="5B9DDE6F" w14:textId="7D6D5AE7" w:rsidR="009705C9" w:rsidRPr="00F87A57" w:rsidRDefault="009705C9" w:rsidP="007E53CE">
      <w:pPr>
        <w:pStyle w:val="NormalHanging12a"/>
      </w:pPr>
      <w:bookmarkStart w:id="7" w:name="_Hlk211842926"/>
      <w:r w:rsidRPr="0090212C">
        <w:lastRenderedPageBreak/>
        <w:t>–</w:t>
      </w:r>
      <w:r w:rsidRPr="0090212C">
        <w:tab/>
        <w:t>uwzględniając wstępne porozumienie zatwierdzone przez komisj</w:t>
      </w:r>
      <w:r>
        <w:t>e</w:t>
      </w:r>
      <w:r w:rsidRPr="0090212C">
        <w:t xml:space="preserve"> </w:t>
      </w:r>
      <w:r>
        <w:t>przedmiotowo właściwe na podstawie art. 75</w:t>
      </w:r>
      <w:r w:rsidRPr="0090212C">
        <w:t xml:space="preserve"> ust. 4 Regulaminu oraz </w:t>
      </w:r>
      <w:r>
        <w:t>przekazane pismem z dnia 17 października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7"/>
    </w:p>
    <w:p w14:paraId="56CE4DDE" w14:textId="1199E54B" w:rsidR="007E53CE" w:rsidRDefault="007E53CE" w:rsidP="007E53CE">
      <w:pPr>
        <w:pStyle w:val="NormalHanging12a"/>
      </w:pPr>
      <w:r w:rsidRPr="00F87A57">
        <w:t>–</w:t>
      </w:r>
      <w:r w:rsidRPr="00F87A57">
        <w:tab/>
        <w:t>uwzględniając art. 60, 170</w:t>
      </w:r>
      <w:r w:rsidR="00D97753">
        <w:t xml:space="preserve"> i</w:t>
      </w:r>
      <w:r w:rsidRPr="00F87A57">
        <w:t xml:space="preserve"> 58 Regulaminu,</w:t>
      </w:r>
    </w:p>
    <w:p w14:paraId="4EAFB660" w14:textId="04A01B65" w:rsidR="009705C9" w:rsidRPr="00F87A57" w:rsidRDefault="009705C9" w:rsidP="007E53CE">
      <w:pPr>
        <w:pStyle w:val="NormalHanging12a"/>
      </w:pPr>
      <w:r w:rsidRPr="00554D02">
        <w:t>–</w:t>
      </w:r>
      <w:r w:rsidRPr="00554D02">
        <w:tab/>
        <w:t xml:space="preserve">uwzględniając wspólne posiedzenia </w:t>
      </w:r>
      <w:r w:rsidRPr="00F87A57">
        <w:t>Komisji Bezpieczeństwa i Obrony oraz Komisji Przemysłu, Badań Naukowych i Energii</w:t>
      </w:r>
      <w:r>
        <w:t xml:space="preserve"> </w:t>
      </w:r>
      <w:r w:rsidRPr="00554D02">
        <w:t>zgodnie z art. 5</w:t>
      </w:r>
      <w:r>
        <w:t>9</w:t>
      </w:r>
      <w:r w:rsidRPr="00554D02">
        <w:t xml:space="preserve"> Regulaminu,</w:t>
      </w:r>
    </w:p>
    <w:p w14:paraId="438E30D0" w14:textId="77777777" w:rsidR="007E53CE" w:rsidRPr="00F87A57" w:rsidRDefault="007E53CE" w:rsidP="007E53CE">
      <w:pPr>
        <w:pStyle w:val="NormalHanging12a"/>
      </w:pPr>
      <w:r w:rsidRPr="00F87A57">
        <w:t>–</w:t>
      </w:r>
      <w:r w:rsidRPr="00F87A57">
        <w:tab/>
        <w:t>uwzględniając opinie przedstawione przez Komisję Spraw Zagranicznych, Komisję Kontroli Budżetowej oraz Komisję Rynku Wewnętrznego i Ochrony Konsumentów,</w:t>
      </w:r>
    </w:p>
    <w:p w14:paraId="40F37C5F" w14:textId="77777777" w:rsidR="007E53CE" w:rsidRPr="00F87A57" w:rsidRDefault="007E53CE" w:rsidP="007E53CE">
      <w:pPr>
        <w:pStyle w:val="NormalHanging12a"/>
      </w:pPr>
      <w:r w:rsidRPr="00F87A57">
        <w:t>–</w:t>
      </w:r>
      <w:r w:rsidRPr="00F87A57">
        <w:tab/>
        <w:t>uwzględniając sprawozdanie Komisji Bezpieczeństwa i Obrony oraz Komisji Przemysłu, Badań Naukowych i Energii (A10-0084/2025),</w:t>
      </w:r>
    </w:p>
    <w:p w14:paraId="57F71610" w14:textId="77777777" w:rsidR="007E53CE" w:rsidRDefault="007E53CE" w:rsidP="007E53CE">
      <w:pPr>
        <w:pStyle w:val="NormalHanging12a"/>
      </w:pPr>
      <w:r w:rsidRPr="00F87A57">
        <w:t>1.</w:t>
      </w:r>
      <w:r w:rsidRPr="00F87A57">
        <w:tab/>
        <w:t>przyjmuje poniższe stanowisko w pierwszym czytaniu;</w:t>
      </w:r>
    </w:p>
    <w:p w14:paraId="08C47FE2" w14:textId="383D02FF" w:rsidR="009705C9" w:rsidRPr="009705C9" w:rsidRDefault="009705C9" w:rsidP="007E53CE">
      <w:pPr>
        <w:pStyle w:val="NormalHanging12a"/>
        <w:rPr>
          <w:bCs/>
          <w:iCs/>
        </w:rPr>
      </w:pPr>
      <w:r w:rsidRPr="00A51D76">
        <w:rPr>
          <w:bCs/>
          <w:iCs/>
        </w:rPr>
        <w:t xml:space="preserve">2. </w:t>
      </w:r>
      <w:r w:rsidRPr="00A51D76">
        <w:rPr>
          <w:bCs/>
          <w:iCs/>
        </w:rPr>
        <w:tab/>
        <w:t xml:space="preserve">zatwierdza wspólne oświadczenie Parlamentu Europejskiego i Rady </w:t>
      </w:r>
      <w:r>
        <w:rPr>
          <w:bCs/>
          <w:iCs/>
        </w:rPr>
        <w:t xml:space="preserve">oraz </w:t>
      </w:r>
      <w:r w:rsidR="003F2CCF">
        <w:rPr>
          <w:bCs/>
          <w:iCs/>
        </w:rPr>
        <w:t>wspólne</w:t>
      </w:r>
      <w:r>
        <w:rPr>
          <w:bCs/>
          <w:iCs/>
        </w:rPr>
        <w:t xml:space="preserve"> oświadczenia </w:t>
      </w:r>
      <w:r w:rsidR="003F2CCF" w:rsidRPr="00A51D76">
        <w:t>Parlamentu Europejskiego, Rady i Komisji</w:t>
      </w:r>
      <w:r w:rsidR="003F2CCF" w:rsidRPr="003F2CCF">
        <w:rPr>
          <w:b/>
          <w:bCs/>
          <w:i/>
          <w:iCs/>
        </w:rPr>
        <w:t xml:space="preserve"> </w:t>
      </w:r>
      <w:r w:rsidRPr="00A51D76">
        <w:rPr>
          <w:bCs/>
          <w:iCs/>
        </w:rPr>
        <w:t>załączone do niniejszej rezolucji, które zostan</w:t>
      </w:r>
      <w:r w:rsidR="00144A7E">
        <w:rPr>
          <w:bCs/>
          <w:iCs/>
        </w:rPr>
        <w:t>ą</w:t>
      </w:r>
      <w:r w:rsidRPr="00A51D76">
        <w:rPr>
          <w:bCs/>
          <w:iCs/>
        </w:rPr>
        <w:t xml:space="preserve"> opublikowane w serii C </w:t>
      </w:r>
      <w:r w:rsidRPr="00A51D76">
        <w:rPr>
          <w:bCs/>
          <w:i/>
        </w:rPr>
        <w:t>Dziennika Urzędowego Unii Europejskiej</w:t>
      </w:r>
      <w:r w:rsidRPr="00A51D76">
        <w:rPr>
          <w:bCs/>
          <w:iCs/>
        </w:rPr>
        <w:t>;</w:t>
      </w:r>
    </w:p>
    <w:p w14:paraId="3D163D94" w14:textId="17A8B80C" w:rsidR="007E53CE" w:rsidRPr="00F87A57" w:rsidRDefault="009705C9" w:rsidP="007E53CE">
      <w:pPr>
        <w:pStyle w:val="NormalHanging12a"/>
      </w:pPr>
      <w:r>
        <w:t>3</w:t>
      </w:r>
      <w:r w:rsidR="007E53CE" w:rsidRPr="00F87A57">
        <w:t>.</w:t>
      </w:r>
      <w:r w:rsidR="007E53CE" w:rsidRPr="00F87A57">
        <w:tab/>
        <w:t>zwraca się do Komisji o ponowne przekazanie mu sprawy, jeśli zastąpi ona pierwotny wniosek, wprowadzi w nim istotne zmiany lub planuje ich wprowadzenie;</w:t>
      </w:r>
    </w:p>
    <w:p w14:paraId="63E51E19" w14:textId="3EA95BCF" w:rsidR="00D97753" w:rsidRDefault="009705C9" w:rsidP="007E53CE">
      <w:pPr>
        <w:pStyle w:val="NormalHanging12a"/>
        <w:sectPr w:rsidR="00D97753" w:rsidSect="00F87A5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4</w:t>
      </w:r>
      <w:r w:rsidR="007E53CE" w:rsidRPr="00F87A57">
        <w:t>.</w:t>
      </w:r>
      <w:r w:rsidR="007E53CE" w:rsidRPr="00F87A57">
        <w:tab/>
        <w:t>zobowiązuje swoją przewodniczącą do przekazania stanowiska Parlamentu Radzie i Komisji oraz parlamentom narodowym.</w:t>
      </w:r>
    </w:p>
    <w:p w14:paraId="22F80919" w14:textId="1C333DAD" w:rsidR="009705C9" w:rsidRDefault="009705C9" w:rsidP="009705C9">
      <w:pPr>
        <w:spacing w:after="240"/>
        <w:rPr>
          <w:b/>
        </w:rPr>
      </w:pPr>
      <w:r>
        <w:rPr>
          <w:b/>
        </w:rPr>
        <w:lastRenderedPageBreak/>
        <w:t>P10_TC1-COD(2024)0061</w:t>
      </w:r>
    </w:p>
    <w:p w14:paraId="00109733" w14:textId="10A6F7D9" w:rsidR="009705C9" w:rsidRPr="00C30B28" w:rsidRDefault="009705C9" w:rsidP="009705C9">
      <w:pPr>
        <w:rPr>
          <w:rFonts w:eastAsia="Calibri"/>
          <w:b/>
          <w:bCs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25 listopada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2025/...</w:t>
      </w:r>
      <w:r w:rsidRPr="00741191">
        <w:rPr>
          <w:b/>
        </w:rPr>
        <w:t xml:space="preserve"> </w:t>
      </w:r>
      <w:r w:rsidR="0030752F" w:rsidRPr="0030752F">
        <w:rPr>
          <w:b/>
          <w:bCs/>
        </w:rPr>
        <w:t>w sprawie ustanowienia Programu na rzecz europejskiego przemysłu obronnego oraz ram środków w celu zapewnienia terminowej dostępności i terminowych dostaw produktów związanych z obronnością („rozporządzenie w sprawie EDIP”)</w:t>
      </w:r>
    </w:p>
    <w:p w14:paraId="2CB51289" w14:textId="5438D411" w:rsidR="0030752F" w:rsidRPr="009B0F34" w:rsidRDefault="0030752F" w:rsidP="0030752F">
      <w:pPr>
        <w:spacing w:before="240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rozporządzenia (UE) 2025/</w:t>
      </w:r>
      <w:r>
        <w:rPr>
          <w:i/>
        </w:rPr>
        <w:t>2643</w:t>
      </w:r>
      <w:r w:rsidRPr="009B0F34">
        <w:rPr>
          <w:i/>
        </w:rPr>
        <w:t>.)</w:t>
      </w:r>
    </w:p>
    <w:p w14:paraId="41B4500B" w14:textId="77777777" w:rsidR="003F2CCF" w:rsidRDefault="003F2CCF" w:rsidP="009705C9">
      <w:pPr>
        <w:pStyle w:val="NormalHanging12a"/>
        <w:sectPr w:rsidR="003F2CCF" w:rsidSect="009705C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</w:sectPr>
      </w:pPr>
    </w:p>
    <w:p w14:paraId="03CD1059" w14:textId="59210CDB" w:rsidR="003F2CCF" w:rsidRDefault="003F2CCF" w:rsidP="003F2CCF">
      <w:pPr>
        <w:spacing w:before="120" w:after="120" w:line="360" w:lineRule="auto"/>
        <w:jc w:val="right"/>
      </w:pPr>
      <w:r>
        <w:lastRenderedPageBreak/>
        <w:t>ZALACZNIK DO REZOLUCJI USTAWODAWCZEJ</w:t>
      </w:r>
    </w:p>
    <w:p w14:paraId="34CA8C05" w14:textId="474D83FB" w:rsidR="003F2CCF" w:rsidRPr="00341D2B" w:rsidRDefault="003F2CCF" w:rsidP="003F2CCF">
      <w:pPr>
        <w:spacing w:before="360" w:after="120" w:line="360" w:lineRule="auto"/>
        <w:rPr>
          <w:iCs/>
        </w:rPr>
      </w:pPr>
      <w:r w:rsidRPr="00341D2B">
        <w:rPr>
          <w:b/>
        </w:rPr>
        <w:t>Wspólne oświadczenie Parlamentu Europejskiego i</w:t>
      </w:r>
      <w:r>
        <w:rPr>
          <w:b/>
        </w:rPr>
        <w:t> </w:t>
      </w:r>
      <w:r w:rsidRPr="00341D2B">
        <w:rPr>
          <w:b/>
        </w:rPr>
        <w:t>Rady w</w:t>
      </w:r>
      <w:r>
        <w:rPr>
          <w:b/>
        </w:rPr>
        <w:t> </w:t>
      </w:r>
      <w:r w:rsidRPr="00341D2B">
        <w:rPr>
          <w:b/>
        </w:rPr>
        <w:t>sprawie finansowania Programu na rzecz europejskiego przemysłu obronnego (EDIP) oraz Instrumentu Wsparcia Ukrainy na mocy rozporządzenia w</w:t>
      </w:r>
      <w:r>
        <w:rPr>
          <w:b/>
        </w:rPr>
        <w:t> </w:t>
      </w:r>
      <w:r w:rsidRPr="00341D2B">
        <w:rPr>
          <w:b/>
        </w:rPr>
        <w:t>sprawie EDIP</w:t>
      </w:r>
      <w:r w:rsidRPr="00341D2B">
        <w:rPr>
          <w:vertAlign w:val="superscript"/>
        </w:rPr>
        <w:footnoteReference w:customMarkFollows="1" w:id="4"/>
        <w:t>+</w:t>
      </w:r>
    </w:p>
    <w:p w14:paraId="596A622C" w14:textId="77777777" w:rsidR="003F2CCF" w:rsidRPr="00341D2B" w:rsidRDefault="003F2CCF" w:rsidP="003F2CCF">
      <w:pPr>
        <w:spacing w:before="120" w:after="120" w:line="360" w:lineRule="auto"/>
        <w:rPr>
          <w:color w:val="000000"/>
        </w:rPr>
      </w:pPr>
      <w:r w:rsidRPr="00341D2B">
        <w:rPr>
          <w:color w:val="000000"/>
        </w:rPr>
        <w:t>Parlament Europejski i</w:t>
      </w:r>
      <w:r>
        <w:rPr>
          <w:color w:val="000000"/>
        </w:rPr>
        <w:t> </w:t>
      </w:r>
      <w:r w:rsidRPr="00341D2B">
        <w:rPr>
          <w:color w:val="000000"/>
        </w:rPr>
        <w:t>Rada uznają bezwzględną potrzebę wspierania europejskiej bazy technologiczno-przemysłowej sektora obronnego oraz ukraińskiej bazy technologiczno-przemysłowej sektora obronnego w</w:t>
      </w:r>
      <w:r>
        <w:rPr>
          <w:color w:val="000000"/>
        </w:rPr>
        <w:t> </w:t>
      </w:r>
      <w:r w:rsidRPr="00341D2B">
        <w:rPr>
          <w:color w:val="000000"/>
        </w:rPr>
        <w:t>celu zwiększenia ich konkurencyjności poprzez przyspieszenie dostosowania przemysłu do zmian strukturalnych, w</w:t>
      </w:r>
      <w:r>
        <w:rPr>
          <w:color w:val="000000"/>
        </w:rPr>
        <w:t> </w:t>
      </w:r>
      <w:r w:rsidRPr="00341D2B">
        <w:rPr>
          <w:color w:val="000000"/>
        </w:rPr>
        <w:t>tym poprzez zwiększenie zdolności produkcyjnych i</w:t>
      </w:r>
      <w:r>
        <w:rPr>
          <w:color w:val="000000"/>
        </w:rPr>
        <w:t> </w:t>
      </w:r>
      <w:r w:rsidRPr="00341D2B">
        <w:rPr>
          <w:color w:val="000000"/>
        </w:rPr>
        <w:t>zacieśnienie współpracy w</w:t>
      </w:r>
      <w:r>
        <w:rPr>
          <w:color w:val="000000"/>
        </w:rPr>
        <w:t> </w:t>
      </w:r>
      <w:r w:rsidRPr="00341D2B">
        <w:rPr>
          <w:color w:val="000000"/>
        </w:rPr>
        <w:t>zakresie zamówień na produkty związane z</w:t>
      </w:r>
      <w:r>
        <w:rPr>
          <w:color w:val="000000"/>
        </w:rPr>
        <w:t> </w:t>
      </w:r>
      <w:r w:rsidRPr="00341D2B">
        <w:rPr>
          <w:color w:val="000000"/>
        </w:rPr>
        <w:t>obronnością, w</w:t>
      </w:r>
      <w:r>
        <w:rPr>
          <w:color w:val="000000"/>
        </w:rPr>
        <w:t> </w:t>
      </w:r>
      <w:r w:rsidRPr="00341D2B">
        <w:rPr>
          <w:color w:val="000000"/>
        </w:rPr>
        <w:t>szczególności w</w:t>
      </w:r>
      <w:r>
        <w:rPr>
          <w:color w:val="000000"/>
        </w:rPr>
        <w:t> </w:t>
      </w:r>
      <w:r w:rsidRPr="00341D2B">
        <w:rPr>
          <w:color w:val="000000"/>
        </w:rPr>
        <w:t>świetle wyzwań wynikających z</w:t>
      </w:r>
      <w:r>
        <w:rPr>
          <w:color w:val="000000"/>
        </w:rPr>
        <w:t> </w:t>
      </w:r>
      <w:r w:rsidRPr="00341D2B">
        <w:rPr>
          <w:color w:val="000000"/>
        </w:rPr>
        <w:t>nielegalnej, niczym niesprowokowanej i</w:t>
      </w:r>
      <w:r>
        <w:rPr>
          <w:color w:val="000000"/>
        </w:rPr>
        <w:t> </w:t>
      </w:r>
      <w:r w:rsidRPr="00341D2B">
        <w:rPr>
          <w:color w:val="000000"/>
        </w:rPr>
        <w:t>nieuzasadnionej wojny napastniczej Rosji przeciwko Ukrainie.</w:t>
      </w:r>
    </w:p>
    <w:p w14:paraId="14A1E822" w14:textId="240AA9CE" w:rsidR="003F2CCF" w:rsidRDefault="003F2CCF" w:rsidP="003F2CCF">
      <w:pPr>
        <w:pStyle w:val="NormalHanging12a"/>
        <w:spacing w:before="120" w:after="120" w:line="360" w:lineRule="auto"/>
        <w:ind w:left="0" w:firstLine="0"/>
      </w:pPr>
      <w:r w:rsidRPr="00341D2B">
        <w:rPr>
          <w:color w:val="000000"/>
        </w:rPr>
        <w:t>Bez uszczerbku dla prerogatyw władzy budżetowej w</w:t>
      </w:r>
      <w:r>
        <w:rPr>
          <w:color w:val="000000"/>
        </w:rPr>
        <w:t> </w:t>
      </w:r>
      <w:r w:rsidRPr="00341D2B">
        <w:rPr>
          <w:color w:val="000000"/>
        </w:rPr>
        <w:t>ramach przyszłych rocznych procedur budżetowych Parlament Europejski i</w:t>
      </w:r>
      <w:r>
        <w:rPr>
          <w:color w:val="000000"/>
        </w:rPr>
        <w:t> </w:t>
      </w:r>
      <w:r w:rsidRPr="00341D2B">
        <w:rPr>
          <w:color w:val="000000"/>
        </w:rPr>
        <w:t>Rada zwracają się do Komisji o</w:t>
      </w:r>
      <w:r>
        <w:rPr>
          <w:color w:val="000000"/>
        </w:rPr>
        <w:t> </w:t>
      </w:r>
      <w:r w:rsidRPr="00341D2B">
        <w:rPr>
          <w:color w:val="000000"/>
        </w:rPr>
        <w:t>to, by pilnie zbadała – przy jednoczesnym uwzględnieniu wcześniejszych zobowiązań politycznych władzy budżetowej, w</w:t>
      </w:r>
      <w:r>
        <w:rPr>
          <w:color w:val="000000"/>
        </w:rPr>
        <w:t> </w:t>
      </w:r>
      <w:r w:rsidRPr="00341D2B">
        <w:rPr>
          <w:color w:val="000000"/>
        </w:rPr>
        <w:t>tym dotyczących pokrycia kosztów odsetek z</w:t>
      </w:r>
      <w:r>
        <w:rPr>
          <w:color w:val="000000"/>
        </w:rPr>
        <w:t> </w:t>
      </w:r>
      <w:r w:rsidRPr="00341D2B">
        <w:rPr>
          <w:color w:val="000000"/>
        </w:rPr>
        <w:t>EURI – możliwości wzmocnienia budżetu Programu na rzecz europejskiego przemysłu obronnego oraz Instrumentu Wsparcia Ukrainy, zgodnie z</w:t>
      </w:r>
      <w:r>
        <w:rPr>
          <w:color w:val="000000"/>
        </w:rPr>
        <w:t> pkt </w:t>
      </w:r>
      <w:r w:rsidRPr="00341D2B">
        <w:rPr>
          <w:color w:val="000000"/>
        </w:rPr>
        <w:t>18</w:t>
      </w:r>
      <w:r>
        <w:rPr>
          <w:color w:val="000000"/>
        </w:rPr>
        <w:t> </w:t>
      </w:r>
      <w:r w:rsidRPr="00341D2B">
        <w:rPr>
          <w:color w:val="000000"/>
        </w:rPr>
        <w:t>porozumienia międzyinstytucjonalnego w</w:t>
      </w:r>
      <w:r>
        <w:rPr>
          <w:color w:val="000000"/>
        </w:rPr>
        <w:t> </w:t>
      </w:r>
      <w:r w:rsidRPr="00341D2B">
        <w:rPr>
          <w:color w:val="000000"/>
        </w:rPr>
        <w:t>sprawie dyscypliny budżetowej, bez ograniczania podobnych programów i</w:t>
      </w:r>
      <w:r>
        <w:rPr>
          <w:color w:val="000000"/>
        </w:rPr>
        <w:t> </w:t>
      </w:r>
      <w:r w:rsidRPr="00341D2B">
        <w:rPr>
          <w:color w:val="000000"/>
        </w:rPr>
        <w:t>funduszy UE.</w:t>
      </w:r>
    </w:p>
    <w:p w14:paraId="4F9974DD" w14:textId="77777777" w:rsidR="003F2CCF" w:rsidRDefault="003F2CCF">
      <w:pPr>
        <w:widowControl/>
      </w:pPr>
      <w:r>
        <w:br w:type="page"/>
      </w:r>
    </w:p>
    <w:p w14:paraId="2485C862" w14:textId="77777777" w:rsidR="003F2CCF" w:rsidRPr="00341D2B" w:rsidRDefault="003F2CCF" w:rsidP="003F2CCF">
      <w:pPr>
        <w:spacing w:before="120" w:after="120" w:line="360" w:lineRule="auto"/>
        <w:rPr>
          <w:iCs/>
        </w:rPr>
      </w:pPr>
      <w:r w:rsidRPr="00341D2B">
        <w:rPr>
          <w:b/>
        </w:rPr>
        <w:lastRenderedPageBreak/>
        <w:t>Wspólne oświadczenie Parlamentu Europejskiego, Rady i</w:t>
      </w:r>
      <w:r>
        <w:rPr>
          <w:b/>
        </w:rPr>
        <w:t> </w:t>
      </w:r>
      <w:r w:rsidRPr="00341D2B">
        <w:rPr>
          <w:b/>
        </w:rPr>
        <w:t>Komisji w</w:t>
      </w:r>
      <w:r>
        <w:rPr>
          <w:b/>
        </w:rPr>
        <w:t> </w:t>
      </w:r>
      <w:r w:rsidRPr="00341D2B">
        <w:rPr>
          <w:b/>
        </w:rPr>
        <w:t>sprawie wkładów finansowych państw trzecich z</w:t>
      </w:r>
      <w:r>
        <w:rPr>
          <w:b/>
        </w:rPr>
        <w:t> </w:t>
      </w:r>
      <w:r w:rsidRPr="00341D2B">
        <w:rPr>
          <w:b/>
        </w:rPr>
        <w:t>tytułu ich udziału w</w:t>
      </w:r>
      <w:r>
        <w:rPr>
          <w:b/>
        </w:rPr>
        <w:t> </w:t>
      </w:r>
      <w:r w:rsidRPr="00341D2B">
        <w:rPr>
          <w:b/>
        </w:rPr>
        <w:t>instrumencie SAFE jako dodatkowych zasobów finansowych na Program na rzecz europejskiego przemysłu obronnego (EDIP) i</w:t>
      </w:r>
      <w:r>
        <w:rPr>
          <w:b/>
        </w:rPr>
        <w:t> </w:t>
      </w:r>
      <w:r w:rsidRPr="00341D2B">
        <w:rPr>
          <w:b/>
        </w:rPr>
        <w:t>Instrument Wsparcia Ukrainy na mocy rozporządzenia w</w:t>
      </w:r>
      <w:r>
        <w:rPr>
          <w:b/>
        </w:rPr>
        <w:t> </w:t>
      </w:r>
      <w:r w:rsidRPr="00341D2B">
        <w:rPr>
          <w:b/>
        </w:rPr>
        <w:t>sprawie EDIP</w:t>
      </w:r>
      <w:r w:rsidRPr="00341D2B">
        <w:rPr>
          <w:vertAlign w:val="superscript"/>
        </w:rPr>
        <w:footnoteReference w:customMarkFollows="1" w:id="5"/>
        <w:t>+</w:t>
      </w:r>
    </w:p>
    <w:p w14:paraId="2FD6BF63" w14:textId="77777777" w:rsidR="003F2CCF" w:rsidRPr="00341D2B" w:rsidRDefault="003F2CCF" w:rsidP="003F2CCF">
      <w:pPr>
        <w:spacing w:before="120" w:after="120" w:line="360" w:lineRule="auto"/>
        <w:rPr>
          <w:color w:val="000000"/>
          <w:szCs w:val="24"/>
        </w:rPr>
      </w:pPr>
      <w:r w:rsidRPr="00341D2B">
        <w:rPr>
          <w:color w:val="000000"/>
        </w:rPr>
        <w:t>Parlament Europejski, Rada i</w:t>
      </w:r>
      <w:r>
        <w:rPr>
          <w:color w:val="000000"/>
        </w:rPr>
        <w:t> </w:t>
      </w:r>
      <w:r w:rsidRPr="00341D2B">
        <w:rPr>
          <w:color w:val="000000"/>
        </w:rPr>
        <w:t>Komisja uznają bezwzględną potrzebę wspierania europejskiej bazy technologiczno-przemysłowej sektora obronnego oraz ukraińskiej bazy technologiczno-przemysłowej sektora obronnego w</w:t>
      </w:r>
      <w:r>
        <w:rPr>
          <w:color w:val="000000"/>
        </w:rPr>
        <w:t> </w:t>
      </w:r>
      <w:r w:rsidRPr="00341D2B">
        <w:rPr>
          <w:color w:val="000000"/>
        </w:rPr>
        <w:t>celu zwiększenia ich konkurencyjności poprzez przyspieszenie dostosowania przemysłu do zmian strukturalnych, w</w:t>
      </w:r>
      <w:r>
        <w:rPr>
          <w:color w:val="000000"/>
        </w:rPr>
        <w:t> </w:t>
      </w:r>
      <w:r w:rsidRPr="00341D2B">
        <w:rPr>
          <w:color w:val="000000"/>
        </w:rPr>
        <w:t>tym poprzez zwiększenie zdolności produkcyjnych i</w:t>
      </w:r>
      <w:r>
        <w:rPr>
          <w:color w:val="000000"/>
        </w:rPr>
        <w:t> </w:t>
      </w:r>
      <w:r w:rsidRPr="00341D2B">
        <w:rPr>
          <w:color w:val="000000"/>
        </w:rPr>
        <w:t>zacieśnienie współpracy w</w:t>
      </w:r>
      <w:r>
        <w:rPr>
          <w:color w:val="000000"/>
        </w:rPr>
        <w:t> </w:t>
      </w:r>
      <w:r w:rsidRPr="00341D2B">
        <w:rPr>
          <w:color w:val="000000"/>
        </w:rPr>
        <w:t>zakresie zamówień na produkty związane z</w:t>
      </w:r>
      <w:r>
        <w:rPr>
          <w:color w:val="000000"/>
        </w:rPr>
        <w:t> </w:t>
      </w:r>
      <w:r w:rsidRPr="00341D2B">
        <w:rPr>
          <w:color w:val="000000"/>
        </w:rPr>
        <w:t>obronnością, w</w:t>
      </w:r>
      <w:r>
        <w:rPr>
          <w:color w:val="000000"/>
        </w:rPr>
        <w:t> </w:t>
      </w:r>
      <w:r w:rsidRPr="00341D2B">
        <w:rPr>
          <w:color w:val="000000"/>
        </w:rPr>
        <w:t>szczególności w</w:t>
      </w:r>
      <w:r>
        <w:rPr>
          <w:color w:val="000000"/>
        </w:rPr>
        <w:t> </w:t>
      </w:r>
      <w:r w:rsidRPr="00341D2B">
        <w:rPr>
          <w:color w:val="000000"/>
        </w:rPr>
        <w:t>świetle wyzwań wynikających z</w:t>
      </w:r>
      <w:r>
        <w:rPr>
          <w:color w:val="000000"/>
        </w:rPr>
        <w:t> </w:t>
      </w:r>
      <w:r w:rsidRPr="00341D2B">
        <w:rPr>
          <w:color w:val="000000"/>
        </w:rPr>
        <w:t>nielegalnej, niczym niesprowokowanej i</w:t>
      </w:r>
      <w:r>
        <w:rPr>
          <w:color w:val="000000"/>
        </w:rPr>
        <w:t> </w:t>
      </w:r>
      <w:r w:rsidRPr="00341D2B">
        <w:rPr>
          <w:color w:val="000000"/>
        </w:rPr>
        <w:t>nieuzasadnionej wojny napastniczej Rosji przeciwko Ukrainie.</w:t>
      </w:r>
    </w:p>
    <w:p w14:paraId="60CB98A7" w14:textId="26E910A7" w:rsidR="003F2CCF" w:rsidRDefault="003F2CCF" w:rsidP="003F2CCF">
      <w:pPr>
        <w:pStyle w:val="NormalHanging12a"/>
        <w:spacing w:before="120" w:after="120" w:line="360" w:lineRule="auto"/>
        <w:ind w:left="0" w:firstLine="0"/>
      </w:pPr>
      <w:r w:rsidRPr="00341D2B">
        <w:t>Zgodnie z</w:t>
      </w:r>
      <w:r>
        <w:t xml:space="preserve"> art. </w:t>
      </w:r>
      <w:r w:rsidRPr="00341D2B">
        <w:t>17</w:t>
      </w:r>
      <w:r>
        <w:t xml:space="preserve"> ust. </w:t>
      </w:r>
      <w:r w:rsidRPr="00341D2B">
        <w:t>4</w:t>
      </w:r>
      <w:r>
        <w:t> </w:t>
      </w:r>
      <w:r w:rsidRPr="00341D2B">
        <w:t>rozporządzenia SAFE wkłady finansowe wnoszone przez państwa trzecie z</w:t>
      </w:r>
      <w:r>
        <w:t> </w:t>
      </w:r>
      <w:r w:rsidRPr="00341D2B">
        <w:t>tytułu ich udziału w</w:t>
      </w:r>
      <w:r>
        <w:t> </w:t>
      </w:r>
      <w:r w:rsidRPr="00341D2B">
        <w:t>instrumencie SAFE wykorzystuje się na programy wspierające przemysł obronny Unii, ukraiński przemysł obronny i</w:t>
      </w:r>
      <w:r>
        <w:t> </w:t>
      </w:r>
      <w:r w:rsidRPr="00341D2B">
        <w:t>Ukrainę zgodnie z</w:t>
      </w:r>
      <w:r>
        <w:t> </w:t>
      </w:r>
      <w:r w:rsidRPr="00341D2B">
        <w:t>zasadami tych programów. Parlament Europejski, Rada i</w:t>
      </w:r>
      <w:r>
        <w:t> </w:t>
      </w:r>
      <w:r w:rsidRPr="00341D2B">
        <w:t>Komisja zgadzają się, że takie wkłady powinny zostać wykorzystane do wzmocnienia EDIP, w</w:t>
      </w:r>
      <w:r>
        <w:t> </w:t>
      </w:r>
      <w:r w:rsidRPr="00341D2B">
        <w:t>tym Instrumentu Wsparcia Ukrainy.</w:t>
      </w:r>
    </w:p>
    <w:p w14:paraId="25F5D5DB" w14:textId="77777777" w:rsidR="003F2CCF" w:rsidRDefault="003F2CCF">
      <w:pPr>
        <w:widowControl/>
      </w:pPr>
      <w:r>
        <w:br w:type="page"/>
      </w:r>
    </w:p>
    <w:p w14:paraId="5F049AF1" w14:textId="77777777" w:rsidR="003F2CCF" w:rsidRPr="00341D2B" w:rsidRDefault="003F2CCF" w:rsidP="003F2CCF">
      <w:pPr>
        <w:spacing w:before="120" w:after="120" w:line="360" w:lineRule="auto"/>
        <w:rPr>
          <w:iCs/>
        </w:rPr>
      </w:pPr>
      <w:r w:rsidRPr="00341D2B">
        <w:rPr>
          <w:b/>
        </w:rPr>
        <w:lastRenderedPageBreak/>
        <w:t>Wspólne oświadczenie Parlamentu Europejskiego, Rady i</w:t>
      </w:r>
      <w:r>
        <w:rPr>
          <w:b/>
        </w:rPr>
        <w:t> </w:t>
      </w:r>
      <w:r w:rsidRPr="00341D2B">
        <w:rPr>
          <w:b/>
        </w:rPr>
        <w:t>Komisji dotyczące dodatkowych zasobów finansowych na potrzeby rozporządzenia w</w:t>
      </w:r>
      <w:r>
        <w:rPr>
          <w:b/>
        </w:rPr>
        <w:t> </w:t>
      </w:r>
      <w:r w:rsidRPr="00341D2B">
        <w:rPr>
          <w:b/>
        </w:rPr>
        <w:t>sprawie EDIP</w:t>
      </w:r>
      <w:r w:rsidRPr="00341D2B">
        <w:rPr>
          <w:vertAlign w:val="superscript"/>
        </w:rPr>
        <w:footnoteReference w:customMarkFollows="1" w:id="6"/>
        <w:t>+</w:t>
      </w:r>
    </w:p>
    <w:p w14:paraId="2A902874" w14:textId="77777777" w:rsidR="003F2CCF" w:rsidRPr="00341D2B" w:rsidRDefault="003F2CCF" w:rsidP="003F2CCF">
      <w:pPr>
        <w:spacing w:before="120" w:after="120" w:line="360" w:lineRule="auto"/>
      </w:pPr>
      <w:r w:rsidRPr="00341D2B">
        <w:t>Parlament Europejski, Rada i</w:t>
      </w:r>
      <w:r>
        <w:t> </w:t>
      </w:r>
      <w:r w:rsidRPr="00341D2B">
        <w:t>Komisja podzielają pogląd, że rozporządzenie w</w:t>
      </w:r>
      <w:r>
        <w:t> </w:t>
      </w:r>
      <w:r w:rsidRPr="00341D2B">
        <w:t>sprawie EDIP powinno zostać wyposażone w</w:t>
      </w:r>
      <w:r>
        <w:t> </w:t>
      </w:r>
      <w:r w:rsidRPr="00341D2B">
        <w:t>dodatkowe zasoby finansowe.</w:t>
      </w:r>
    </w:p>
    <w:p w14:paraId="776CB66A" w14:textId="77777777" w:rsidR="003F2CCF" w:rsidRPr="00341D2B" w:rsidRDefault="003F2CCF" w:rsidP="003F2CCF">
      <w:pPr>
        <w:spacing w:before="120" w:after="120" w:line="360" w:lineRule="auto"/>
      </w:pPr>
      <w:r w:rsidRPr="00341D2B">
        <w:t>W tym celu rozporządzenie w</w:t>
      </w:r>
      <w:r>
        <w:t> </w:t>
      </w:r>
      <w:r w:rsidRPr="00341D2B">
        <w:t>sprawie EDIP wyraźnie przewiduje możliwość dodatkowych wkładów finansowych ze strony państw członkowskich, instytucji, organów i</w:t>
      </w:r>
      <w:r>
        <w:t> </w:t>
      </w:r>
      <w:r w:rsidRPr="00341D2B">
        <w:t>jednostek organizacyjnych Unii, państw trzecich, organizacji międzynarodowych, międzynarodowych instytucji finansowych lub innych stron trzecich i</w:t>
      </w:r>
      <w:r>
        <w:t> </w:t>
      </w:r>
      <w:r w:rsidRPr="00341D2B">
        <w:t>wyraźnie odnosi się w</w:t>
      </w:r>
      <w:r>
        <w:t> </w:t>
      </w:r>
      <w:r w:rsidRPr="00341D2B">
        <w:t>tym względzie do Funduszu na rzecz Przyspieszenia Transformacji Łańcuchów Dostaw w</w:t>
      </w:r>
      <w:r>
        <w:t> </w:t>
      </w:r>
      <w:r w:rsidRPr="00341D2B">
        <w:t>Sektorze Obronności (FAST).</w:t>
      </w:r>
    </w:p>
    <w:p w14:paraId="209EFD44" w14:textId="67EFC3A5" w:rsidR="003F2CCF" w:rsidRPr="0000042F" w:rsidRDefault="003F2CCF" w:rsidP="003F2CCF">
      <w:pPr>
        <w:spacing w:before="120" w:after="120" w:line="360" w:lineRule="auto"/>
      </w:pPr>
      <w:r w:rsidRPr="00341D2B">
        <w:t>W związku z</w:t>
      </w:r>
      <w:r>
        <w:t> </w:t>
      </w:r>
      <w:r w:rsidRPr="00341D2B">
        <w:t>tym i</w:t>
      </w:r>
      <w:r>
        <w:t> </w:t>
      </w:r>
      <w:r w:rsidRPr="00341D2B">
        <w:t>biorąc pod uwagę kluczową rolę FAST w</w:t>
      </w:r>
      <w:r>
        <w:t> </w:t>
      </w:r>
      <w:r w:rsidRPr="00341D2B">
        <w:t>zwiększaniu zdolności produkcyjnych w dziedzinie obronności, jakimi dysponują MŚP i</w:t>
      </w:r>
      <w:r>
        <w:t> </w:t>
      </w:r>
      <w:r w:rsidRPr="00341D2B">
        <w:t>małe spółki o</w:t>
      </w:r>
      <w:r>
        <w:t> </w:t>
      </w:r>
      <w:r w:rsidRPr="00341D2B">
        <w:t>średniej kapitalizacji, które szczególnie potrzebują inwestycji, takie dodatkowe wkłady powinny zostać przydzielone w</w:t>
      </w:r>
      <w:r>
        <w:t> </w:t>
      </w:r>
      <w:r w:rsidRPr="00341D2B">
        <w:t>pierwszej kolejności na FAST i</w:t>
      </w:r>
      <w:r>
        <w:t> </w:t>
      </w:r>
      <w:r w:rsidRPr="00341D2B">
        <w:t>uzupełniać kwoty przydzielone z</w:t>
      </w:r>
      <w:r>
        <w:t> </w:t>
      </w:r>
      <w:r w:rsidRPr="00341D2B">
        <w:t>puli środków w</w:t>
      </w:r>
      <w:r>
        <w:t> </w:t>
      </w:r>
      <w:r w:rsidRPr="00341D2B">
        <w:t>wysokości 1200</w:t>
      </w:r>
      <w:r>
        <w:t> </w:t>
      </w:r>
      <w:r w:rsidRPr="00341D2B">
        <w:t>mln EUR, o</w:t>
      </w:r>
      <w:r>
        <w:t> </w:t>
      </w:r>
      <w:r w:rsidRPr="00341D2B">
        <w:t>której mowa w</w:t>
      </w:r>
      <w:r>
        <w:t xml:space="preserve"> art. </w:t>
      </w:r>
      <w:r w:rsidR="0030752F">
        <w:t>3</w:t>
      </w:r>
      <w:r>
        <w:t xml:space="preserve"> ust. </w:t>
      </w:r>
      <w:r w:rsidRPr="00341D2B">
        <w:t>1, tak aby ogólna orientacyjna kwota dla tego konkretnego funduszu w</w:t>
      </w:r>
      <w:r>
        <w:t> </w:t>
      </w:r>
      <w:r w:rsidRPr="00341D2B">
        <w:t>ramach programu wyniosła co najmniej 150</w:t>
      </w:r>
      <w:r>
        <w:t> </w:t>
      </w:r>
      <w:r w:rsidRPr="00341D2B">
        <w:t>mln EUR, przy poszanowaniu prerogatyw władzy budżetowej.</w:t>
      </w:r>
    </w:p>
    <w:p w14:paraId="3F0F85FA" w14:textId="77777777" w:rsidR="00E365E1" w:rsidRPr="003F2CCF" w:rsidRDefault="00E365E1" w:rsidP="003F2CCF">
      <w:pPr>
        <w:pStyle w:val="NormalHanging12a"/>
      </w:pPr>
    </w:p>
    <w:sectPr w:rsidR="00E365E1" w:rsidRPr="003F2CCF" w:rsidSect="009705C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798B0" w14:textId="77777777" w:rsidR="009704C1" w:rsidRPr="00F87A57" w:rsidRDefault="009704C1">
      <w:r w:rsidRPr="00F87A57">
        <w:separator/>
      </w:r>
    </w:p>
  </w:endnote>
  <w:endnote w:type="continuationSeparator" w:id="0">
    <w:p w14:paraId="1CC4CBFB" w14:textId="77777777" w:rsidR="009704C1" w:rsidRPr="00F87A57" w:rsidRDefault="009704C1">
      <w:r w:rsidRPr="00F87A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3E025" w14:textId="77777777" w:rsidR="00327B7B" w:rsidRDefault="00327B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91103" w14:textId="678C1BD0" w:rsidR="00327B7B" w:rsidRPr="00DB14CF" w:rsidRDefault="00327B7B" w:rsidP="00DB14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B8119" w14:textId="77777777" w:rsidR="00327B7B" w:rsidRDefault="00327B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F41F5" w14:textId="77777777" w:rsidR="009704C1" w:rsidRPr="00F87A57" w:rsidRDefault="009704C1">
      <w:r w:rsidRPr="00F87A57">
        <w:separator/>
      </w:r>
    </w:p>
  </w:footnote>
  <w:footnote w:type="continuationSeparator" w:id="0">
    <w:p w14:paraId="1CBF7888" w14:textId="77777777" w:rsidR="009704C1" w:rsidRPr="00F87A57" w:rsidRDefault="009704C1">
      <w:r w:rsidRPr="00F87A57">
        <w:continuationSeparator/>
      </w:r>
    </w:p>
  </w:footnote>
  <w:footnote w:id="1">
    <w:p w14:paraId="28292457" w14:textId="03D4CBC1" w:rsidR="007E53CE" w:rsidRPr="00307D9A" w:rsidRDefault="007E53CE" w:rsidP="00F87A57">
      <w:pPr>
        <w:pStyle w:val="FootnoteText"/>
        <w:ind w:left="567" w:hanging="567"/>
        <w:rPr>
          <w:sz w:val="24"/>
          <w:lang w:val="fi-FI"/>
        </w:rPr>
      </w:pPr>
      <w:r w:rsidRPr="00F87A57">
        <w:rPr>
          <w:rStyle w:val="FootnoteReference"/>
          <w:sz w:val="24"/>
          <w:lang w:val="pl-PL"/>
        </w:rPr>
        <w:footnoteRef/>
      </w:r>
      <w:r w:rsidR="00F87A57" w:rsidRPr="00307D9A">
        <w:rPr>
          <w:sz w:val="24"/>
          <w:lang w:val="fi-FI"/>
        </w:rPr>
        <w:t xml:space="preserve"> </w:t>
      </w:r>
      <w:r w:rsidR="00F87A57" w:rsidRPr="00307D9A">
        <w:rPr>
          <w:sz w:val="24"/>
          <w:lang w:val="fi-FI"/>
        </w:rPr>
        <w:tab/>
      </w:r>
      <w:proofErr w:type="spellStart"/>
      <w:r w:rsidRPr="00307D9A">
        <w:rPr>
          <w:sz w:val="24"/>
          <w:lang w:val="fi-FI"/>
        </w:rPr>
        <w:t>Dz.U</w:t>
      </w:r>
      <w:proofErr w:type="spellEnd"/>
      <w:r w:rsidRPr="00307D9A">
        <w:rPr>
          <w:sz w:val="24"/>
          <w:lang w:val="fi-FI"/>
        </w:rPr>
        <w:t>. C</w:t>
      </w:r>
      <w:r w:rsidR="00D97753" w:rsidRPr="00307D9A">
        <w:rPr>
          <w:sz w:val="24"/>
          <w:lang w:val="fi-FI"/>
        </w:rPr>
        <w:t>, C/2025/805,</w:t>
      </w:r>
      <w:r w:rsidRPr="00307D9A">
        <w:rPr>
          <w:sz w:val="24"/>
          <w:lang w:val="fi-FI"/>
        </w:rPr>
        <w:t xml:space="preserve"> 31.1.2025, ELI: </w:t>
      </w:r>
      <w:hyperlink r:id="rId1" w:history="1">
        <w:r w:rsidR="00D97753" w:rsidRPr="00307D9A">
          <w:rPr>
            <w:rStyle w:val="Hyperlink"/>
            <w:sz w:val="24"/>
            <w:lang w:val="fi-FI"/>
          </w:rPr>
          <w:t>http://data.europa.eu/eli/C/2025/805/oj</w:t>
        </w:r>
      </w:hyperlink>
      <w:r w:rsidRPr="00307D9A">
        <w:rPr>
          <w:sz w:val="24"/>
          <w:lang w:val="fi-FI"/>
        </w:rPr>
        <w:t>.</w:t>
      </w:r>
    </w:p>
  </w:footnote>
  <w:footnote w:id="2">
    <w:p w14:paraId="4D63F6FF" w14:textId="1821BB62" w:rsidR="007E53CE" w:rsidRPr="009705C9" w:rsidRDefault="007E53CE" w:rsidP="00F87A57">
      <w:pPr>
        <w:pStyle w:val="FootnoteText"/>
        <w:ind w:left="567" w:hanging="567"/>
        <w:rPr>
          <w:sz w:val="24"/>
          <w:lang w:val="fi-FI"/>
        </w:rPr>
      </w:pPr>
      <w:r w:rsidRPr="00F87A57">
        <w:rPr>
          <w:rStyle w:val="FootnoteReference"/>
          <w:sz w:val="24"/>
          <w:lang w:val="pl-PL"/>
        </w:rPr>
        <w:footnoteRef/>
      </w:r>
      <w:r w:rsidR="00F87A57" w:rsidRPr="009705C9">
        <w:rPr>
          <w:sz w:val="24"/>
          <w:lang w:val="fi-FI"/>
        </w:rPr>
        <w:t xml:space="preserve"> </w:t>
      </w:r>
      <w:r w:rsidR="00F87A57" w:rsidRPr="009705C9">
        <w:rPr>
          <w:sz w:val="24"/>
          <w:lang w:val="fi-FI"/>
        </w:rPr>
        <w:tab/>
      </w:r>
      <w:proofErr w:type="spellStart"/>
      <w:r w:rsidR="009705C9">
        <w:rPr>
          <w:sz w:val="24"/>
          <w:lang w:val="fi-FI"/>
        </w:rPr>
        <w:t>Dz.U</w:t>
      </w:r>
      <w:proofErr w:type="spellEnd"/>
      <w:r w:rsidR="009705C9">
        <w:rPr>
          <w:sz w:val="24"/>
          <w:lang w:val="fi-FI"/>
        </w:rPr>
        <w:t>.</w:t>
      </w:r>
      <w:r w:rsidR="009705C9" w:rsidRPr="009705C9">
        <w:rPr>
          <w:sz w:val="24"/>
          <w:lang w:val="fi-FI"/>
        </w:rPr>
        <w:t xml:space="preserve"> C, C/2024/4662, 9.8.2024, ELI: </w:t>
      </w:r>
      <w:hyperlink r:id="rId2" w:history="1">
        <w:r w:rsidR="009705C9" w:rsidRPr="00C05D52">
          <w:rPr>
            <w:rStyle w:val="Hyperlink"/>
            <w:sz w:val="24"/>
            <w:lang w:val="fi-FI"/>
          </w:rPr>
          <w:t>http://data.europa.eu/eli/C/2024/4662/oj</w:t>
        </w:r>
      </w:hyperlink>
      <w:r w:rsidRPr="009705C9">
        <w:rPr>
          <w:sz w:val="24"/>
          <w:lang w:val="fi-FI"/>
        </w:rPr>
        <w:t>.</w:t>
      </w:r>
    </w:p>
  </w:footnote>
  <w:footnote w:id="3">
    <w:p w14:paraId="0F0762DD" w14:textId="1B39CFBA" w:rsidR="007E53CE" w:rsidRPr="00A51D76" w:rsidRDefault="007E53CE" w:rsidP="00F87A57">
      <w:pPr>
        <w:pStyle w:val="FootnoteText"/>
        <w:ind w:left="567" w:hanging="567"/>
        <w:rPr>
          <w:sz w:val="24"/>
          <w:lang w:val="fi-FI"/>
        </w:rPr>
      </w:pPr>
      <w:r w:rsidRPr="00F87A57">
        <w:rPr>
          <w:rStyle w:val="FootnoteReference"/>
          <w:sz w:val="24"/>
          <w:lang w:val="pl-PL"/>
        </w:rPr>
        <w:footnoteRef/>
      </w:r>
      <w:r w:rsidR="00F87A57" w:rsidRPr="00A51D76">
        <w:rPr>
          <w:sz w:val="24"/>
          <w:lang w:val="fi-FI"/>
        </w:rPr>
        <w:t xml:space="preserve"> </w:t>
      </w:r>
      <w:r w:rsidR="00F87A57" w:rsidRPr="00A51D76">
        <w:rPr>
          <w:sz w:val="24"/>
          <w:lang w:val="fi-FI"/>
        </w:rPr>
        <w:tab/>
      </w:r>
      <w:proofErr w:type="spellStart"/>
      <w:r w:rsidR="009705C9">
        <w:rPr>
          <w:sz w:val="24"/>
          <w:lang w:val="fi-FI"/>
        </w:rPr>
        <w:t>Dz.U</w:t>
      </w:r>
      <w:proofErr w:type="spellEnd"/>
      <w:r w:rsidR="009705C9">
        <w:rPr>
          <w:sz w:val="24"/>
          <w:lang w:val="fi-FI"/>
        </w:rPr>
        <w:t>.</w:t>
      </w:r>
      <w:r w:rsidR="009705C9" w:rsidRPr="009705C9">
        <w:rPr>
          <w:sz w:val="24"/>
          <w:lang w:val="fi-FI"/>
        </w:rPr>
        <w:t xml:space="preserve"> C, C/2025/1705, 26.3.2025, ELI: </w:t>
      </w:r>
      <w:hyperlink r:id="rId3" w:history="1">
        <w:r w:rsidR="009705C9" w:rsidRPr="006D17FF">
          <w:rPr>
            <w:rStyle w:val="Hyperlink"/>
            <w:sz w:val="24"/>
            <w:lang w:val="fi-FI"/>
          </w:rPr>
          <w:t>http://data.europa.eu/eli/C/2025/1705/oj</w:t>
        </w:r>
      </w:hyperlink>
      <w:r w:rsidR="006D17FF">
        <w:rPr>
          <w:sz w:val="24"/>
          <w:lang w:val="fi-FI"/>
        </w:rPr>
        <w:t>.</w:t>
      </w:r>
    </w:p>
  </w:footnote>
  <w:footnote w:id="4">
    <w:p w14:paraId="341C6A35" w14:textId="58558E63" w:rsidR="003F2CCF" w:rsidRPr="0030752F" w:rsidRDefault="003F2CCF" w:rsidP="003F2CCF">
      <w:pPr>
        <w:pStyle w:val="FootnoteText"/>
        <w:ind w:left="567" w:hanging="567"/>
        <w:rPr>
          <w:sz w:val="24"/>
          <w:szCs w:val="24"/>
          <w:lang w:val="pl-PL"/>
        </w:rPr>
      </w:pPr>
      <w:r w:rsidRPr="0030752F">
        <w:rPr>
          <w:rStyle w:val="FootnoteReference"/>
          <w:sz w:val="24"/>
          <w:szCs w:val="24"/>
          <w:lang w:val="pl-PL"/>
        </w:rPr>
        <w:t>+</w:t>
      </w:r>
      <w:r w:rsidRPr="0030752F">
        <w:rPr>
          <w:sz w:val="24"/>
          <w:szCs w:val="24"/>
          <w:lang w:val="pl-PL"/>
        </w:rPr>
        <w:tab/>
      </w:r>
      <w:r w:rsidR="0030752F" w:rsidRPr="0030752F">
        <w:rPr>
          <w:sz w:val="24"/>
          <w:szCs w:val="24"/>
          <w:lang w:val="pl-PL"/>
        </w:rPr>
        <w:t>Dz</w:t>
      </w:r>
      <w:r w:rsidR="0030752F">
        <w:rPr>
          <w:sz w:val="24"/>
          <w:szCs w:val="24"/>
          <w:lang w:val="pl-PL"/>
        </w:rPr>
        <w:t>.U.</w:t>
      </w:r>
      <w:r w:rsidR="0030752F" w:rsidRPr="0030752F">
        <w:rPr>
          <w:sz w:val="24"/>
          <w:szCs w:val="24"/>
          <w:lang w:val="pl-PL"/>
        </w:rPr>
        <w:t xml:space="preserve"> L, 2025/2643, 29.12.2025, ELI: </w:t>
      </w:r>
      <w:hyperlink r:id="rId4" w:tgtFrame="_blank" w:tooltip="Gives access to this document through its ELI URI." w:history="1">
        <w:r w:rsidR="0030752F" w:rsidRPr="0030752F">
          <w:rPr>
            <w:rStyle w:val="Hyperlink"/>
            <w:sz w:val="24"/>
            <w:szCs w:val="24"/>
            <w:lang w:val="pl-PL"/>
          </w:rPr>
          <w:t>http://data.europa.eu/eli/reg/2025/2643/oj</w:t>
        </w:r>
      </w:hyperlink>
      <w:r w:rsidR="0030752F" w:rsidRPr="0030752F">
        <w:rPr>
          <w:sz w:val="24"/>
          <w:szCs w:val="24"/>
          <w:lang w:val="pl-PL"/>
        </w:rPr>
        <w:t>.</w:t>
      </w:r>
    </w:p>
  </w:footnote>
  <w:footnote w:id="5">
    <w:p w14:paraId="27722CF2" w14:textId="444CA7D4" w:rsidR="003F2CCF" w:rsidRPr="003F2CCF" w:rsidRDefault="003F2CCF" w:rsidP="003F2CCF">
      <w:pPr>
        <w:pStyle w:val="FootnoteText"/>
        <w:ind w:left="567" w:hanging="567"/>
        <w:rPr>
          <w:sz w:val="24"/>
          <w:szCs w:val="24"/>
          <w:lang w:val="pl-PL"/>
        </w:rPr>
      </w:pPr>
      <w:r w:rsidRPr="003F2CCF">
        <w:rPr>
          <w:rStyle w:val="FootnoteReference"/>
          <w:sz w:val="24"/>
          <w:szCs w:val="24"/>
          <w:lang w:val="pl-PL"/>
        </w:rPr>
        <w:t>+</w:t>
      </w:r>
      <w:r w:rsidRPr="003F2CCF">
        <w:rPr>
          <w:sz w:val="24"/>
          <w:szCs w:val="24"/>
          <w:lang w:val="pl-PL"/>
        </w:rPr>
        <w:tab/>
      </w:r>
      <w:r w:rsidR="0030752F">
        <w:rPr>
          <w:sz w:val="24"/>
          <w:szCs w:val="24"/>
          <w:lang w:val="pl-PL"/>
        </w:rPr>
        <w:t>Dz.U.</w:t>
      </w:r>
      <w:r w:rsidR="0030752F" w:rsidRPr="0030752F">
        <w:rPr>
          <w:sz w:val="24"/>
          <w:szCs w:val="24"/>
          <w:lang w:val="pl-PL"/>
        </w:rPr>
        <w:t xml:space="preserve"> L, 2025/2643, 29.12.2025, ELI: </w:t>
      </w:r>
      <w:hyperlink r:id="rId5" w:tgtFrame="_blank" w:tooltip="Gives access to this document through its ELI URI." w:history="1">
        <w:r w:rsidR="0030752F" w:rsidRPr="0030752F">
          <w:rPr>
            <w:rStyle w:val="Hyperlink"/>
            <w:sz w:val="24"/>
            <w:szCs w:val="24"/>
            <w:lang w:val="pl-PL"/>
          </w:rPr>
          <w:t>http://data.europa.eu/eli/reg/2025/2643/oj</w:t>
        </w:r>
      </w:hyperlink>
      <w:r w:rsidRPr="003F2CCF">
        <w:rPr>
          <w:sz w:val="24"/>
          <w:szCs w:val="24"/>
          <w:lang w:val="pl-PL"/>
        </w:rPr>
        <w:t>.</w:t>
      </w:r>
    </w:p>
  </w:footnote>
  <w:footnote w:id="6">
    <w:p w14:paraId="0E66DDD1" w14:textId="5F16B14B" w:rsidR="003F2CCF" w:rsidRPr="003F2CCF" w:rsidRDefault="003F2CCF" w:rsidP="003F2CCF">
      <w:pPr>
        <w:pStyle w:val="FootnoteText"/>
        <w:ind w:left="567" w:hanging="567"/>
        <w:rPr>
          <w:sz w:val="24"/>
          <w:szCs w:val="24"/>
          <w:lang w:val="pl-PL"/>
        </w:rPr>
      </w:pPr>
      <w:r w:rsidRPr="003F2CCF">
        <w:rPr>
          <w:rStyle w:val="FootnoteReference"/>
          <w:sz w:val="24"/>
          <w:szCs w:val="24"/>
          <w:lang w:val="pl-PL"/>
        </w:rPr>
        <w:t>+</w:t>
      </w:r>
      <w:r w:rsidRPr="003F2CCF">
        <w:rPr>
          <w:sz w:val="24"/>
          <w:szCs w:val="24"/>
          <w:lang w:val="pl-PL"/>
        </w:rPr>
        <w:tab/>
      </w:r>
      <w:r w:rsidR="002B43FB">
        <w:rPr>
          <w:sz w:val="24"/>
          <w:szCs w:val="24"/>
          <w:lang w:val="pl-PL"/>
        </w:rPr>
        <w:t>Dz.U.</w:t>
      </w:r>
      <w:r w:rsidR="002B43FB" w:rsidRPr="0030752F">
        <w:rPr>
          <w:sz w:val="24"/>
          <w:szCs w:val="24"/>
          <w:lang w:val="pl-PL"/>
        </w:rPr>
        <w:t xml:space="preserve"> </w:t>
      </w:r>
      <w:r w:rsidR="002B43FB" w:rsidRPr="0030752F">
        <w:rPr>
          <w:sz w:val="24"/>
          <w:szCs w:val="24"/>
          <w:lang w:val="pl-PL"/>
        </w:rPr>
        <w:t>L</w:t>
      </w:r>
      <w:r w:rsidR="0030752F" w:rsidRPr="0030752F">
        <w:rPr>
          <w:sz w:val="24"/>
          <w:szCs w:val="24"/>
          <w:lang w:val="pl-PL"/>
        </w:rPr>
        <w:t>, 2025/2643, 29.12.2025, ELI: </w:t>
      </w:r>
      <w:hyperlink r:id="rId6" w:tgtFrame="_blank" w:tooltip="Gives access to this document through its ELI URI." w:history="1">
        <w:r w:rsidR="0030752F" w:rsidRPr="0030752F">
          <w:rPr>
            <w:rStyle w:val="Hyperlink"/>
            <w:sz w:val="24"/>
            <w:szCs w:val="24"/>
            <w:lang w:val="pl-PL"/>
          </w:rPr>
          <w:t>http://data.europa.eu/eli/reg/2025/2643/oj</w:t>
        </w:r>
      </w:hyperlink>
      <w:r w:rsidRPr="003F2CCF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D456D" w14:textId="77777777" w:rsidR="00327B7B" w:rsidRDefault="00327B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99A28" w14:textId="77777777" w:rsidR="00327B7B" w:rsidRPr="00DB14CF" w:rsidRDefault="00327B7B" w:rsidP="00DB14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0EAD" w14:textId="77777777" w:rsidR="00327B7B" w:rsidRDefault="00327B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1233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4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2027823633">
    <w:abstractNumId w:val="4"/>
  </w:num>
  <w:num w:numId="2" w16cid:durableId="1716661669">
    <w:abstractNumId w:val="18"/>
  </w:num>
  <w:num w:numId="3" w16cid:durableId="1416631449">
    <w:abstractNumId w:val="1"/>
  </w:num>
  <w:num w:numId="4" w16cid:durableId="1407410644">
    <w:abstractNumId w:val="35"/>
  </w:num>
  <w:num w:numId="5" w16cid:durableId="357314040">
    <w:abstractNumId w:val="15"/>
  </w:num>
  <w:num w:numId="6" w16cid:durableId="13046629">
    <w:abstractNumId w:val="29"/>
  </w:num>
  <w:num w:numId="7" w16cid:durableId="1951547108">
    <w:abstractNumId w:val="27"/>
  </w:num>
  <w:num w:numId="8" w16cid:durableId="467434009">
    <w:abstractNumId w:val="45"/>
  </w:num>
  <w:num w:numId="9" w16cid:durableId="1362978778">
    <w:abstractNumId w:val="40"/>
  </w:num>
  <w:num w:numId="10" w16cid:durableId="636884257">
    <w:abstractNumId w:val="46"/>
  </w:num>
  <w:num w:numId="11" w16cid:durableId="602299453">
    <w:abstractNumId w:val="48"/>
  </w:num>
  <w:num w:numId="12" w16cid:durableId="959606634">
    <w:abstractNumId w:val="6"/>
  </w:num>
  <w:num w:numId="13" w16cid:durableId="525868860">
    <w:abstractNumId w:val="17"/>
  </w:num>
  <w:num w:numId="14" w16cid:durableId="420299968">
    <w:abstractNumId w:val="7"/>
  </w:num>
  <w:num w:numId="15" w16cid:durableId="1677339424">
    <w:abstractNumId w:val="19"/>
  </w:num>
  <w:num w:numId="16" w16cid:durableId="1014962556">
    <w:abstractNumId w:val="16"/>
  </w:num>
  <w:num w:numId="17" w16cid:durableId="127095218">
    <w:abstractNumId w:val="30"/>
  </w:num>
  <w:num w:numId="18" w16cid:durableId="5866985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640834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85638468">
    <w:abstractNumId w:val="54"/>
    <w:lvlOverride w:ilvl="0">
      <w:startOverride w:val="1"/>
    </w:lvlOverride>
  </w:num>
  <w:num w:numId="21" w16cid:durableId="1872454561">
    <w:abstractNumId w:val="38"/>
    <w:lvlOverride w:ilvl="0">
      <w:startOverride w:val="1"/>
    </w:lvlOverride>
  </w:num>
  <w:num w:numId="22" w16cid:durableId="999425571">
    <w:abstractNumId w:val="22"/>
  </w:num>
  <w:num w:numId="23" w16cid:durableId="651181657">
    <w:abstractNumId w:val="42"/>
  </w:num>
  <w:num w:numId="24" w16cid:durableId="136774239">
    <w:abstractNumId w:val="14"/>
  </w:num>
  <w:num w:numId="25" w16cid:durableId="2134784163">
    <w:abstractNumId w:val="23"/>
  </w:num>
  <w:num w:numId="26" w16cid:durableId="1180462842">
    <w:abstractNumId w:val="24"/>
  </w:num>
  <w:num w:numId="27" w16cid:durableId="1349718347">
    <w:abstractNumId w:val="26"/>
  </w:num>
  <w:num w:numId="28" w16cid:durableId="759108459">
    <w:abstractNumId w:val="36"/>
  </w:num>
  <w:num w:numId="29" w16cid:durableId="1547401772">
    <w:abstractNumId w:val="37"/>
  </w:num>
  <w:num w:numId="30" w16cid:durableId="2098625777">
    <w:abstractNumId w:val="13"/>
  </w:num>
  <w:num w:numId="31" w16cid:durableId="1364794495">
    <w:abstractNumId w:val="31"/>
  </w:num>
  <w:num w:numId="32" w16cid:durableId="1466007105">
    <w:abstractNumId w:val="43"/>
  </w:num>
  <w:num w:numId="33" w16cid:durableId="1475875094">
    <w:abstractNumId w:val="3"/>
  </w:num>
  <w:num w:numId="34" w16cid:durableId="1816027014">
    <w:abstractNumId w:val="44"/>
  </w:num>
  <w:num w:numId="35" w16cid:durableId="1689023111">
    <w:abstractNumId w:val="39"/>
  </w:num>
  <w:num w:numId="36" w16cid:durableId="1106273980">
    <w:abstractNumId w:val="5"/>
  </w:num>
  <w:num w:numId="37" w16cid:durableId="154153400">
    <w:abstractNumId w:val="49"/>
  </w:num>
  <w:num w:numId="38" w16cid:durableId="366873316">
    <w:abstractNumId w:val="53"/>
  </w:num>
  <w:num w:numId="39" w16cid:durableId="1037966521">
    <w:abstractNumId w:val="32"/>
  </w:num>
  <w:num w:numId="40" w16cid:durableId="1971782157">
    <w:abstractNumId w:val="47"/>
  </w:num>
  <w:num w:numId="41" w16cid:durableId="2094692991">
    <w:abstractNumId w:val="41"/>
  </w:num>
  <w:num w:numId="42" w16cid:durableId="1095132390">
    <w:abstractNumId w:val="25"/>
  </w:num>
  <w:num w:numId="43" w16cid:durableId="1755589573">
    <w:abstractNumId w:val="2"/>
  </w:num>
  <w:num w:numId="44" w16cid:durableId="1059204818">
    <w:abstractNumId w:val="11"/>
  </w:num>
  <w:num w:numId="45" w16cid:durableId="1023554113">
    <w:abstractNumId w:val="8"/>
  </w:num>
  <w:num w:numId="46" w16cid:durableId="1342467967">
    <w:abstractNumId w:val="12"/>
  </w:num>
  <w:num w:numId="47" w16cid:durableId="1277717369">
    <w:abstractNumId w:val="33"/>
  </w:num>
  <w:num w:numId="48" w16cid:durableId="1186288313">
    <w:abstractNumId w:val="20"/>
  </w:num>
  <w:num w:numId="49" w16cid:durableId="525561290">
    <w:abstractNumId w:val="21"/>
  </w:num>
  <w:num w:numId="50" w16cid:durableId="50227971">
    <w:abstractNumId w:val="28"/>
  </w:num>
  <w:num w:numId="51" w16cid:durableId="1691368473">
    <w:abstractNumId w:val="0"/>
  </w:num>
  <w:num w:numId="52" w16cid:durableId="968052574">
    <w:abstractNumId w:val="34"/>
  </w:num>
  <w:num w:numId="53" w16cid:durableId="1579635249">
    <w:abstractNumId w:val="51"/>
  </w:num>
  <w:num w:numId="54" w16cid:durableId="328409989">
    <w:abstractNumId w:val="50"/>
  </w:num>
  <w:num w:numId="55" w16cid:durableId="1055085742">
    <w:abstractNumId w:val="5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4/2025"/>
    <w:docVar w:name="dvlangue" w:val="PL"/>
    <w:docVar w:name="dvnumam" w:val="0"/>
    <w:docVar w:name="dvpe" w:val="771.828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 Rady ustanawiającego Program na rzecz europejskiego przemysłu obronnego oraz ramy środków w celu zapewnienia terminowej dostępności i dostaw produktów związanych z obronnością („EDIP”)(COM(2024)0150 – C10-0005/2024 – 2024/0061(COD))"/>
  </w:docVars>
  <w:rsids>
    <w:rsidRoot w:val="009704C1"/>
    <w:rsid w:val="00002272"/>
    <w:rsid w:val="00064002"/>
    <w:rsid w:val="000677B9"/>
    <w:rsid w:val="000831BA"/>
    <w:rsid w:val="000A42CC"/>
    <w:rsid w:val="000E7DD9"/>
    <w:rsid w:val="0010095E"/>
    <w:rsid w:val="00125B37"/>
    <w:rsid w:val="00144A7E"/>
    <w:rsid w:val="00187494"/>
    <w:rsid w:val="001F32AE"/>
    <w:rsid w:val="0027622A"/>
    <w:rsid w:val="002767FF"/>
    <w:rsid w:val="002B18FE"/>
    <w:rsid w:val="002B43FB"/>
    <w:rsid w:val="002B5493"/>
    <w:rsid w:val="0030752F"/>
    <w:rsid w:val="00307D9A"/>
    <w:rsid w:val="00327B7B"/>
    <w:rsid w:val="00343214"/>
    <w:rsid w:val="00345365"/>
    <w:rsid w:val="00361C00"/>
    <w:rsid w:val="00395FA1"/>
    <w:rsid w:val="003E15D4"/>
    <w:rsid w:val="003F2CCF"/>
    <w:rsid w:val="00411CCE"/>
    <w:rsid w:val="0041666E"/>
    <w:rsid w:val="00421060"/>
    <w:rsid w:val="00433A28"/>
    <w:rsid w:val="00471C19"/>
    <w:rsid w:val="004825A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CEE"/>
    <w:rsid w:val="005C2568"/>
    <w:rsid w:val="005F1B17"/>
    <w:rsid w:val="006037C0"/>
    <w:rsid w:val="006631B6"/>
    <w:rsid w:val="00680577"/>
    <w:rsid w:val="00685641"/>
    <w:rsid w:val="006D17FF"/>
    <w:rsid w:val="006D6BE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3C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4C1"/>
    <w:rsid w:val="009705C9"/>
    <w:rsid w:val="00981893"/>
    <w:rsid w:val="00A1687D"/>
    <w:rsid w:val="00A43E52"/>
    <w:rsid w:val="00A4678D"/>
    <w:rsid w:val="00A51D76"/>
    <w:rsid w:val="00A778C7"/>
    <w:rsid w:val="00AB441E"/>
    <w:rsid w:val="00AB6293"/>
    <w:rsid w:val="00AC253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1CE"/>
    <w:rsid w:val="00CC2357"/>
    <w:rsid w:val="00CF071A"/>
    <w:rsid w:val="00D058B8"/>
    <w:rsid w:val="00D56C11"/>
    <w:rsid w:val="00D82736"/>
    <w:rsid w:val="00D834A0"/>
    <w:rsid w:val="00D872DF"/>
    <w:rsid w:val="00D904C0"/>
    <w:rsid w:val="00D91E21"/>
    <w:rsid w:val="00D97753"/>
    <w:rsid w:val="00DA7FCD"/>
    <w:rsid w:val="00DB14CF"/>
    <w:rsid w:val="00E1179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87A57"/>
    <w:rsid w:val="00F928BF"/>
    <w:rsid w:val="00FB4360"/>
    <w:rsid w:val="00FD0C70"/>
    <w:rsid w:val="00FE2F28"/>
    <w:rsid w:val="00FE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9EDC78"/>
  <w15:chartTrackingRefBased/>
  <w15:docId w15:val="{304C1A43-FAA8-4218-BF19-8784BF04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uiPriority="99"/>
    <w:lsdException w:name="List 2" w:uiPriority="99"/>
    <w:lsdException w:name="List 3" w:uiPriority="99"/>
    <w:lsdException w:name="List Bullet 2" w:uiPriority="99"/>
    <w:lsdException w:name="List Bullet 3" w:uiPriority="99"/>
    <w:lsdException w:name="List Bullet 4" w:uiPriority="99"/>
    <w:lsdException w:name="Title" w:uiPriority="10" w:qFormat="1"/>
    <w:lsdException w:name="Body Text" w:uiPriority="99" w:qFormat="1"/>
    <w:lsdException w:name="Body Text Indent" w:uiPriority="99"/>
    <w:lsdException w:name="Subtitle" w:qFormat="1"/>
    <w:lsdException w:name="Body Text First Indent 2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SUPERSCharCharCharCharCharCharCharCha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E53C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7E53C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E53C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3C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3C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3CE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3CE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7E53CE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7E53CE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7E53C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E53C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E53CE"/>
    <w:pPr>
      <w:spacing w:before="480" w:after="240"/>
    </w:pPr>
  </w:style>
  <w:style w:type="paragraph" w:customStyle="1" w:styleId="TOCPage">
    <w:name w:val="TOC Page"/>
    <w:basedOn w:val="Normal"/>
    <w:next w:val="TOC1"/>
    <w:rsid w:val="007E53CE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7E53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E53CE"/>
    <w:rPr>
      <w:b/>
    </w:rPr>
  </w:style>
  <w:style w:type="paragraph" w:customStyle="1" w:styleId="NormalBold12a">
    <w:name w:val="NormalBold12a"/>
    <w:basedOn w:val="Normal"/>
    <w:rsid w:val="007E53C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E53C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E53CE"/>
    <w:pPr>
      <w:spacing w:after="480"/>
      <w:ind w:left="1417"/>
    </w:pPr>
  </w:style>
  <w:style w:type="paragraph" w:customStyle="1" w:styleId="CoverNormal">
    <w:name w:val="CoverNormal"/>
    <w:basedOn w:val="Normal"/>
    <w:rsid w:val="007E53CE"/>
    <w:pPr>
      <w:ind w:left="1418"/>
    </w:pPr>
  </w:style>
  <w:style w:type="paragraph" w:customStyle="1" w:styleId="NormalCenter12a">
    <w:name w:val="NormalCenter12a"/>
    <w:basedOn w:val="Normal"/>
    <w:rsid w:val="007E53CE"/>
    <w:pPr>
      <w:spacing w:after="240"/>
      <w:jc w:val="center"/>
    </w:pPr>
  </w:style>
  <w:style w:type="paragraph" w:customStyle="1" w:styleId="CoverReference">
    <w:name w:val="CoverReference"/>
    <w:basedOn w:val="Normal"/>
    <w:rsid w:val="007E53C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E53C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E53C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E53C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E53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3CE"/>
    <w:rPr>
      <w:sz w:val="24"/>
      <w:lang w:val="pl-PL"/>
    </w:rPr>
  </w:style>
  <w:style w:type="paragraph" w:customStyle="1" w:styleId="AmNumberTabs">
    <w:name w:val="AmNumberTabs"/>
    <w:basedOn w:val="Normal"/>
    <w:link w:val="AmNumberTabsChar"/>
    <w:rsid w:val="007E53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E53CE"/>
    <w:pPr>
      <w:spacing w:before="720" w:after="240"/>
      <w:jc w:val="center"/>
    </w:pPr>
  </w:style>
  <w:style w:type="paragraph" w:customStyle="1" w:styleId="EPBody">
    <w:name w:val="EPBody"/>
    <w:basedOn w:val="Normal"/>
    <w:rsid w:val="007E53C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E53C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7E53C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E53C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E53CE"/>
    <w:rPr>
      <w:sz w:val="18"/>
    </w:rPr>
  </w:style>
  <w:style w:type="paragraph" w:customStyle="1" w:styleId="AmJustText">
    <w:name w:val="AmJustText"/>
    <w:basedOn w:val="Normal"/>
    <w:rsid w:val="007E53CE"/>
    <w:pPr>
      <w:spacing w:after="240"/>
    </w:pPr>
    <w:rPr>
      <w:i/>
    </w:rPr>
  </w:style>
  <w:style w:type="character" w:customStyle="1" w:styleId="NormalBoldChar">
    <w:name w:val="NormalBold Char"/>
    <w:basedOn w:val="DefaultParagraphFont"/>
    <w:link w:val="NormalBold"/>
    <w:locked/>
    <w:rsid w:val="007E53CE"/>
    <w:rPr>
      <w:b/>
      <w:sz w:val="24"/>
      <w:lang w:val="pl-PL"/>
    </w:rPr>
  </w:style>
  <w:style w:type="paragraph" w:styleId="ListBullet4">
    <w:name w:val="List Bullet 4"/>
    <w:basedOn w:val="Normal"/>
    <w:uiPriority w:val="99"/>
    <w:rsid w:val="007E53CE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7E53CE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7E53CE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7E53CE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7E53CE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7E53CE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7E53CE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7E53CE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7E53CE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character" w:styleId="Hyperlink">
    <w:name w:val="Hyperlink"/>
    <w:uiPriority w:val="99"/>
    <w:rsid w:val="007E53CE"/>
    <w:rPr>
      <w:color w:val="0000FF"/>
      <w:u w:val="single"/>
    </w:rPr>
  </w:style>
  <w:style w:type="paragraph" w:styleId="ListBullet">
    <w:name w:val="List Bullet"/>
    <w:basedOn w:val="Normal"/>
    <w:uiPriority w:val="99"/>
    <w:rsid w:val="007E53CE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uiPriority w:val="99"/>
    <w:rsid w:val="007E53CE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rsid w:val="007E53CE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7E53CE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7E53CE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7E53CE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7E53CE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7E53CE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7E53CE"/>
    <w:pPr>
      <w:numPr>
        <w:numId w:val="14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7E53CE"/>
    <w:pPr>
      <w:numPr>
        <w:ilvl w:val="1"/>
        <w:numId w:val="14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7E53CE"/>
    <w:pPr>
      <w:numPr>
        <w:ilvl w:val="1"/>
        <w:numId w:val="15"/>
      </w:numPr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7E53CE"/>
    <w:pPr>
      <w:numPr>
        <w:ilvl w:val="1"/>
        <w:numId w:val="16"/>
      </w:numPr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7E53CE"/>
    <w:pPr>
      <w:numPr>
        <w:ilvl w:val="1"/>
        <w:numId w:val="17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7E53CE"/>
    <w:pPr>
      <w:numPr>
        <w:ilvl w:val="2"/>
        <w:numId w:val="14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7E53CE"/>
    <w:pPr>
      <w:numPr>
        <w:ilvl w:val="2"/>
        <w:numId w:val="15"/>
      </w:numPr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7E53CE"/>
    <w:pPr>
      <w:numPr>
        <w:ilvl w:val="2"/>
        <w:numId w:val="16"/>
      </w:numPr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7E53CE"/>
    <w:pPr>
      <w:numPr>
        <w:ilvl w:val="2"/>
        <w:numId w:val="17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7E53CE"/>
    <w:pPr>
      <w:numPr>
        <w:ilvl w:val="3"/>
        <w:numId w:val="14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7E53CE"/>
    <w:pPr>
      <w:numPr>
        <w:ilvl w:val="3"/>
        <w:numId w:val="15"/>
      </w:numPr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7E53CE"/>
    <w:pPr>
      <w:numPr>
        <w:ilvl w:val="3"/>
        <w:numId w:val="16"/>
      </w:numPr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7E53CE"/>
    <w:pPr>
      <w:numPr>
        <w:ilvl w:val="3"/>
        <w:numId w:val="17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7E53C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7E53C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7E53C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7E53C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7E53C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7E53C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7E53CE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7E53CE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7E53CE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7E53CE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7E53CE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7E53CE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7E53CE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7E53CE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7E53CE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7E53CE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7E53CE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7E53C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7E53C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7E53C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7E53C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7E53C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7E53CE"/>
    <w:pPr>
      <w:widowControl/>
      <w:spacing w:before="120" w:after="120"/>
      <w:jc w:val="center"/>
    </w:pPr>
    <w:rPr>
      <w:b/>
      <w:szCs w:val="22"/>
      <w:u w:val="single"/>
    </w:rPr>
  </w:style>
  <w:style w:type="character" w:styleId="CommentReference">
    <w:name w:val="annotation reference"/>
    <w:uiPriority w:val="99"/>
    <w:rsid w:val="007E53C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E53CE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53CE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E53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E53CE"/>
    <w:rPr>
      <w:b/>
      <w:bCs/>
      <w:lang w:val="pl-PL"/>
    </w:rPr>
  </w:style>
  <w:style w:type="paragraph" w:styleId="BalloonText">
    <w:name w:val="Balloon Text"/>
    <w:basedOn w:val="Normal"/>
    <w:link w:val="BalloonTextChar"/>
    <w:rsid w:val="007E53CE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3CE"/>
    <w:rPr>
      <w:rFonts w:ascii="Tahoma" w:hAnsi="Tahoma" w:cs="Tahoma"/>
      <w:sz w:val="16"/>
      <w:szCs w:val="16"/>
      <w:lang w:val="pl-PL"/>
    </w:rPr>
  </w:style>
  <w:style w:type="paragraph" w:styleId="Caption">
    <w:name w:val="caption"/>
    <w:basedOn w:val="Normal"/>
    <w:next w:val="Normal"/>
    <w:qFormat/>
    <w:rsid w:val="007E53CE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7E53CE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7E53CE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7E53CE"/>
    <w:rPr>
      <w:color w:val="800080"/>
      <w:u w:val="single"/>
    </w:rPr>
  </w:style>
  <w:style w:type="paragraph" w:customStyle="1" w:styleId="Sous-titreobjet">
    <w:name w:val="Sous-titre objet"/>
    <w:basedOn w:val="Normal"/>
    <w:rsid w:val="007E53CE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7E53CE"/>
  </w:style>
  <w:style w:type="paragraph" w:styleId="Revision">
    <w:name w:val="Revision"/>
    <w:hidden/>
    <w:uiPriority w:val="99"/>
    <w:semiHidden/>
    <w:rsid w:val="007E53CE"/>
    <w:pPr>
      <w:spacing w:after="200" w:line="276" w:lineRule="auto"/>
    </w:pPr>
    <w:rPr>
      <w:rFonts w:ascii="Calibri" w:eastAsia="Calibri" w:hAnsi="Calibri"/>
      <w:sz w:val="24"/>
      <w:szCs w:val="22"/>
      <w:lang w:val="pl-PL"/>
    </w:rPr>
  </w:style>
  <w:style w:type="paragraph" w:customStyle="1" w:styleId="FooterCoverPage">
    <w:name w:val="Footer Cover Page"/>
    <w:basedOn w:val="Normal"/>
    <w:link w:val="FooterCoverPageChar"/>
    <w:rsid w:val="007E53C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7E53CE"/>
    <w:rPr>
      <w:rFonts w:eastAsia="Calibri"/>
      <w:sz w:val="24"/>
      <w:szCs w:val="22"/>
      <w:lang w:val="pl-PL"/>
    </w:rPr>
  </w:style>
  <w:style w:type="paragraph" w:customStyle="1" w:styleId="HeaderCoverPage">
    <w:name w:val="Header Cover Page"/>
    <w:basedOn w:val="Normal"/>
    <w:link w:val="HeaderCoverPageChar"/>
    <w:rsid w:val="007E53CE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7E53CE"/>
    <w:rPr>
      <w:rFonts w:eastAsia="Calibri"/>
      <w:sz w:val="24"/>
      <w:szCs w:val="22"/>
      <w:lang w:val="pl-PL"/>
    </w:rPr>
  </w:style>
  <w:style w:type="paragraph" w:customStyle="1" w:styleId="paragraph">
    <w:name w:val="paragraph"/>
    <w:basedOn w:val="Normal"/>
    <w:link w:val="paragraphChar"/>
    <w:rsid w:val="007E53CE"/>
    <w:pPr>
      <w:widowControl/>
      <w:spacing w:before="100" w:beforeAutospacing="1" w:after="100" w:afterAutospacing="1"/>
    </w:pPr>
    <w:rPr>
      <w:szCs w:val="24"/>
      <w:lang w:eastAsia="en-IE"/>
      <w14:ligatures w14:val="standardContextual"/>
    </w:rPr>
  </w:style>
  <w:style w:type="character" w:customStyle="1" w:styleId="normaltextrun">
    <w:name w:val="normaltextrun"/>
    <w:basedOn w:val="DefaultParagraphFont"/>
    <w:rsid w:val="007E53CE"/>
  </w:style>
  <w:style w:type="character" w:customStyle="1" w:styleId="findhit">
    <w:name w:val="findhit"/>
    <w:basedOn w:val="DefaultParagraphFont"/>
    <w:rsid w:val="007E53CE"/>
  </w:style>
  <w:style w:type="character" w:customStyle="1" w:styleId="eop">
    <w:name w:val="eop"/>
    <w:basedOn w:val="DefaultParagraphFont"/>
    <w:rsid w:val="007E53CE"/>
  </w:style>
  <w:style w:type="paragraph" w:styleId="ListParagraph">
    <w:name w:val="List Paragraph"/>
    <w:basedOn w:val="Normal"/>
    <w:uiPriority w:val="1"/>
    <w:qFormat/>
    <w:rsid w:val="007E53CE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aragraphChar">
    <w:name w:val="paragraph Char"/>
    <w:basedOn w:val="DefaultParagraphFont"/>
    <w:link w:val="paragraph"/>
    <w:rsid w:val="007E53CE"/>
    <w:rPr>
      <w:sz w:val="24"/>
      <w:szCs w:val="24"/>
      <w:lang w:val="pl-PL" w:eastAsia="en-IE"/>
      <w14:ligatures w14:val="standardContextual"/>
    </w:rPr>
  </w:style>
  <w:style w:type="paragraph" w:customStyle="1" w:styleId="li">
    <w:name w:val="li"/>
    <w:basedOn w:val="Normal"/>
    <w:rsid w:val="007E53CE"/>
    <w:pPr>
      <w:widowControl/>
      <w:spacing w:before="100" w:beforeAutospacing="1" w:after="100" w:afterAutospacing="1"/>
    </w:pPr>
    <w:rPr>
      <w:szCs w:val="24"/>
      <w:lang w:eastAsia="en-IE"/>
      <w14:ligatures w14:val="standardContextual"/>
    </w:rPr>
  </w:style>
  <w:style w:type="paragraph" w:customStyle="1" w:styleId="oj-normal">
    <w:name w:val="oj-normal"/>
    <w:basedOn w:val="Normal"/>
    <w:rsid w:val="007E53CE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53CE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7E53CE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styleId="Title">
    <w:name w:val="Title"/>
    <w:basedOn w:val="Normal"/>
    <w:link w:val="TitleChar"/>
    <w:uiPriority w:val="10"/>
    <w:qFormat/>
    <w:rsid w:val="007E53CE"/>
    <w:pPr>
      <w:autoSpaceDE w:val="0"/>
      <w:autoSpaceDN w:val="0"/>
      <w:ind w:left="315" w:right="332"/>
      <w:jc w:val="center"/>
    </w:pPr>
    <w:rPr>
      <w:rFonts w:ascii="Cambria" w:eastAsia="Cambria" w:hAnsi="Cambria" w:cs="Cambria"/>
      <w:sz w:val="34"/>
      <w:szCs w:val="34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E53CE"/>
    <w:rPr>
      <w:rFonts w:ascii="Cambria" w:eastAsia="Cambria" w:hAnsi="Cambria" w:cs="Cambria"/>
      <w:sz w:val="34"/>
      <w:szCs w:val="34"/>
      <w:lang w:val="pl-PL" w:eastAsia="en-US"/>
    </w:rPr>
  </w:style>
  <w:style w:type="paragraph" w:styleId="BodyText">
    <w:name w:val="Body Text"/>
    <w:basedOn w:val="Normal"/>
    <w:link w:val="BodyTextChar"/>
    <w:uiPriority w:val="99"/>
    <w:unhideWhenUsed/>
    <w:qFormat/>
    <w:rsid w:val="007E53CE"/>
    <w:pPr>
      <w:autoSpaceDE w:val="0"/>
      <w:autoSpaceDN w:val="0"/>
    </w:pPr>
    <w:rPr>
      <w:rFonts w:ascii="Cambria" w:eastAsia="Cambria" w:hAnsi="Cambria" w:cs="Cambria"/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7E53CE"/>
    <w:rPr>
      <w:rFonts w:ascii="Cambria" w:eastAsia="Cambria" w:hAnsi="Cambria" w:cs="Cambria"/>
      <w:sz w:val="19"/>
      <w:szCs w:val="19"/>
      <w:lang w:val="pl-PL" w:eastAsia="en-US"/>
    </w:rPr>
  </w:style>
  <w:style w:type="paragraph" w:customStyle="1" w:styleId="TableParagraph">
    <w:name w:val="Table Paragraph"/>
    <w:basedOn w:val="Normal"/>
    <w:uiPriority w:val="1"/>
    <w:qFormat/>
    <w:rsid w:val="007E53CE"/>
    <w:pPr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character" w:customStyle="1" w:styleId="num">
    <w:name w:val="num"/>
    <w:basedOn w:val="DefaultParagraphFont"/>
    <w:rsid w:val="007E53CE"/>
  </w:style>
  <w:style w:type="paragraph" w:customStyle="1" w:styleId="NumPar10">
    <w:name w:val="Num Par 1"/>
    <w:basedOn w:val="Text1"/>
    <w:rsid w:val="007E53CE"/>
  </w:style>
  <w:style w:type="paragraph" w:customStyle="1" w:styleId="Normal1">
    <w:name w:val="Normal1"/>
    <w:basedOn w:val="Normal"/>
    <w:rsid w:val="007E53CE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oj-super">
    <w:name w:val="oj-super"/>
    <w:basedOn w:val="DefaultParagraphFont"/>
    <w:rsid w:val="007E53CE"/>
  </w:style>
  <w:style w:type="paragraph" w:customStyle="1" w:styleId="numpar11">
    <w:name w:val="numpar1"/>
    <w:basedOn w:val="Normal"/>
    <w:rsid w:val="007E53CE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IE"/>
    </w:rPr>
  </w:style>
  <w:style w:type="paragraph" w:customStyle="1" w:styleId="Article">
    <w:name w:val="Article"/>
    <w:basedOn w:val="Text1"/>
    <w:rsid w:val="007E53CE"/>
    <w:pPr>
      <w:ind w:left="0"/>
      <w:jc w:val="center"/>
    </w:pPr>
    <w:rPr>
      <w:i/>
    </w:rPr>
  </w:style>
  <w:style w:type="character" w:customStyle="1" w:styleId="cf01">
    <w:name w:val="cf01"/>
    <w:basedOn w:val="DefaultParagraphFont"/>
    <w:rsid w:val="007E53CE"/>
    <w:rPr>
      <w:rFonts w:ascii="Times New Roman" w:hAnsi="Times New Roman" w:cs="Times New Roman" w:hint="default"/>
      <w:sz w:val="24"/>
      <w:szCs w:val="24"/>
    </w:rPr>
  </w:style>
  <w:style w:type="character" w:styleId="Strong">
    <w:name w:val="Strong"/>
    <w:basedOn w:val="DefaultParagraphFont"/>
    <w:uiPriority w:val="22"/>
    <w:qFormat/>
    <w:rsid w:val="007E53CE"/>
    <w:rPr>
      <w:b/>
      <w:bCs/>
    </w:rPr>
  </w:style>
  <w:style w:type="paragraph" w:customStyle="1" w:styleId="Body">
    <w:name w:val="Body"/>
    <w:rsid w:val="007E53CE"/>
    <w:pPr>
      <w:spacing w:before="120" w:after="120"/>
      <w:jc w:val="both"/>
    </w:pPr>
    <w:rPr>
      <w:color w:val="000000"/>
      <w:sz w:val="24"/>
      <w:szCs w:val="24"/>
      <w:u w:color="000000"/>
      <w:lang w:val="pl-PL"/>
    </w:rPr>
  </w:style>
  <w:style w:type="character" w:customStyle="1" w:styleId="ilfuvd">
    <w:name w:val="ilfuvd"/>
    <w:basedOn w:val="DefaultParagraphFont"/>
    <w:rsid w:val="007E53CE"/>
  </w:style>
  <w:style w:type="character" w:customStyle="1" w:styleId="Mention1">
    <w:name w:val="Mention1"/>
    <w:basedOn w:val="DefaultParagraphFont"/>
    <w:uiPriority w:val="99"/>
    <w:unhideWhenUsed/>
    <w:rsid w:val="007E53CE"/>
    <w:rPr>
      <w:color w:val="2B579A"/>
      <w:shd w:val="clear" w:color="auto" w:fill="E1DFDD"/>
    </w:rPr>
  </w:style>
  <w:style w:type="paragraph" w:customStyle="1" w:styleId="AmHeadingPA">
    <w:name w:val="AmHeadingPA"/>
    <w:basedOn w:val="Normal"/>
    <w:next w:val="Normal"/>
    <w:rsid w:val="007E53C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rsid w:val="007E53CE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E53CE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E53CE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E53CE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E53CE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E53CE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7E53C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E53CE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E53C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7E53C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7E53C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7E53CE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7E53CE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7E53CE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7E53CE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7E53CE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7E53CE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7E53CE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7E53C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E53C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E53C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E53CE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E53CE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E53CE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7E53CE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7E53CE"/>
    <w:pPr>
      <w:numPr>
        <w:numId w:val="21"/>
      </w:numPr>
    </w:pPr>
  </w:style>
  <w:style w:type="paragraph" w:customStyle="1" w:styleId="Tiret1">
    <w:name w:val="Tiret 1"/>
    <w:basedOn w:val="Point1"/>
    <w:rsid w:val="007E53CE"/>
    <w:pPr>
      <w:numPr>
        <w:numId w:val="22"/>
      </w:numPr>
    </w:pPr>
  </w:style>
  <w:style w:type="paragraph" w:customStyle="1" w:styleId="Tiret2">
    <w:name w:val="Tiret 2"/>
    <w:basedOn w:val="Point2"/>
    <w:rsid w:val="007E53CE"/>
    <w:pPr>
      <w:numPr>
        <w:numId w:val="23"/>
      </w:numPr>
    </w:pPr>
  </w:style>
  <w:style w:type="paragraph" w:customStyle="1" w:styleId="Tiret3">
    <w:name w:val="Tiret 3"/>
    <w:basedOn w:val="Point3"/>
    <w:rsid w:val="007E53CE"/>
    <w:pPr>
      <w:numPr>
        <w:numId w:val="24"/>
      </w:numPr>
    </w:pPr>
  </w:style>
  <w:style w:type="paragraph" w:customStyle="1" w:styleId="Tiret4">
    <w:name w:val="Tiret 4"/>
    <w:basedOn w:val="Point4"/>
    <w:rsid w:val="007E53CE"/>
    <w:pPr>
      <w:numPr>
        <w:numId w:val="25"/>
      </w:numPr>
    </w:pPr>
  </w:style>
  <w:style w:type="paragraph" w:customStyle="1" w:styleId="Tiret5">
    <w:name w:val="Tiret 5"/>
    <w:basedOn w:val="Point5"/>
    <w:rsid w:val="007E53CE"/>
    <w:pPr>
      <w:numPr>
        <w:numId w:val="26"/>
      </w:numPr>
    </w:pPr>
  </w:style>
  <w:style w:type="paragraph" w:customStyle="1" w:styleId="PointDouble0">
    <w:name w:val="PointDouble 0"/>
    <w:basedOn w:val="Normal"/>
    <w:rsid w:val="007E53C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7E53C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7E53C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7E53C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7E53C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7E53C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7E53C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7E53C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7E53C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7E53C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7E53CE"/>
    <w:pPr>
      <w:widowControl/>
      <w:numPr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7E53CE"/>
    <w:pPr>
      <w:widowControl/>
      <w:numPr>
        <w:ilvl w:val="1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7E53CE"/>
    <w:pPr>
      <w:widowControl/>
      <w:numPr>
        <w:ilvl w:val="2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7E53CE"/>
    <w:pPr>
      <w:widowControl/>
      <w:numPr>
        <w:ilvl w:val="3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7E53CE"/>
    <w:pPr>
      <w:widowControl/>
      <w:numPr>
        <w:ilvl w:val="4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7E53CE"/>
    <w:pPr>
      <w:widowControl/>
      <w:numPr>
        <w:ilvl w:val="5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7E53CE"/>
    <w:pPr>
      <w:widowControl/>
      <w:numPr>
        <w:ilvl w:val="6"/>
        <w:numId w:val="1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E53C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E53C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E53C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E53C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E53C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E53C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E53C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7E53C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E53C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E53C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E53C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E53C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7E53C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7E53C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7E53C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E53CE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E53CE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E53CE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E53CE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7E53C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E53C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E53C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E53CE"/>
    <w:pPr>
      <w:widowControl/>
      <w:numPr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E53CE"/>
    <w:pPr>
      <w:widowControl/>
      <w:numPr>
        <w:ilvl w:val="2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7E53CE"/>
    <w:pPr>
      <w:widowControl/>
      <w:numPr>
        <w:ilvl w:val="4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E53CE"/>
    <w:pPr>
      <w:widowControl/>
      <w:numPr>
        <w:ilvl w:val="6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E53CE"/>
    <w:pPr>
      <w:widowControl/>
      <w:numPr>
        <w:ilvl w:val="1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7E53CE"/>
    <w:pPr>
      <w:widowControl/>
      <w:numPr>
        <w:ilvl w:val="3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E53CE"/>
    <w:pPr>
      <w:widowControl/>
      <w:numPr>
        <w:ilvl w:val="5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E53CE"/>
    <w:pPr>
      <w:widowControl/>
      <w:numPr>
        <w:ilvl w:val="7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E53CE"/>
    <w:pPr>
      <w:widowControl/>
      <w:numPr>
        <w:ilvl w:val="8"/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7E53CE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7E53CE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7E53CE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7E53CE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7E53CE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E53CE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E53CE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E53C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E53C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E53C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E53C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7E53C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7E53CE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7E53C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E53C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E53C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E53C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E53C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E53CE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E53CE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E53CE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E53CE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7E53CE"/>
    <w:pPr>
      <w:widowControl/>
      <w:numPr>
        <w:numId w:val="2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E53CE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E53C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E53C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7E53C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E53C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E53C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E53C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E53C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E53C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E53C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E53C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E53C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E53C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E53C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E53C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7E53C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E53C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E53CE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E53CE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E53CE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E53C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7E53CE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E53C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E53C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E53CE"/>
  </w:style>
  <w:style w:type="paragraph" w:customStyle="1" w:styleId="StatutPagedecouverture">
    <w:name w:val="Statut (Page de couverture)"/>
    <w:basedOn w:val="Statut"/>
    <w:next w:val="TypedudocumentPagedecouverture"/>
    <w:rsid w:val="007E53CE"/>
  </w:style>
  <w:style w:type="paragraph" w:customStyle="1" w:styleId="TitreobjetPagedecouverture">
    <w:name w:val="Titre objet (Page de couverture)"/>
    <w:basedOn w:val="Titreobjet"/>
    <w:next w:val="IntrtEEEPagedecouverture"/>
    <w:rsid w:val="007E53C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E53CE"/>
  </w:style>
  <w:style w:type="paragraph" w:customStyle="1" w:styleId="Volume">
    <w:name w:val="Volume"/>
    <w:basedOn w:val="Normal"/>
    <w:next w:val="Confidentialit"/>
    <w:rsid w:val="007E53C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E53CE"/>
    <w:pPr>
      <w:spacing w:after="240"/>
    </w:pPr>
  </w:style>
  <w:style w:type="paragraph" w:customStyle="1" w:styleId="Accompagnant">
    <w:name w:val="Accompagnant"/>
    <w:basedOn w:val="Normal"/>
    <w:next w:val="Typeacteprincipal"/>
    <w:rsid w:val="007E53CE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E53CE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E53CE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E53CE"/>
  </w:style>
  <w:style w:type="paragraph" w:customStyle="1" w:styleId="AccompagnantPagedecouverture">
    <w:name w:val="Accompagnant (Page de couverture)"/>
    <w:basedOn w:val="Accompagnant"/>
    <w:next w:val="TypeacteprincipalPagedecouverture"/>
    <w:rsid w:val="007E53C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E53CE"/>
  </w:style>
  <w:style w:type="paragraph" w:customStyle="1" w:styleId="ObjetacteprincipalPagedecouverture">
    <w:name w:val="Objet acte principal (Page de couverture)"/>
    <w:basedOn w:val="Objetacteprincipal"/>
    <w:next w:val="Rfrencecroise"/>
    <w:rsid w:val="007E53CE"/>
  </w:style>
  <w:style w:type="paragraph" w:customStyle="1" w:styleId="LanguesfaisantfoiPagedecouverture">
    <w:name w:val="Langues faisant foi (Page de couverture)"/>
    <w:basedOn w:val="Normal"/>
    <w:next w:val="Normal"/>
    <w:rsid w:val="007E53C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7E53CE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AmOrLang">
    <w:name w:val="AmOrLang"/>
    <w:basedOn w:val="Normal"/>
    <w:rsid w:val="007E53CE"/>
    <w:pPr>
      <w:spacing w:before="240" w:after="240"/>
      <w:jc w:val="right"/>
    </w:pPr>
  </w:style>
  <w:style w:type="paragraph" w:customStyle="1" w:styleId="FooterLandscape">
    <w:name w:val="FooterLandscape"/>
    <w:basedOn w:val="Normal"/>
    <w:rsid w:val="007E53C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Normal24a">
    <w:name w:val="Normal24a"/>
    <w:basedOn w:val="Normal"/>
    <w:rsid w:val="007E53CE"/>
    <w:pPr>
      <w:spacing w:after="480"/>
    </w:pPr>
  </w:style>
  <w:style w:type="paragraph" w:customStyle="1" w:styleId="NormalBoldCenter">
    <w:name w:val="NormalBoldCenter"/>
    <w:basedOn w:val="Normal"/>
    <w:rsid w:val="007E53CE"/>
    <w:pPr>
      <w:jc w:val="center"/>
    </w:pPr>
    <w:rPr>
      <w:b/>
    </w:rPr>
  </w:style>
  <w:style w:type="paragraph" w:customStyle="1" w:styleId="Footprint12b">
    <w:name w:val="Footprint12b"/>
    <w:basedOn w:val="Normal"/>
    <w:rsid w:val="007E53CE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7E53CE"/>
    <w:pPr>
      <w:spacing w:after="240"/>
    </w:pPr>
  </w:style>
  <w:style w:type="paragraph" w:customStyle="1" w:styleId="PageHeadingNotTOC">
    <w:name w:val="PageHeadingNotTOC"/>
    <w:basedOn w:val="Normal"/>
    <w:rsid w:val="007E53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6a">
    <w:name w:val="Normal6a"/>
    <w:basedOn w:val="Normal"/>
    <w:rsid w:val="007E53CE"/>
    <w:pPr>
      <w:spacing w:after="120"/>
    </w:pPr>
  </w:style>
  <w:style w:type="paragraph" w:customStyle="1" w:styleId="AmColumnHeading">
    <w:name w:val="AmColumnHeading"/>
    <w:basedOn w:val="Normal"/>
    <w:rsid w:val="007E53CE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link w:val="NormalBold12bChar"/>
    <w:rsid w:val="007E53CE"/>
    <w:pPr>
      <w:spacing w:before="240"/>
    </w:pPr>
    <w:rPr>
      <w:b/>
    </w:rPr>
  </w:style>
  <w:style w:type="paragraph" w:customStyle="1" w:styleId="NormalSingle">
    <w:name w:val="NormalSingle"/>
    <w:basedOn w:val="Normal"/>
    <w:qFormat/>
    <w:rsid w:val="007E53CE"/>
    <w:rPr>
      <w:szCs w:val="24"/>
    </w:rPr>
  </w:style>
  <w:style w:type="paragraph" w:customStyle="1" w:styleId="RollCallSymbols14pt">
    <w:name w:val="RollCallSymbols14pt"/>
    <w:basedOn w:val="Normal"/>
    <w:rsid w:val="007E53C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E53C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E53C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E53CE"/>
    <w:pPr>
      <w:spacing w:before="120" w:after="120"/>
    </w:pPr>
    <w:rPr>
      <w:snapToGrid w:val="0"/>
      <w:sz w:val="16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7E53CE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7E53CE"/>
    <w:rPr>
      <w:b/>
      <w:sz w:val="24"/>
      <w:lang w:val="pl-PL"/>
    </w:rPr>
  </w:style>
  <w:style w:type="paragraph" w:customStyle="1" w:styleId="AmCrossRef">
    <w:name w:val="AmCrossRef"/>
    <w:basedOn w:val="Normal"/>
    <w:rsid w:val="007E53C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E53CE"/>
    <w:pPr>
      <w:keepNext/>
      <w:spacing w:before="240" w:after="240"/>
      <w:jc w:val="center"/>
    </w:pPr>
    <w:rPr>
      <w:i/>
    </w:rPr>
  </w:style>
  <w:style w:type="paragraph" w:customStyle="1" w:styleId="EntPE">
    <w:name w:val="EntPE"/>
    <w:basedOn w:val="Normal12"/>
    <w:rsid w:val="007E53CE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7E53CE"/>
    <w:pPr>
      <w:spacing w:after="240"/>
    </w:pPr>
    <w:rPr>
      <w:noProof/>
    </w:rPr>
  </w:style>
  <w:style w:type="paragraph" w:customStyle="1" w:styleId="CommitteeAM">
    <w:name w:val="CommitteeAM"/>
    <w:basedOn w:val="Normal"/>
    <w:rsid w:val="007E53C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E53C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E53CE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7E53CE"/>
    <w:rPr>
      <w:noProof/>
      <w:sz w:val="24"/>
      <w:lang w:val="pl-PL"/>
    </w:rPr>
  </w:style>
  <w:style w:type="paragraph" w:customStyle="1" w:styleId="PELeft">
    <w:name w:val="PELeft"/>
    <w:basedOn w:val="Normal"/>
    <w:rsid w:val="007E53C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E53CE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7E53CE"/>
    <w:pPr>
      <w:spacing w:after="120"/>
    </w:pPr>
  </w:style>
  <w:style w:type="paragraph" w:customStyle="1" w:styleId="Normal12Italic">
    <w:name w:val="Normal12Italic"/>
    <w:basedOn w:val="Normal12"/>
    <w:rsid w:val="007E53CE"/>
    <w:rPr>
      <w:i/>
    </w:rPr>
  </w:style>
  <w:style w:type="paragraph" w:customStyle="1" w:styleId="JustificationTitle">
    <w:name w:val="JustificationTitle"/>
    <w:basedOn w:val="Normal"/>
    <w:next w:val="Normal12"/>
    <w:rsid w:val="007E53C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E53CE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7E53CE"/>
    <w:rPr>
      <w:sz w:val="24"/>
      <w:lang w:val="pl-PL"/>
    </w:rPr>
  </w:style>
  <w:style w:type="paragraph" w:customStyle="1" w:styleId="ColumnHeading">
    <w:name w:val="ColumnHeading"/>
    <w:basedOn w:val="Normal"/>
    <w:rsid w:val="007E53C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E53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E53CE"/>
    <w:pPr>
      <w:spacing w:before="240"/>
      <w:jc w:val="center"/>
    </w:pPr>
    <w:rPr>
      <w:i/>
    </w:rPr>
  </w:style>
  <w:style w:type="character" w:customStyle="1" w:styleId="Footer2Middle">
    <w:name w:val="Footer2Middle"/>
    <w:rsid w:val="007E53CE"/>
    <w:rPr>
      <w:rFonts w:ascii="Arial" w:cs="Arial"/>
      <w:b w:val="0"/>
      <w:i/>
      <w:color w:val="C0C0C0"/>
      <w:sz w:val="22"/>
    </w:rPr>
  </w:style>
  <w:style w:type="paragraph" w:customStyle="1" w:styleId="SUPERSCharCharCharCharCharCharCharChar">
    <w:name w:val="SUPERS Char Char Char Char Char Char Char Char"/>
    <w:aliases w:val="SUPERS Tegn Char Char Char Char Char Char Char Char Char,Footnote Reference Number Tegn Char Char Char Char Char Char Char Char Char"/>
    <w:basedOn w:val="Normal"/>
    <w:link w:val="FootnoteReference"/>
    <w:autoRedefine/>
    <w:uiPriority w:val="99"/>
    <w:rsid w:val="007E53CE"/>
    <w:pPr>
      <w:widowControl/>
      <w:spacing w:before="120" w:after="160" w:line="240" w:lineRule="exact"/>
      <w:contextualSpacing/>
      <w:jc w:val="both"/>
    </w:pPr>
    <w:rPr>
      <w:sz w:val="20"/>
      <w:vertAlign w:val="superscript"/>
      <w:lang w:val="en-GB"/>
    </w:rPr>
  </w:style>
  <w:style w:type="paragraph" w:styleId="Footer">
    <w:name w:val="footer"/>
    <w:basedOn w:val="Normal"/>
    <w:link w:val="FooterChar"/>
    <w:uiPriority w:val="99"/>
    <w:rsid w:val="007E53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3CE"/>
    <w:rPr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D97753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9705C9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9705C9"/>
    <w:pPr>
      <w:tabs>
        <w:tab w:val="right" w:pos="9072"/>
      </w:tabs>
    </w:pPr>
  </w:style>
  <w:style w:type="paragraph" w:customStyle="1" w:styleId="NormalJustified">
    <w:name w:val="Normal Justified"/>
    <w:basedOn w:val="Normal"/>
    <w:rsid w:val="009705C9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9705C9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705C9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705C9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705C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705C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PointManual">
    <w:name w:val="Point Manual"/>
    <w:basedOn w:val="Normal"/>
    <w:rsid w:val="009705C9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9705C9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9705C9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9705C9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9705C9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9705C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9705C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9705C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9705C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9705C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9705C9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9705C9"/>
    <w:pPr>
      <w:widowControl/>
      <w:numPr>
        <w:ilvl w:val="3"/>
        <w:numId w:val="4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9705C9"/>
    <w:pPr>
      <w:widowControl/>
      <w:numPr>
        <w:ilvl w:val="5"/>
        <w:numId w:val="4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9705C9"/>
    <w:pPr>
      <w:widowControl/>
      <w:numPr>
        <w:ilvl w:val="7"/>
        <w:numId w:val="4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9705C9"/>
    <w:pPr>
      <w:widowControl/>
      <w:numPr>
        <w:ilvl w:val="8"/>
        <w:numId w:val="4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9705C9"/>
    <w:pPr>
      <w:widowControl/>
      <w:numPr>
        <w:numId w:val="4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9705C9"/>
    <w:pPr>
      <w:widowControl/>
      <w:numPr>
        <w:ilvl w:val="2"/>
        <w:numId w:val="4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9705C9"/>
    <w:pPr>
      <w:widowControl/>
      <w:numPr>
        <w:ilvl w:val="4"/>
        <w:numId w:val="4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9705C9"/>
    <w:pPr>
      <w:widowControl/>
      <w:numPr>
        <w:ilvl w:val="6"/>
        <w:numId w:val="4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9705C9"/>
    <w:pPr>
      <w:widowControl/>
      <w:numPr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9705C9"/>
    <w:pPr>
      <w:widowControl/>
      <w:numPr>
        <w:ilvl w:val="1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9705C9"/>
    <w:pPr>
      <w:widowControl/>
      <w:numPr>
        <w:ilvl w:val="2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9705C9"/>
    <w:pPr>
      <w:widowControl/>
      <w:numPr>
        <w:ilvl w:val="3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9705C9"/>
    <w:pPr>
      <w:widowControl/>
      <w:numPr>
        <w:ilvl w:val="4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9705C9"/>
    <w:pPr>
      <w:widowControl/>
      <w:numPr>
        <w:numId w:val="4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9705C9"/>
    <w:pPr>
      <w:widowControl/>
      <w:numPr>
        <w:numId w:val="3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9705C9"/>
    <w:pPr>
      <w:widowControl/>
      <w:numPr>
        <w:numId w:val="3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9705C9"/>
    <w:pPr>
      <w:widowControl/>
      <w:numPr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9705C9"/>
    <w:pPr>
      <w:widowControl/>
      <w:numPr>
        <w:numId w:val="3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9705C9"/>
    <w:pPr>
      <w:widowControl/>
      <w:numPr>
        <w:numId w:val="3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9705C9"/>
    <w:pPr>
      <w:numPr>
        <w:numId w:val="37"/>
      </w:numPr>
    </w:pPr>
  </w:style>
  <w:style w:type="paragraph" w:customStyle="1" w:styleId="DashEqual1">
    <w:name w:val="Dash Equal 1"/>
    <w:basedOn w:val="Dash1"/>
    <w:rsid w:val="009705C9"/>
    <w:pPr>
      <w:numPr>
        <w:numId w:val="38"/>
      </w:numPr>
    </w:pPr>
  </w:style>
  <w:style w:type="paragraph" w:customStyle="1" w:styleId="DashEqual2">
    <w:name w:val="Dash Equal 2"/>
    <w:basedOn w:val="Dash2"/>
    <w:rsid w:val="009705C9"/>
    <w:pPr>
      <w:numPr>
        <w:numId w:val="39"/>
      </w:numPr>
    </w:pPr>
  </w:style>
  <w:style w:type="paragraph" w:customStyle="1" w:styleId="DashEqual3">
    <w:name w:val="Dash Equal 3"/>
    <w:basedOn w:val="Dash3"/>
    <w:rsid w:val="009705C9"/>
    <w:pPr>
      <w:numPr>
        <w:numId w:val="40"/>
      </w:numPr>
    </w:pPr>
  </w:style>
  <w:style w:type="paragraph" w:customStyle="1" w:styleId="DashEqual4">
    <w:name w:val="Dash Equal 4"/>
    <w:basedOn w:val="Dash4"/>
    <w:rsid w:val="009705C9"/>
    <w:pPr>
      <w:numPr>
        <w:numId w:val="41"/>
      </w:numPr>
    </w:pPr>
  </w:style>
  <w:style w:type="paragraph" w:customStyle="1" w:styleId="HeadingLeft">
    <w:name w:val="Heading Left"/>
    <w:basedOn w:val="Normal"/>
    <w:next w:val="Normal"/>
    <w:rsid w:val="009705C9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705C9"/>
    <w:pPr>
      <w:numPr>
        <w:numId w:val="47"/>
      </w:numPr>
    </w:pPr>
  </w:style>
  <w:style w:type="paragraph" w:customStyle="1" w:styleId="Heading123">
    <w:name w:val="Heading 123"/>
    <w:basedOn w:val="HeadingLeft"/>
    <w:next w:val="Normal"/>
    <w:rsid w:val="009705C9"/>
    <w:pPr>
      <w:numPr>
        <w:numId w:val="46"/>
      </w:numPr>
    </w:pPr>
  </w:style>
  <w:style w:type="paragraph" w:customStyle="1" w:styleId="HeadingABC">
    <w:name w:val="Heading ABC"/>
    <w:basedOn w:val="HeadingLeft"/>
    <w:next w:val="Normal"/>
    <w:rsid w:val="009705C9"/>
    <w:pPr>
      <w:numPr>
        <w:numId w:val="45"/>
      </w:numPr>
    </w:pPr>
  </w:style>
  <w:style w:type="paragraph" w:customStyle="1" w:styleId="HeadingCentered">
    <w:name w:val="Heading Centered"/>
    <w:basedOn w:val="HeadingLeft"/>
    <w:next w:val="Normal"/>
    <w:rsid w:val="009705C9"/>
    <w:pPr>
      <w:jc w:val="center"/>
    </w:pPr>
  </w:style>
  <w:style w:type="paragraph" w:customStyle="1" w:styleId="Jardin">
    <w:name w:val="Jardin"/>
    <w:basedOn w:val="Normal"/>
    <w:rsid w:val="009705C9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9705C9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705C9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9705C9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705C9"/>
    <w:rPr>
      <w:b/>
    </w:rPr>
  </w:style>
  <w:style w:type="paragraph" w:customStyle="1" w:styleId="Annex">
    <w:name w:val="Annex"/>
    <w:basedOn w:val="Normal"/>
    <w:next w:val="Normal"/>
    <w:rsid w:val="009705C9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705C9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705C9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705C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705C9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705C9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705C9"/>
    <w:rPr>
      <w:rFonts w:eastAsiaTheme="minorHAns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9705C9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9705C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705C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705C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705C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9705C9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9705C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9705C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705C9"/>
    <w:rPr>
      <w:rFonts w:ascii="Arial" w:hAnsi="Arial" w:cs="Arial"/>
      <w:b/>
      <w:sz w:val="23"/>
      <w:u w:color="606060"/>
      <w:lang w:val="pl-PL" w:eastAsia="fr-BE"/>
    </w:rPr>
  </w:style>
  <w:style w:type="paragraph" w:customStyle="1" w:styleId="TBSubjectTable">
    <w:name w:val="TBSubjectTable"/>
    <w:basedOn w:val="TechnicalBlockBase"/>
    <w:rsid w:val="009705C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9705C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9705C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705C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l-PL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9705C9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pl-PL" w:eastAsia="fr-BE"/>
    </w:rPr>
  </w:style>
  <w:style w:type="paragraph" w:customStyle="1" w:styleId="HeaderCouncilLarge">
    <w:name w:val="Header Council Large"/>
    <w:basedOn w:val="Normal"/>
    <w:link w:val="HeaderCouncilLargeChar"/>
    <w:rsid w:val="009705C9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9705C9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pl-PL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9705C9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pl-PL" w:eastAsia="fr-BE"/>
    </w:rPr>
  </w:style>
  <w:style w:type="paragraph" w:customStyle="1" w:styleId="FooterText">
    <w:name w:val="Footer Text"/>
    <w:basedOn w:val="Normal"/>
    <w:rsid w:val="009705C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705C9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9705C9"/>
    <w:pPr>
      <w:keepNext/>
      <w:widowControl/>
      <w:numPr>
        <w:numId w:val="51"/>
      </w:numPr>
      <w:tabs>
        <w:tab w:val="left" w:pos="850"/>
      </w:tabs>
      <w:spacing w:before="360" w:after="120" w:line="36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9705C9"/>
    <w:pPr>
      <w:keepNext/>
      <w:widowControl/>
      <w:numPr>
        <w:ilvl w:val="1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1"/>
    </w:pPr>
    <w:rPr>
      <w:b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9705C9"/>
    <w:pPr>
      <w:keepNext/>
      <w:widowControl/>
      <w:numPr>
        <w:ilvl w:val="2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2"/>
    </w:pPr>
    <w:rPr>
      <w:i/>
      <w:szCs w:val="24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9705C9"/>
    <w:pPr>
      <w:keepNext/>
      <w:widowControl/>
      <w:numPr>
        <w:ilvl w:val="3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3"/>
    </w:pPr>
    <w:rPr>
      <w:iCs/>
      <w:szCs w:val="22"/>
      <w:lang w:eastAsia="en-US"/>
    </w:rPr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9705C9"/>
    <w:pPr>
      <w:keepNext/>
      <w:widowControl/>
      <w:numPr>
        <w:ilvl w:val="4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9705C9"/>
    <w:pPr>
      <w:keepNext/>
      <w:widowControl/>
      <w:numPr>
        <w:ilvl w:val="5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9705C9"/>
    <w:pPr>
      <w:keepNext/>
      <w:widowControl/>
      <w:numPr>
        <w:ilvl w:val="6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character" w:customStyle="1" w:styleId="Heading1Char1">
    <w:name w:val="Heading 1 Char1"/>
    <w:basedOn w:val="DefaultParagraphFont"/>
    <w:uiPriority w:val="9"/>
    <w:rsid w:val="009705C9"/>
    <w:rPr>
      <w:rFonts w:ascii="Arial" w:hAnsi="Arial"/>
      <w:b/>
      <w:kern w:val="28"/>
      <w:sz w:val="28"/>
      <w:lang w:val="pl-PL"/>
    </w:rPr>
  </w:style>
  <w:style w:type="paragraph" w:customStyle="1" w:styleId="Text7">
    <w:name w:val="Text 7"/>
    <w:basedOn w:val="Normal"/>
    <w:rsid w:val="009705C9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9705C9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9705C9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9705C9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9705C9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9705C9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9705C9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9705C9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9705C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9705C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9705C9"/>
    <w:pPr>
      <w:widowControl/>
      <w:numPr>
        <w:numId w:val="48"/>
      </w:numPr>
      <w:tabs>
        <w:tab w:val="clear" w:pos="4252"/>
        <w:tab w:val="num" w:pos="1134"/>
      </w:tabs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9705C9"/>
    <w:pPr>
      <w:widowControl/>
      <w:numPr>
        <w:numId w:val="49"/>
      </w:numPr>
      <w:tabs>
        <w:tab w:val="clear" w:pos="4819"/>
        <w:tab w:val="num" w:pos="1701"/>
      </w:tabs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9705C9"/>
    <w:pPr>
      <w:widowControl/>
      <w:numPr>
        <w:numId w:val="50"/>
      </w:numPr>
      <w:tabs>
        <w:tab w:val="clear" w:pos="5386"/>
        <w:tab w:val="num" w:pos="2268"/>
      </w:tabs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9705C9"/>
    <w:pPr>
      <w:widowControl/>
      <w:numPr>
        <w:numId w:val="52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9705C9"/>
    <w:pPr>
      <w:widowControl/>
      <w:numPr>
        <w:numId w:val="53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9705C9"/>
    <w:pPr>
      <w:widowControl/>
      <w:numPr>
        <w:numId w:val="54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9705C9"/>
    <w:pPr>
      <w:widowControl/>
      <w:numPr>
        <w:numId w:val="55"/>
      </w:numPr>
      <w:tabs>
        <w:tab w:val="clear" w:pos="5386"/>
        <w:tab w:val="num" w:pos="643"/>
      </w:tabs>
      <w:spacing w:before="120" w:after="120" w:line="360" w:lineRule="auto"/>
      <w:ind w:left="643" w:hanging="360"/>
    </w:pPr>
    <w:rPr>
      <w:rFonts w:eastAsiaTheme="minorHAns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705C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705C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EntLogo">
    <w:name w:val="EntLogo"/>
    <w:basedOn w:val="Normal"/>
    <w:rsid w:val="009705C9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9705C9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9705C9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9705C9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9705C9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9705C9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705C9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9705C9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705C9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705C9"/>
    <w:pPr>
      <w:spacing w:before="240"/>
    </w:pPr>
  </w:style>
  <w:style w:type="paragraph" w:customStyle="1" w:styleId="Accordtitre">
    <w:name w:val="Accord titre"/>
    <w:basedOn w:val="Normal"/>
    <w:rsid w:val="009705C9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9705C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9705C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705C9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9705C9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9705C9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705C9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705C9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705C9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705C9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705C9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705C9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705C9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705C9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705C9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705C9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705C9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705C9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705C9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705C9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705C9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705C9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705C9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705C9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705C9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705C9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705C9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705C9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705C9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705C9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705C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9705C9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9705C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705C9"/>
    <w:pPr>
      <w:pBdr>
        <w:top w:val="none" w:sz="0" w:space="0" w:color="auto"/>
        <w:left w:val="single" w:sz="4" w:space="20" w:color="auto"/>
      </w:pBdr>
    </w:pPr>
  </w:style>
  <w:style w:type="character" w:customStyle="1" w:styleId="Heading2Char1">
    <w:name w:val="Heading 2 Char1"/>
    <w:basedOn w:val="DefaultParagraphFont"/>
    <w:uiPriority w:val="9"/>
    <w:semiHidden/>
    <w:rsid w:val="009705C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l-PL"/>
    </w:rPr>
  </w:style>
  <w:style w:type="character" w:customStyle="1" w:styleId="Heading3Char1">
    <w:name w:val="Heading 3 Char1"/>
    <w:basedOn w:val="DefaultParagraphFont"/>
    <w:uiPriority w:val="9"/>
    <w:semiHidden/>
    <w:rsid w:val="009705C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l-PL"/>
    </w:rPr>
  </w:style>
  <w:style w:type="character" w:customStyle="1" w:styleId="Heading4Char1">
    <w:name w:val="Heading 4 Char1"/>
    <w:basedOn w:val="DefaultParagraphFont"/>
    <w:uiPriority w:val="9"/>
    <w:semiHidden/>
    <w:rsid w:val="009705C9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pl-PL"/>
    </w:rPr>
  </w:style>
  <w:style w:type="character" w:customStyle="1" w:styleId="Heading5Char1">
    <w:name w:val="Heading 5 Char1"/>
    <w:basedOn w:val="DefaultParagraphFont"/>
    <w:uiPriority w:val="9"/>
    <w:semiHidden/>
    <w:rsid w:val="009705C9"/>
    <w:rPr>
      <w:rFonts w:asciiTheme="majorHAnsi" w:eastAsiaTheme="majorEastAsia" w:hAnsiTheme="majorHAnsi" w:cstheme="majorBidi"/>
      <w:color w:val="2E74B5" w:themeColor="accent1" w:themeShade="BF"/>
      <w:sz w:val="24"/>
      <w:lang w:val="pl-PL"/>
    </w:rPr>
  </w:style>
  <w:style w:type="character" w:customStyle="1" w:styleId="Heading6Char1">
    <w:name w:val="Heading 6 Char1"/>
    <w:basedOn w:val="DefaultParagraphFont"/>
    <w:uiPriority w:val="9"/>
    <w:semiHidden/>
    <w:rsid w:val="009705C9"/>
    <w:rPr>
      <w:rFonts w:asciiTheme="majorHAnsi" w:eastAsiaTheme="majorEastAsia" w:hAnsiTheme="majorHAnsi" w:cstheme="majorBidi"/>
      <w:color w:val="1F4D78" w:themeColor="accent1" w:themeShade="7F"/>
      <w:sz w:val="24"/>
      <w:lang w:val="pl-PL"/>
    </w:rPr>
  </w:style>
  <w:style w:type="character" w:customStyle="1" w:styleId="Heading7Char1">
    <w:name w:val="Heading 7 Char1"/>
    <w:basedOn w:val="DefaultParagraphFont"/>
    <w:uiPriority w:val="9"/>
    <w:semiHidden/>
    <w:rsid w:val="009705C9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pl-PL"/>
    </w:rPr>
  </w:style>
  <w:style w:type="paragraph" w:styleId="List">
    <w:name w:val="List"/>
    <w:basedOn w:val="Normal"/>
    <w:uiPriority w:val="99"/>
    <w:unhideWhenUsed/>
    <w:rsid w:val="009705C9"/>
    <w:pPr>
      <w:widowControl/>
      <w:spacing w:before="120" w:after="120" w:line="360" w:lineRule="auto"/>
      <w:ind w:left="283" w:hanging="283"/>
      <w:contextualSpacing/>
    </w:pPr>
    <w:rPr>
      <w:rFonts w:eastAsiaTheme="minorHAnsi"/>
      <w:szCs w:val="22"/>
      <w:lang w:eastAsia="en-US"/>
    </w:rPr>
  </w:style>
  <w:style w:type="paragraph" w:styleId="List2">
    <w:name w:val="List 2"/>
    <w:basedOn w:val="Normal"/>
    <w:uiPriority w:val="99"/>
    <w:unhideWhenUsed/>
    <w:rsid w:val="009705C9"/>
    <w:pPr>
      <w:widowControl/>
      <w:spacing w:before="120" w:after="120" w:line="360" w:lineRule="auto"/>
      <w:ind w:left="566" w:hanging="283"/>
      <w:contextualSpacing/>
    </w:pPr>
    <w:rPr>
      <w:rFonts w:eastAsiaTheme="minorHAnsi"/>
      <w:szCs w:val="22"/>
      <w:lang w:eastAsia="en-US"/>
    </w:rPr>
  </w:style>
  <w:style w:type="paragraph" w:styleId="List3">
    <w:name w:val="List 3"/>
    <w:basedOn w:val="Normal"/>
    <w:uiPriority w:val="99"/>
    <w:unhideWhenUsed/>
    <w:rsid w:val="009705C9"/>
    <w:pPr>
      <w:widowControl/>
      <w:spacing w:before="120" w:after="120" w:line="360" w:lineRule="auto"/>
      <w:ind w:left="849" w:hanging="283"/>
      <w:contextualSpacing/>
    </w:pPr>
    <w:rPr>
      <w:rFonts w:eastAsiaTheme="minorHAnsi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9705C9"/>
    <w:pPr>
      <w:widowControl/>
      <w:spacing w:before="120" w:after="120" w:line="360" w:lineRule="auto"/>
      <w:ind w:left="283"/>
    </w:pPr>
    <w:rPr>
      <w:rFonts w:eastAsiaTheme="minorHAnsi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9705C9"/>
    <w:rPr>
      <w:rFonts w:eastAsiaTheme="minorHAnsi"/>
      <w:sz w:val="24"/>
      <w:szCs w:val="22"/>
      <w:lang w:val="pl-PL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705C9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9705C9"/>
    <w:rPr>
      <w:rFonts w:eastAsiaTheme="minorHAnsi"/>
      <w:sz w:val="24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705/oj" TargetMode="External"/><Relationship Id="rId2" Type="http://schemas.openxmlformats.org/officeDocument/2006/relationships/hyperlink" Target="http://data.europa.eu/eli/C/2024/4662/oj" TargetMode="External"/><Relationship Id="rId1" Type="http://schemas.openxmlformats.org/officeDocument/2006/relationships/hyperlink" Target="http://data.europa.eu/eli/C/2025/805/oj" TargetMode="External"/><Relationship Id="rId6" Type="http://schemas.openxmlformats.org/officeDocument/2006/relationships/hyperlink" Target="http://data.europa.eu/eli/reg/2025/2643/oj" TargetMode="External"/><Relationship Id="rId5" Type="http://schemas.openxmlformats.org/officeDocument/2006/relationships/hyperlink" Target="http://data.europa.eu/eli/reg/2025/2643/oj" TargetMode="External"/><Relationship Id="rId4" Type="http://schemas.openxmlformats.org/officeDocument/2006/relationships/hyperlink" Target="http://data.europa.eu/eli/reg/2025/26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929</Words>
  <Characters>6707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BINKEVICIUTE Aurelija</cp:lastModifiedBy>
  <cp:revision>2</cp:revision>
  <cp:lastPrinted>2004-11-19T15:42:00Z</cp:lastPrinted>
  <dcterms:created xsi:type="dcterms:W3CDTF">2026-03-02T09:17:00Z</dcterms:created>
  <dcterms:modified xsi:type="dcterms:W3CDTF">2026-03-02T09:17:00Z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P10_TA(2025)0281_</vt:lpwstr>
  </property>
  <property fmtid="{D5CDD505-2E9C-101B-9397-08002B2CF9AE}" pid="4" name="&lt;Type&gt;">
    <vt:lpwstr>RR</vt:lpwstr>
  </property>
</Properties>
</file>