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14FA" w14:paraId="0CB8B5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A80F66" w14:textId="77777777" w:rsidR="00751A4A" w:rsidRPr="002014FA" w:rsidRDefault="002834E6" w:rsidP="0010095E">
            <w:pPr>
              <w:pStyle w:val="EPName"/>
            </w:pPr>
            <w:r w:rsidRPr="002014FA">
              <w:t xml:space="preserve">Parlamento </w:t>
            </w:r>
            <w:proofErr w:type="gramStart"/>
            <w:r w:rsidRPr="002014FA">
              <w:t>Europeu</w:t>
            </w:r>
            <w:proofErr w:type="gramEnd"/>
          </w:p>
          <w:p w14:paraId="0D637B86" w14:textId="77777777" w:rsidR="00751A4A" w:rsidRPr="002014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14FA">
              <w:t>2024</w:t>
            </w:r>
            <w:r w:rsidR="00817416" w:rsidRPr="002014FA">
              <w:t>-202</w:t>
            </w:r>
            <w:r w:rsidRPr="002014FA">
              <w:t>9</w:t>
            </w:r>
          </w:p>
        </w:tc>
        <w:tc>
          <w:tcPr>
            <w:tcW w:w="2268" w:type="dxa"/>
            <w:shd w:val="clear" w:color="auto" w:fill="auto"/>
          </w:tcPr>
          <w:p w14:paraId="3C867163" w14:textId="77777777" w:rsidR="00751A4A" w:rsidRPr="002014FA" w:rsidRDefault="00187494" w:rsidP="0010095E">
            <w:pPr>
              <w:pStyle w:val="EPLogo"/>
            </w:pPr>
            <w:r w:rsidRPr="002014FA">
              <w:rPr>
                <w:noProof/>
                <w:lang w:eastAsia="ja-JP"/>
              </w:rPr>
              <w:drawing>
                <wp:inline distT="0" distB="0" distL="0" distR="0" wp14:anchorId="29B67DBE" wp14:editId="5902B8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0AC9B3" w14:textId="77777777" w:rsidR="00D058B8" w:rsidRPr="002014FA" w:rsidRDefault="00D058B8" w:rsidP="004C5D52">
      <w:pPr>
        <w:pStyle w:val="LineTop"/>
      </w:pPr>
    </w:p>
    <w:p w14:paraId="29E8AFC5" w14:textId="77777777" w:rsidR="00680577" w:rsidRPr="002014FA" w:rsidRDefault="002834E6" w:rsidP="00680577">
      <w:pPr>
        <w:pStyle w:val="EPBodyTA1"/>
      </w:pPr>
      <w:r w:rsidRPr="002014FA">
        <w:t>TEXTOS APROVADOS</w:t>
      </w:r>
    </w:p>
    <w:p w14:paraId="5EABE6F1" w14:textId="77777777" w:rsidR="00D058B8" w:rsidRPr="002014FA" w:rsidRDefault="00D058B8" w:rsidP="00D058B8">
      <w:pPr>
        <w:pStyle w:val="LineBottom"/>
      </w:pPr>
    </w:p>
    <w:p w14:paraId="03C7853E" w14:textId="6FD6391D" w:rsidR="002834E6" w:rsidRPr="002014FA" w:rsidRDefault="002834E6" w:rsidP="002834E6">
      <w:pPr>
        <w:pStyle w:val="ATHeading1"/>
      </w:pPr>
      <w:bookmarkStart w:id="0" w:name="TANumber"/>
      <w:r w:rsidRPr="002014FA">
        <w:t>P10_TA(2025)0</w:t>
      </w:r>
      <w:bookmarkEnd w:id="0"/>
      <w:r w:rsidR="002014FA">
        <w:t>281</w:t>
      </w:r>
    </w:p>
    <w:p w14:paraId="184F5F43" w14:textId="252D5EB8" w:rsidR="002834E6" w:rsidRPr="002014FA" w:rsidRDefault="002834E6" w:rsidP="002834E6">
      <w:pPr>
        <w:pStyle w:val="ATHeading2"/>
      </w:pPr>
      <w:bookmarkStart w:id="1" w:name="title"/>
      <w:r w:rsidRPr="002014FA">
        <w:t xml:space="preserve">Programa da </w:t>
      </w:r>
      <w:r w:rsidR="003F49C8" w:rsidRPr="002014FA">
        <w:t>I</w:t>
      </w:r>
      <w:r w:rsidRPr="002014FA">
        <w:t xml:space="preserve">ndústria de </w:t>
      </w:r>
      <w:r w:rsidR="003F49C8" w:rsidRPr="002014FA">
        <w:t>D</w:t>
      </w:r>
      <w:r w:rsidRPr="002014FA">
        <w:t xml:space="preserve">efesa </w:t>
      </w:r>
      <w:r w:rsidR="003F49C8" w:rsidRPr="002014FA">
        <w:t>E</w:t>
      </w:r>
      <w:r w:rsidRPr="002014FA">
        <w:t xml:space="preserve">uropeia e </w:t>
      </w:r>
      <w:r w:rsidR="003F49C8" w:rsidRPr="002014FA">
        <w:t xml:space="preserve">regime </w:t>
      </w:r>
      <w:r w:rsidRPr="002014FA">
        <w:t xml:space="preserve">de medidas para </w:t>
      </w:r>
      <w:r w:rsidR="003F49C8" w:rsidRPr="002014FA">
        <w:t xml:space="preserve">assegurar </w:t>
      </w:r>
      <w:r w:rsidRPr="002014FA">
        <w:t>a disponibilidade e o aprovisionamento atempados d</w:t>
      </w:r>
      <w:r w:rsidR="003F49C8" w:rsidRPr="002014FA">
        <w:t>e</w:t>
      </w:r>
      <w:r w:rsidRPr="002014FA">
        <w:t xml:space="preserve"> produtos de defesa (</w:t>
      </w:r>
      <w:r w:rsidR="003F49C8" w:rsidRPr="002014FA">
        <w:t>EDIP</w:t>
      </w:r>
      <w:r w:rsidRPr="002014FA">
        <w:t>)</w:t>
      </w:r>
      <w:bookmarkEnd w:id="1"/>
    </w:p>
    <w:p w14:paraId="3806489C" w14:textId="77777777" w:rsidR="002834E6" w:rsidRPr="002014FA" w:rsidRDefault="002834E6" w:rsidP="002834E6">
      <w:pPr>
        <w:rPr>
          <w:i/>
          <w:vanish/>
        </w:rPr>
      </w:pPr>
      <w:r w:rsidRPr="002014FA">
        <w:rPr>
          <w:i/>
        </w:rPr>
        <w:fldChar w:fldCharType="begin"/>
      </w:r>
      <w:r w:rsidRPr="002014FA">
        <w:rPr>
          <w:i/>
        </w:rPr>
        <w:instrText xml:space="preserve"> TC"(</w:instrText>
      </w:r>
      <w:bookmarkStart w:id="2" w:name="DocNumber"/>
      <w:r w:rsidRPr="002014FA">
        <w:rPr>
          <w:i/>
        </w:rPr>
        <w:instrText>A10-0084/2025</w:instrText>
      </w:r>
      <w:bookmarkEnd w:id="2"/>
      <w:r w:rsidRPr="002014FA">
        <w:rPr>
          <w:i/>
        </w:rPr>
        <w:instrText xml:space="preserve"> - Relatores: </w:instrText>
      </w:r>
      <w:proofErr w:type="spellStart"/>
      <w:r w:rsidRPr="002014FA">
        <w:rPr>
          <w:i/>
        </w:rPr>
        <w:instrText>Raphaël</w:instrText>
      </w:r>
      <w:proofErr w:type="spellEnd"/>
      <w:r w:rsidRPr="002014FA">
        <w:rPr>
          <w:i/>
        </w:rPr>
        <w:instrText xml:space="preserve"> </w:instrText>
      </w:r>
      <w:proofErr w:type="spellStart"/>
      <w:r w:rsidRPr="002014FA">
        <w:rPr>
          <w:i/>
        </w:rPr>
        <w:instrText>Glucksmann</w:instrText>
      </w:r>
      <w:proofErr w:type="spellEnd"/>
      <w:r w:rsidRPr="002014FA">
        <w:rPr>
          <w:i/>
        </w:rPr>
        <w:instrText xml:space="preserve">, François-Xavier </w:instrText>
      </w:r>
      <w:proofErr w:type="spellStart"/>
      <w:r w:rsidRPr="002014FA">
        <w:rPr>
          <w:i/>
        </w:rPr>
        <w:instrText>Bellamy</w:instrText>
      </w:r>
      <w:proofErr w:type="spellEnd"/>
      <w:r w:rsidRPr="002014FA">
        <w:rPr>
          <w:i/>
        </w:rPr>
        <w:instrText xml:space="preserve">)"\l3 \n&gt; \* MERGEFORMAT </w:instrText>
      </w:r>
      <w:r w:rsidRPr="002014FA">
        <w:rPr>
          <w:i/>
        </w:rPr>
        <w:fldChar w:fldCharType="end"/>
      </w:r>
    </w:p>
    <w:p w14:paraId="641C5625" w14:textId="77777777" w:rsidR="002834E6" w:rsidRPr="002014FA" w:rsidRDefault="002834E6" w:rsidP="002834E6">
      <w:pPr>
        <w:rPr>
          <w:vanish/>
        </w:rPr>
      </w:pPr>
      <w:bookmarkStart w:id="3" w:name="Commission"/>
      <w:r w:rsidRPr="002014FA">
        <w:rPr>
          <w:vanish/>
        </w:rPr>
        <w:t>Comissão da Segurança e da Defesa, Comissão da Indústria, da Investigação e da Energia</w:t>
      </w:r>
      <w:bookmarkEnd w:id="3"/>
    </w:p>
    <w:p w14:paraId="2E21C29A" w14:textId="77777777" w:rsidR="002834E6" w:rsidRPr="002014FA" w:rsidRDefault="002834E6" w:rsidP="002834E6">
      <w:pPr>
        <w:rPr>
          <w:vanish/>
        </w:rPr>
      </w:pPr>
      <w:bookmarkStart w:id="4" w:name="PE"/>
      <w:r w:rsidRPr="002014FA">
        <w:rPr>
          <w:vanish/>
        </w:rPr>
        <w:t>PE771.828</w:t>
      </w:r>
      <w:bookmarkEnd w:id="4"/>
    </w:p>
    <w:p w14:paraId="2D7ACEB4" w14:textId="7BCA9F67" w:rsidR="002834E6" w:rsidRPr="002014FA" w:rsidRDefault="002834E6" w:rsidP="002834E6">
      <w:pPr>
        <w:pStyle w:val="ATHeading3"/>
      </w:pPr>
      <w:bookmarkStart w:id="5" w:name="Sujet"/>
      <w:r w:rsidRPr="002014FA">
        <w:t xml:space="preserve">Resolução legislativa do Parlamento Europeu, de </w:t>
      </w:r>
      <w:r w:rsidR="00810FA7" w:rsidRPr="002014FA">
        <w:t>25</w:t>
      </w:r>
      <w:r w:rsidRPr="002014FA">
        <w:t xml:space="preserve"> de </w:t>
      </w:r>
      <w:r w:rsidR="00810FA7" w:rsidRPr="002014FA">
        <w:t xml:space="preserve">novembro </w:t>
      </w:r>
      <w:r w:rsidRPr="002014FA">
        <w:t>de 2025, sobre a proposta de Regulamento do Parlamento Europeu e do Conselho que estabelece o Programa da indústria de defesa europeia e um quadro de medidas para garantir a disponibilidade e o aprovisionamento atempados dos produtos de defesa (PIDEUR)</w:t>
      </w:r>
      <w:bookmarkEnd w:id="5"/>
      <w:r w:rsidRPr="002014FA">
        <w:t xml:space="preserve"> </w:t>
      </w:r>
      <w:bookmarkStart w:id="6" w:name="References"/>
      <w:r w:rsidRPr="002014FA">
        <w:t>(COM(2024)0150 – C10-0005/2024 – 2024/0061(COD))</w:t>
      </w:r>
      <w:bookmarkEnd w:id="6"/>
    </w:p>
    <w:p w14:paraId="0EA64621" w14:textId="77777777" w:rsidR="009E494E" w:rsidRPr="002014FA" w:rsidRDefault="009E494E" w:rsidP="009E494E">
      <w:pPr>
        <w:pStyle w:val="NormalBold"/>
      </w:pPr>
      <w:r w:rsidRPr="002014FA">
        <w:t>(Processo legislativo ordinário: primeira leitura)</w:t>
      </w:r>
    </w:p>
    <w:p w14:paraId="1BDD0E85" w14:textId="77777777" w:rsidR="009E494E" w:rsidRPr="002014FA" w:rsidRDefault="009E494E" w:rsidP="009E494E">
      <w:pPr>
        <w:pStyle w:val="EPComma"/>
      </w:pPr>
      <w:r w:rsidRPr="002014FA">
        <w:rPr>
          <w:i/>
        </w:rPr>
        <w:t>O Parlamento Europeu</w:t>
      </w:r>
      <w:r w:rsidRPr="002014FA">
        <w:t>,</w:t>
      </w:r>
    </w:p>
    <w:p w14:paraId="0A82D671" w14:textId="17BC7CAA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a proposta da Comissão ao Parlamento e ao Conselho (COM(2024)0150),</w:t>
      </w:r>
    </w:p>
    <w:p w14:paraId="58696386" w14:textId="77777777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o artigo 294.º, n.º 2, o artigo 114.º, n.º 1, o artigo 173.º, n.º 3, o artigo 212.º, n.º 2, e o artigo 322.º, n.º 1, do Tratado sobre o Funcionamento da União Europeia, nos termos dos quais a proposta lhe foi apresentada pela Comissão (C10</w:t>
      </w:r>
      <w:r w:rsidRPr="002014FA">
        <w:noBreakHyphen/>
        <w:t>0005/2024),</w:t>
      </w:r>
    </w:p>
    <w:p w14:paraId="5E1BE78A" w14:textId="77777777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o artigo 294.º, n.º 3, do Tratado sobre o Funcionamento da União Europeia,</w:t>
      </w:r>
    </w:p>
    <w:p w14:paraId="6F8E8D7E" w14:textId="77777777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a avaliação orçamental efetuada pela Comissão dos Orçamentos,</w:t>
      </w:r>
    </w:p>
    <w:p w14:paraId="39B414AC" w14:textId="77777777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o parecer do Tribunal de Contas Europeu de 31 de janeiro de 2025</w:t>
      </w:r>
      <w:r w:rsidRPr="002014FA">
        <w:rPr>
          <w:rStyle w:val="FootnoteReference"/>
        </w:rPr>
        <w:footnoteReference w:id="1"/>
      </w:r>
      <w:r w:rsidRPr="002014FA">
        <w:t>,</w:t>
      </w:r>
    </w:p>
    <w:p w14:paraId="4C89EA3E" w14:textId="77777777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o parecer do Comité Económico e Social Europeu, de 30 de maio de 2024</w:t>
      </w:r>
      <w:r w:rsidRPr="002014FA">
        <w:rPr>
          <w:rStyle w:val="FootnoteReference"/>
        </w:rPr>
        <w:footnoteReference w:id="2"/>
      </w:r>
      <w:r w:rsidRPr="002014FA">
        <w:t>,</w:t>
      </w:r>
    </w:p>
    <w:p w14:paraId="61EC2B9B" w14:textId="77777777" w:rsidR="009E494E" w:rsidRPr="002014FA" w:rsidRDefault="009E494E" w:rsidP="009E494E">
      <w:pPr>
        <w:pStyle w:val="NormalHanging12a"/>
      </w:pPr>
      <w:r w:rsidRPr="002014FA">
        <w:lastRenderedPageBreak/>
        <w:t>–</w:t>
      </w:r>
      <w:r w:rsidRPr="002014FA">
        <w:tab/>
        <w:t>Tendo em conta o parecer do Comité das Regiões, de 20 de fevereiro de 2025</w:t>
      </w:r>
      <w:r w:rsidRPr="002014FA">
        <w:rPr>
          <w:rStyle w:val="FootnoteReference"/>
        </w:rPr>
        <w:footnoteReference w:id="3"/>
      </w:r>
      <w:r w:rsidRPr="002014FA">
        <w:t xml:space="preserve">,  </w:t>
      </w:r>
    </w:p>
    <w:p w14:paraId="29C7207A" w14:textId="267276D7" w:rsidR="0086237B" w:rsidRPr="002014FA" w:rsidRDefault="0086237B" w:rsidP="009E494E">
      <w:pPr>
        <w:pStyle w:val="NormalHanging12a"/>
      </w:pPr>
      <w:r w:rsidRPr="002014FA">
        <w:t>–</w:t>
      </w:r>
      <w:r w:rsidRPr="002014FA">
        <w:tab/>
        <w:t>Tendo em conta o acordo provisório aprovado pela</w:t>
      </w:r>
      <w:r w:rsidR="00891F0B" w:rsidRPr="002014FA">
        <w:t>s</w:t>
      </w:r>
      <w:r w:rsidRPr="002014FA">
        <w:t xml:space="preserve"> comissões competente</w:t>
      </w:r>
      <w:r w:rsidR="00891F0B" w:rsidRPr="002014FA">
        <w:t>s</w:t>
      </w:r>
      <w:r w:rsidRPr="002014FA">
        <w:t>, nos termos do artigo 75.º, n.º 4, do seu Regimento, e o compromisso assumido pelo representante do Conselho, em carta de 17 de outubro de 2025, de aprovar a posição do Parlamento Europeu, nos termos do artigo 294.º, n.º 4, do Tratado sobre o Funcionamento da União Europeia,</w:t>
      </w:r>
    </w:p>
    <w:p w14:paraId="3C51C668" w14:textId="6CABB4FA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os artigos 60.º</w:t>
      </w:r>
      <w:r w:rsidR="0086237B" w:rsidRPr="002014FA">
        <w:t xml:space="preserve"> e</w:t>
      </w:r>
      <w:r w:rsidRPr="002014FA">
        <w:t xml:space="preserve"> 170.º</w:t>
      </w:r>
      <w:r w:rsidR="0086237B" w:rsidRPr="002014FA">
        <w:t>,</w:t>
      </w:r>
      <w:r w:rsidR="00607831" w:rsidRPr="002014FA">
        <w:t xml:space="preserve"> e</w:t>
      </w:r>
      <w:r w:rsidRPr="002014FA">
        <w:t xml:space="preserve"> 58.º do seu Regimento,</w:t>
      </w:r>
    </w:p>
    <w:p w14:paraId="5420FAAD" w14:textId="18B29DC1" w:rsidR="008F2574" w:rsidRPr="002014FA" w:rsidRDefault="008F2574" w:rsidP="009E494E">
      <w:pPr>
        <w:pStyle w:val="NormalHanging12a"/>
      </w:pPr>
      <w:r w:rsidRPr="002014FA">
        <w:t>–</w:t>
      </w:r>
      <w:r w:rsidRPr="002014FA">
        <w:tab/>
        <w:t>Tendo em conta as deliberações conjuntas da Comissão da Segurança e da Defesa e da Comissão da Indústria, da Investigação e da Energia, nos termos do artigo 59.</w:t>
      </w:r>
      <w:r w:rsidR="00B07435" w:rsidRPr="002014FA">
        <w:t>º</w:t>
      </w:r>
      <w:r w:rsidRPr="002014FA">
        <w:t xml:space="preserve"> do Regimento,</w:t>
      </w:r>
    </w:p>
    <w:p w14:paraId="2835493E" w14:textId="77777777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os pareceres da Comissão dos Assuntos Externos, da Comissão do Controlo Orçamental e da Comissão do Mercado Interno e da Proteção dos Consumidores,</w:t>
      </w:r>
    </w:p>
    <w:p w14:paraId="1F47919D" w14:textId="77777777" w:rsidR="009E494E" w:rsidRPr="002014FA" w:rsidRDefault="009E494E" w:rsidP="009E494E">
      <w:pPr>
        <w:pStyle w:val="NormalHanging12a"/>
      </w:pPr>
      <w:r w:rsidRPr="002014FA">
        <w:t>–</w:t>
      </w:r>
      <w:r w:rsidRPr="002014FA">
        <w:tab/>
        <w:t>Tendo em conta o relatório da Comissão da Segurança e da Defesa e da Comissão da Indústria, da Investigação e da Energia (A10</w:t>
      </w:r>
      <w:r w:rsidRPr="002014FA">
        <w:noBreakHyphen/>
        <w:t>0084/2025),</w:t>
      </w:r>
    </w:p>
    <w:p w14:paraId="17A9EF75" w14:textId="77777777" w:rsidR="009E494E" w:rsidRPr="002014FA" w:rsidRDefault="009E494E" w:rsidP="009E494E">
      <w:pPr>
        <w:pStyle w:val="NormalHanging12a"/>
      </w:pPr>
      <w:r w:rsidRPr="002014FA">
        <w:t>1.</w:t>
      </w:r>
      <w:r w:rsidRPr="002014FA">
        <w:tab/>
        <w:t>Aprova a posição em primeira leitura que se segue;</w:t>
      </w:r>
    </w:p>
    <w:p w14:paraId="59632CAE" w14:textId="66CCF74D" w:rsidR="00F57DB4" w:rsidRPr="002014FA" w:rsidRDefault="00F57DB4" w:rsidP="009E494E">
      <w:pPr>
        <w:pStyle w:val="NormalHanging12a"/>
      </w:pPr>
      <w:r w:rsidRPr="002014FA">
        <w:t>2.</w:t>
      </w:r>
      <w:r w:rsidRPr="002014FA">
        <w:tab/>
        <w:t xml:space="preserve">Aprova a declaração comum do Parlamento e do Conselho e as declarações comuns do Parlamento, do Conselho e da Comissão, anexas à presente resolução, que serão publicadas na série C do </w:t>
      </w:r>
      <w:r w:rsidRPr="002014FA">
        <w:rPr>
          <w:i/>
          <w:iCs/>
        </w:rPr>
        <w:t>Jornal Oficial da União Europeia</w:t>
      </w:r>
      <w:r w:rsidRPr="002014FA">
        <w:t>;</w:t>
      </w:r>
    </w:p>
    <w:p w14:paraId="6D54108D" w14:textId="124ABA0F" w:rsidR="009E494E" w:rsidRPr="002014FA" w:rsidRDefault="00F57DB4" w:rsidP="009E494E">
      <w:pPr>
        <w:pStyle w:val="NormalHanging12a"/>
      </w:pPr>
      <w:r w:rsidRPr="002014FA">
        <w:t>3</w:t>
      </w:r>
      <w:r w:rsidR="009E494E" w:rsidRPr="002014FA">
        <w:t>.</w:t>
      </w:r>
      <w:r w:rsidR="009E494E" w:rsidRPr="002014FA">
        <w:tab/>
        <w:t>Requer à Comissão que lhe submeta de novo a sua proposta, se a substituir, se a alterar substancialmente ou se pretender alterá</w:t>
      </w:r>
      <w:r w:rsidR="009E494E" w:rsidRPr="002014FA">
        <w:noBreakHyphen/>
        <w:t>la substancialmente;</w:t>
      </w:r>
    </w:p>
    <w:p w14:paraId="4D0BE224" w14:textId="57D07FD4" w:rsidR="009E494E" w:rsidRPr="002014FA" w:rsidRDefault="00F57DB4" w:rsidP="009E494E">
      <w:pPr>
        <w:pStyle w:val="NormalHanging12a"/>
      </w:pPr>
      <w:r w:rsidRPr="002014FA">
        <w:t>4</w:t>
      </w:r>
      <w:r w:rsidR="009E494E" w:rsidRPr="002014FA">
        <w:t>.</w:t>
      </w:r>
      <w:r w:rsidR="009E494E" w:rsidRPr="002014FA">
        <w:tab/>
        <w:t>Encarrega a sua Presidente de transmitir a posição do Parlamento ao Conselho e à Comissão, bem como aos parlamentos nacionais.</w:t>
      </w:r>
    </w:p>
    <w:p w14:paraId="5BEF4EBA" w14:textId="77777777" w:rsidR="009E494E" w:rsidRPr="002014FA" w:rsidRDefault="009E494E" w:rsidP="009E494E"/>
    <w:p w14:paraId="3B0E0FAD" w14:textId="77777777" w:rsidR="00810FA7" w:rsidRPr="002014FA" w:rsidRDefault="00810FA7" w:rsidP="009E494E">
      <w:pPr>
        <w:pStyle w:val="AMNumberTabs0"/>
        <w:keepNext/>
        <w:sectPr w:rsidR="00810FA7" w:rsidRPr="002014FA" w:rsidSect="008F7A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0523D8E" w14:textId="7D02170A" w:rsidR="00E365E1" w:rsidRPr="002014FA" w:rsidRDefault="00C24B46" w:rsidP="00C24B46">
      <w:pPr>
        <w:pStyle w:val="AMNumberTabs0"/>
        <w:keepNext/>
      </w:pPr>
      <w:r w:rsidRPr="002014FA">
        <w:lastRenderedPageBreak/>
        <w:t>P10_TC1-COD(2024)0061</w:t>
      </w:r>
    </w:p>
    <w:p w14:paraId="140CCF22" w14:textId="3DCEC364" w:rsidR="00C24B46" w:rsidRPr="002014FA" w:rsidRDefault="00C24B46" w:rsidP="00C24B46">
      <w:pPr>
        <w:pStyle w:val="AMNumberTabs0"/>
        <w:keepNext/>
      </w:pPr>
      <w:r w:rsidRPr="002014FA">
        <w:t xml:space="preserve">Posição do Parlamento Europeu aprovada em primeira leitura em </w:t>
      </w:r>
      <w:r w:rsidR="00DD2BBC" w:rsidRPr="002014FA">
        <w:t xml:space="preserve">25 </w:t>
      </w:r>
      <w:r w:rsidRPr="002014FA">
        <w:t xml:space="preserve">de </w:t>
      </w:r>
      <w:r w:rsidR="00DD2BBC" w:rsidRPr="002014FA">
        <w:t>novembro</w:t>
      </w:r>
      <w:r w:rsidRPr="002014FA">
        <w:t xml:space="preserve"> de 2025 tendo em vista a adoção do Regulamento (UE) 2025/... do Parlamento Europeu e do Conselho que estabelece o Programa da Indústria de Defesa Europeia e um regime de medidas para assegurar a disponibilidade e o aprovisionamento atempados de produtos de defesa («Regulamento EDIP»)</w:t>
      </w:r>
    </w:p>
    <w:p w14:paraId="13268CDF" w14:textId="6F58893E" w:rsidR="00C24B46" w:rsidRPr="00696CCD" w:rsidRDefault="00696CCD" w:rsidP="00C24B46">
      <w:pPr>
        <w:pStyle w:val="AMNumberTabs0"/>
        <w:keepNext/>
        <w:rPr>
          <w:b w:val="0"/>
          <w:bCs/>
          <w:i/>
          <w:iCs/>
        </w:rPr>
      </w:pPr>
      <w:r w:rsidRPr="00696CCD">
        <w:rPr>
          <w:b w:val="0"/>
          <w:bCs/>
          <w:i/>
          <w:iCs/>
        </w:rPr>
        <w:t>(Uma vez que foi alcançado um acordo entre o Parlamento e o Conselho, a posição do Parlamento corresponde ao texto legislativo final, Regulamento</w:t>
      </w:r>
      <w:r>
        <w:rPr>
          <w:b w:val="0"/>
          <w:bCs/>
          <w:i/>
          <w:iCs/>
        </w:rPr>
        <w:t xml:space="preserve"> </w:t>
      </w:r>
      <w:r w:rsidRPr="00696CCD">
        <w:rPr>
          <w:b w:val="0"/>
          <w:bCs/>
          <w:i/>
          <w:iCs/>
        </w:rPr>
        <w:t>(UE) 2025/2643.)</w:t>
      </w:r>
    </w:p>
    <w:p w14:paraId="449B6E9A" w14:textId="77777777" w:rsidR="00696CCD" w:rsidRDefault="00696CCD" w:rsidP="00C24B46">
      <w:pPr>
        <w:pStyle w:val="AMNumberTabs0"/>
        <w:keepNext/>
      </w:pPr>
    </w:p>
    <w:p w14:paraId="0C9AE4F5" w14:textId="77777777" w:rsidR="00696CCD" w:rsidRPr="002014FA" w:rsidRDefault="00696CCD" w:rsidP="00C24B46">
      <w:pPr>
        <w:pStyle w:val="AMNumberTabs0"/>
        <w:keepNext/>
        <w:sectPr w:rsidR="00696CCD" w:rsidRPr="002014FA" w:rsidSect="008F7A7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2BE3EF" w14:textId="273008C3" w:rsidR="00C24B46" w:rsidRPr="002014FA" w:rsidRDefault="00C24B46" w:rsidP="00C24B46">
      <w:pPr>
        <w:pStyle w:val="AMNumberTabs0"/>
        <w:keepNext/>
        <w:spacing w:before="0" w:after="240" w:line="360" w:lineRule="auto"/>
        <w:jc w:val="right"/>
        <w:rPr>
          <w:b w:val="0"/>
          <w:bCs/>
        </w:rPr>
      </w:pPr>
      <w:r w:rsidRPr="002014FA">
        <w:rPr>
          <w:b w:val="0"/>
          <w:bCs/>
        </w:rPr>
        <w:lastRenderedPageBreak/>
        <w:t>ANEXO À RESOLUÇÃO LEGISLATIVA</w:t>
      </w:r>
    </w:p>
    <w:p w14:paraId="67BD171B" w14:textId="6CD11F9B" w:rsidR="00C24B46" w:rsidRPr="002014FA" w:rsidRDefault="00C24B46" w:rsidP="00C24B46">
      <w:pPr>
        <w:spacing w:line="360" w:lineRule="auto"/>
        <w:rPr>
          <w:iCs/>
          <w:szCs w:val="22"/>
          <w:lang w:eastAsia="en-US"/>
        </w:rPr>
      </w:pPr>
      <w:r w:rsidRPr="002014FA">
        <w:rPr>
          <w:rFonts w:eastAsia="Calibri"/>
          <w:b/>
          <w:szCs w:val="22"/>
          <w:lang w:eastAsia="en-US"/>
        </w:rPr>
        <w:t>Declaração conjunta do Parlamento Europeu e do Conselho sobre o financiamento do Programa da Indústria de Defesa Europeia (EDIP) e do Instrumento de Apoio à Ucrânia ao abrigo do Regulamento EDIP</w:t>
      </w:r>
      <w:r w:rsidRPr="002014FA">
        <w:rPr>
          <w:szCs w:val="22"/>
          <w:vertAlign w:val="superscript"/>
          <w:lang w:eastAsia="en-US"/>
        </w:rPr>
        <w:footnoteReference w:customMarkFollows="1" w:id="4"/>
        <w:t>+</w:t>
      </w:r>
    </w:p>
    <w:p w14:paraId="5C2C4451" w14:textId="77777777" w:rsidR="00C24B46" w:rsidRPr="002014FA" w:rsidRDefault="00C24B46" w:rsidP="00C24B46">
      <w:pPr>
        <w:widowControl/>
        <w:spacing w:before="120" w:after="120" w:line="360" w:lineRule="auto"/>
        <w:rPr>
          <w:color w:val="000000"/>
          <w:szCs w:val="22"/>
          <w:lang w:eastAsia="en-US"/>
        </w:rPr>
      </w:pPr>
      <w:r w:rsidRPr="002014FA">
        <w:rPr>
          <w:rFonts w:eastAsia="Calibri"/>
          <w:color w:val="000000"/>
          <w:szCs w:val="22"/>
          <w:lang w:eastAsia="en-US"/>
        </w:rPr>
        <w:t>O Parlamento Europeu e o Conselho reconhecem a necessidade imperiosa de apoiar a base tecnológica e industrial de defesa europeia e a base tecnológica e industrial de defesa ucraniana para aumentar a sua competitividade, acelerando a adaptação da indústria às alterações estruturais, nomeadamente através do aumento das capacidades de produção e do reforço da cooperação na aquisição de produtos de defesa por contratação pública, em particular à luz dos desafios criados pela guerra de agressão ilegal, não provocada e injustificada da Rússia contra a Ucrânia.</w:t>
      </w:r>
    </w:p>
    <w:p w14:paraId="2945CBA4" w14:textId="2DB6610A" w:rsidR="00C24B46" w:rsidRPr="002014FA" w:rsidRDefault="00C24B46" w:rsidP="00C24B46">
      <w:pPr>
        <w:widowControl/>
        <w:spacing w:before="120" w:after="120" w:line="360" w:lineRule="auto"/>
        <w:rPr>
          <w:color w:val="000000"/>
          <w:szCs w:val="22"/>
          <w:lang w:eastAsia="en-US"/>
        </w:rPr>
      </w:pPr>
      <w:r w:rsidRPr="002014FA">
        <w:rPr>
          <w:rFonts w:eastAsia="Calibri"/>
          <w:color w:val="000000"/>
          <w:szCs w:val="22"/>
          <w:lang w:eastAsia="en-US"/>
        </w:rPr>
        <w:t>Sem prejuízo das prerrogativas da autoridade orçamental no âmbito de futuros processos orçamentais anuais, o Parlamento Europeu e o Conselho convidam a Comissão a estudar, com caráter prioritário mas tendo em conta os compromissos políticos anteriores da autoridade orçamental, nomeadamente os que dizem respeito à cobertura dos custos de juros do IRUE, opções para reforçar o orçamento do Programa da Indústria de Defesa Europeia e do Instrumento de Apoio à Ucrânia, em consonância com o ponto 18 do Acordo Interinstitucional sobre a disciplina orçamental, sem reduzir programas e fundos semelhantes da UE.</w:t>
      </w:r>
    </w:p>
    <w:p w14:paraId="16A36D72" w14:textId="3BEEBAB0" w:rsidR="00C24B46" w:rsidRPr="002014FA" w:rsidRDefault="00C24B46">
      <w:pPr>
        <w:widowControl/>
        <w:rPr>
          <w:b/>
        </w:rPr>
      </w:pPr>
      <w:r w:rsidRPr="002014FA">
        <w:br w:type="page"/>
      </w:r>
    </w:p>
    <w:p w14:paraId="56B3A217" w14:textId="48B58D7B" w:rsidR="00C24B46" w:rsidRPr="002014FA" w:rsidRDefault="00C24B46" w:rsidP="00017251">
      <w:pPr>
        <w:spacing w:line="360" w:lineRule="auto"/>
        <w:rPr>
          <w:iCs/>
          <w:spacing w:val="-2"/>
          <w:szCs w:val="22"/>
          <w:lang w:eastAsia="en-US"/>
        </w:rPr>
      </w:pPr>
      <w:r w:rsidRPr="002014FA">
        <w:rPr>
          <w:rFonts w:eastAsia="Calibri"/>
          <w:b/>
          <w:spacing w:val="-2"/>
          <w:szCs w:val="22"/>
          <w:lang w:eastAsia="en-US"/>
        </w:rPr>
        <w:lastRenderedPageBreak/>
        <w:t xml:space="preserve">Declaração conjunta do Parlamento Europeu, do Conselho e da Comissão sobre as contribuições financeiras de países </w:t>
      </w:r>
      <w:proofErr w:type="gramStart"/>
      <w:r w:rsidRPr="002014FA">
        <w:rPr>
          <w:rFonts w:eastAsia="Calibri"/>
          <w:b/>
          <w:spacing w:val="-2"/>
          <w:szCs w:val="22"/>
          <w:lang w:eastAsia="en-US"/>
        </w:rPr>
        <w:t>terceiros relativas</w:t>
      </w:r>
      <w:proofErr w:type="gramEnd"/>
      <w:r w:rsidRPr="002014FA">
        <w:rPr>
          <w:rFonts w:eastAsia="Calibri"/>
          <w:b/>
          <w:spacing w:val="-2"/>
          <w:szCs w:val="22"/>
          <w:lang w:eastAsia="en-US"/>
        </w:rPr>
        <w:t xml:space="preserve"> à sua participação no Instrumento SAFE a título de recursos financeiros suplementares para o Programa da Indústria de Defesa Europeia (EDIP) e o Instrumento de Apoio à Ucrânia ao abrigo do Regulamento EDIP</w:t>
      </w:r>
      <w:r w:rsidRPr="002014FA">
        <w:rPr>
          <w:spacing w:val="-2"/>
          <w:szCs w:val="22"/>
          <w:vertAlign w:val="superscript"/>
          <w:lang w:eastAsia="en-US"/>
        </w:rPr>
        <w:footnoteReference w:customMarkFollows="1" w:id="5"/>
        <w:t>+</w:t>
      </w:r>
    </w:p>
    <w:p w14:paraId="6A25C6C2" w14:textId="77777777" w:rsidR="00C24B46" w:rsidRPr="002014FA" w:rsidRDefault="00C24B46" w:rsidP="00C24B46">
      <w:pPr>
        <w:widowControl/>
        <w:spacing w:before="120" w:after="120" w:line="360" w:lineRule="auto"/>
        <w:rPr>
          <w:color w:val="000000"/>
          <w:szCs w:val="24"/>
          <w:lang w:eastAsia="en-US"/>
        </w:rPr>
      </w:pPr>
      <w:r w:rsidRPr="002014FA">
        <w:rPr>
          <w:rFonts w:eastAsia="Calibri"/>
          <w:color w:val="000000"/>
          <w:szCs w:val="22"/>
          <w:lang w:eastAsia="en-US"/>
        </w:rPr>
        <w:t>O Parlamento Europeu, o Conselho e a Comissão reconhecem a necessidade imperiosa de apoiar a base tecnológica e industrial de defesa europeia e a base tecnológica e industrial de defesa ucraniana para aumentar a sua competitividade, acelerando a adaptação da indústria às alterações estruturais, nomeadamente através do aumento das capacidades de produção e do reforço da cooperação na aquisição de produtos de defesa por contratação pública, em particular à luz dos desafios criados pela guerra de agressão ilegal, não provocada e injustificada da Rússia contra a Ucrânia.</w:t>
      </w:r>
    </w:p>
    <w:p w14:paraId="4646E9AD" w14:textId="78018125" w:rsidR="00C24B46" w:rsidRPr="002014FA" w:rsidRDefault="00C24B46" w:rsidP="00C24B46">
      <w:pPr>
        <w:widowControl/>
        <w:spacing w:before="120" w:after="120" w:line="360" w:lineRule="auto"/>
        <w:rPr>
          <w:color w:val="000000"/>
          <w:szCs w:val="22"/>
          <w:lang w:eastAsia="en-US"/>
        </w:rPr>
      </w:pPr>
      <w:r w:rsidRPr="002014FA">
        <w:rPr>
          <w:rFonts w:eastAsia="Calibri"/>
          <w:szCs w:val="22"/>
          <w:lang w:eastAsia="en-US"/>
        </w:rPr>
        <w:t xml:space="preserve">Em conformidade com o artigo 17.º, n.º 4, do Regulamento SAFE, as contribuições financeiras a fornecer por países </w:t>
      </w:r>
      <w:proofErr w:type="gramStart"/>
      <w:r w:rsidRPr="002014FA">
        <w:rPr>
          <w:rFonts w:eastAsia="Calibri"/>
          <w:szCs w:val="22"/>
          <w:lang w:eastAsia="en-US"/>
        </w:rPr>
        <w:t>terceiros relativas</w:t>
      </w:r>
      <w:proofErr w:type="gramEnd"/>
      <w:r w:rsidRPr="002014FA">
        <w:rPr>
          <w:rFonts w:eastAsia="Calibri"/>
          <w:szCs w:val="22"/>
          <w:lang w:eastAsia="en-US"/>
        </w:rPr>
        <w:t xml:space="preserve"> à sua participação no Instrumento SAFE devem ser destinadas a programas de apoio à indústria de defesa da União, à indústria de defesa ucraniana e à Ucrânia, em conformidade com as regras desses programas. O Parlamento Europeu, o Conselho e a Comissão concordam que essas contribuições deverão ser utilizadas para reforçar o EDIP, incluindo o Instrumento de Apoio à Ucrânia.</w:t>
      </w:r>
    </w:p>
    <w:p w14:paraId="507CC8DB" w14:textId="74FA8E88" w:rsidR="00017251" w:rsidRPr="002014FA" w:rsidRDefault="00017251">
      <w:pPr>
        <w:widowControl/>
        <w:rPr>
          <w:b/>
        </w:rPr>
      </w:pPr>
      <w:r w:rsidRPr="002014FA">
        <w:br w:type="page"/>
      </w:r>
    </w:p>
    <w:p w14:paraId="6E19A1AC" w14:textId="6CC463FF" w:rsidR="00017251" w:rsidRPr="002014FA" w:rsidRDefault="00017251" w:rsidP="00017251">
      <w:pPr>
        <w:spacing w:line="360" w:lineRule="auto"/>
        <w:rPr>
          <w:iCs/>
          <w:szCs w:val="22"/>
          <w:lang w:eastAsia="en-US"/>
        </w:rPr>
      </w:pPr>
      <w:r w:rsidRPr="002014FA">
        <w:rPr>
          <w:rFonts w:eastAsia="Calibri"/>
          <w:b/>
          <w:szCs w:val="22"/>
          <w:lang w:eastAsia="en-US"/>
        </w:rPr>
        <w:lastRenderedPageBreak/>
        <w:t xml:space="preserve">Declaração conjunta do Parlamento Europeu, do Conselho e da Comissão sobre os recursos financeiros suplementares destinados ao Regulamento </w:t>
      </w:r>
      <w:r w:rsidRPr="002014FA">
        <w:rPr>
          <w:b/>
          <w:bCs/>
        </w:rPr>
        <w:t>EDIP</w:t>
      </w:r>
      <w:r w:rsidRPr="002014FA">
        <w:rPr>
          <w:szCs w:val="22"/>
          <w:vertAlign w:val="superscript"/>
          <w:lang w:eastAsia="en-US"/>
        </w:rPr>
        <w:footnoteReference w:customMarkFollows="1" w:id="6"/>
        <w:t>+</w:t>
      </w:r>
    </w:p>
    <w:p w14:paraId="36D4264E" w14:textId="77777777" w:rsidR="00017251" w:rsidRPr="002014FA" w:rsidRDefault="00017251" w:rsidP="00017251">
      <w:pPr>
        <w:widowControl/>
        <w:spacing w:before="120" w:after="120" w:line="360" w:lineRule="auto"/>
        <w:rPr>
          <w:szCs w:val="22"/>
          <w:lang w:eastAsia="en-US"/>
        </w:rPr>
      </w:pPr>
      <w:r w:rsidRPr="002014FA">
        <w:rPr>
          <w:rFonts w:eastAsia="Calibri"/>
          <w:szCs w:val="22"/>
          <w:lang w:eastAsia="en-US"/>
        </w:rPr>
        <w:t>O Parlamento Europeu, o Conselho e a Comissão partilham a opinião de que o Regulamento </w:t>
      </w:r>
      <w:r w:rsidRPr="002014FA">
        <w:t xml:space="preserve">EDIP </w:t>
      </w:r>
      <w:r w:rsidRPr="002014FA">
        <w:rPr>
          <w:rFonts w:eastAsia="Calibri"/>
          <w:szCs w:val="22"/>
          <w:lang w:eastAsia="en-US"/>
        </w:rPr>
        <w:t>deverá ser dotado de recursos financeiros suplementares.</w:t>
      </w:r>
    </w:p>
    <w:p w14:paraId="03CE3DBB" w14:textId="77777777" w:rsidR="00017251" w:rsidRPr="002014FA" w:rsidRDefault="00017251" w:rsidP="00017251">
      <w:pPr>
        <w:widowControl/>
        <w:spacing w:before="120" w:after="120" w:line="360" w:lineRule="auto"/>
        <w:rPr>
          <w:szCs w:val="22"/>
          <w:lang w:eastAsia="en-US"/>
        </w:rPr>
      </w:pPr>
      <w:r w:rsidRPr="002014FA">
        <w:rPr>
          <w:rFonts w:eastAsia="Calibri"/>
          <w:szCs w:val="22"/>
          <w:lang w:eastAsia="en-US"/>
        </w:rPr>
        <w:t xml:space="preserve">Para o efeito, o Regulamento </w:t>
      </w:r>
      <w:r w:rsidRPr="002014FA">
        <w:t xml:space="preserve">EDIP </w:t>
      </w:r>
      <w:r w:rsidRPr="002014FA">
        <w:rPr>
          <w:rFonts w:eastAsia="Calibri"/>
          <w:szCs w:val="22"/>
          <w:lang w:eastAsia="en-US"/>
        </w:rPr>
        <w:t>prevê especificamente a possibilidade de serem concedidas contribuições financeiras suplementares dos Estados</w:t>
      </w:r>
      <w:r w:rsidRPr="002014FA">
        <w:rPr>
          <w:rFonts w:eastAsia="Calibri"/>
          <w:szCs w:val="22"/>
          <w:lang w:eastAsia="en-US"/>
        </w:rPr>
        <w:softHyphen/>
      </w:r>
      <w:r w:rsidRPr="002014FA">
        <w:rPr>
          <w:rFonts w:eastAsia="Calibri"/>
          <w:szCs w:val="22"/>
          <w:lang w:eastAsia="en-US"/>
        </w:rPr>
        <w:noBreakHyphen/>
        <w:t>Membros, das instituições, órgãos e organismos da União, de países terceiros, de organizações internacionais, de instituições financeiras internacionais ou de outros terceiros e, a este respeito, remete expressamente para o Fundo para Acelerar a Transformação das Cadeias de Abastecimento de Defesa (FAST).</w:t>
      </w:r>
    </w:p>
    <w:p w14:paraId="1A22D5AD" w14:textId="64E81272" w:rsidR="00017251" w:rsidRPr="002014FA" w:rsidRDefault="00017251" w:rsidP="00017251">
      <w:pPr>
        <w:widowControl/>
        <w:spacing w:before="120" w:after="120" w:line="360" w:lineRule="auto"/>
        <w:rPr>
          <w:szCs w:val="22"/>
          <w:lang w:eastAsia="en-US"/>
        </w:rPr>
      </w:pPr>
      <w:r w:rsidRPr="002014FA">
        <w:rPr>
          <w:rFonts w:eastAsia="Calibri"/>
          <w:szCs w:val="22"/>
          <w:lang w:eastAsia="en-US"/>
        </w:rPr>
        <w:t xml:space="preserve">Atendendo ao que precede, e tendo em conta o papel central do FAST no reforço das capacidades de fabrico no setor da defesa das PME e das pequenas empresas de média capitalização que necessitem particularmente de investimentos, essas contribuições suplementares deverão ser atribuídas prioritariamente ao </w:t>
      </w:r>
      <w:r w:rsidRPr="002014FA">
        <w:t xml:space="preserve">FAST </w:t>
      </w:r>
      <w:r w:rsidRPr="002014FA">
        <w:rPr>
          <w:rFonts w:eastAsia="Calibri"/>
          <w:szCs w:val="22"/>
          <w:lang w:eastAsia="en-US"/>
        </w:rPr>
        <w:t>e complementar os montantes afetados a partir do enquadramento de 1 200 milhões de EUR referido no artigo </w:t>
      </w:r>
      <w:r w:rsidR="00696CCD">
        <w:rPr>
          <w:rFonts w:eastAsia="Calibri"/>
          <w:szCs w:val="22"/>
          <w:lang w:eastAsia="en-US"/>
        </w:rPr>
        <w:t>3</w:t>
      </w:r>
      <w:r w:rsidRPr="002014FA">
        <w:rPr>
          <w:rFonts w:eastAsia="Calibri"/>
          <w:szCs w:val="22"/>
          <w:lang w:eastAsia="en-US"/>
        </w:rPr>
        <w:t>.º, n.º 1, com o objetivo de que o montante global indicativo para esse fundo específico ao abrigo do programa atinja, pelo menos, 150 milhões de EUR, respeitando as prerrogativas da autoridade orçamental.</w:t>
      </w:r>
    </w:p>
    <w:sectPr w:rsidR="00017251" w:rsidRPr="002014FA" w:rsidSect="008F7A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629E1" w14:textId="77777777" w:rsidR="002834E6" w:rsidRPr="008F7A73" w:rsidRDefault="002834E6">
      <w:r w:rsidRPr="008F7A73">
        <w:separator/>
      </w:r>
    </w:p>
  </w:endnote>
  <w:endnote w:type="continuationSeparator" w:id="0">
    <w:p w14:paraId="01C5FD84" w14:textId="77777777" w:rsidR="002834E6" w:rsidRPr="008F7A73" w:rsidRDefault="002834E6">
      <w:r w:rsidRPr="008F7A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3CDD" w14:textId="77777777" w:rsidR="00064002" w:rsidRPr="008F7A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4152" w14:textId="77777777" w:rsidR="00064002" w:rsidRPr="008F7A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DFCEC" w14:textId="77777777" w:rsidR="00064002" w:rsidRPr="008F7A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E9950" w14:textId="77777777" w:rsidR="002834E6" w:rsidRPr="008F7A73" w:rsidRDefault="002834E6">
      <w:r w:rsidRPr="008F7A73">
        <w:separator/>
      </w:r>
    </w:p>
  </w:footnote>
  <w:footnote w:type="continuationSeparator" w:id="0">
    <w:p w14:paraId="5CFFBD84" w14:textId="77777777" w:rsidR="002834E6" w:rsidRPr="008F7A73" w:rsidRDefault="002834E6">
      <w:r w:rsidRPr="008F7A73">
        <w:continuationSeparator/>
      </w:r>
    </w:p>
  </w:footnote>
  <w:footnote w:id="1">
    <w:p w14:paraId="2CC91644" w14:textId="545CC226" w:rsidR="009E494E" w:rsidRPr="002014FA" w:rsidRDefault="009E494E" w:rsidP="008F7A73">
      <w:pPr>
        <w:pStyle w:val="FootnoteText"/>
        <w:ind w:left="567" w:hanging="567"/>
        <w:rPr>
          <w:lang w:val="fi-FI"/>
        </w:rPr>
      </w:pPr>
      <w:r w:rsidRPr="008F7A73">
        <w:rPr>
          <w:rStyle w:val="FootnoteReference"/>
          <w:lang w:val="pt-PT"/>
        </w:rPr>
        <w:footnoteRef/>
      </w:r>
      <w:r w:rsidR="008F7A73" w:rsidRPr="002014FA">
        <w:rPr>
          <w:lang w:val="fi-FI"/>
        </w:rPr>
        <w:t xml:space="preserve"> </w:t>
      </w:r>
      <w:r w:rsidR="008F7A73" w:rsidRPr="002014FA">
        <w:rPr>
          <w:lang w:val="fi-FI"/>
        </w:rPr>
        <w:tab/>
      </w:r>
      <w:r w:rsidRPr="002014FA">
        <w:rPr>
          <w:lang w:val="fi-FI"/>
        </w:rPr>
        <w:t>JO C</w:t>
      </w:r>
      <w:r w:rsidR="00D475B4" w:rsidRPr="002014FA">
        <w:rPr>
          <w:lang w:val="fi-FI"/>
        </w:rPr>
        <w:t>, C/2025/805,</w:t>
      </w:r>
      <w:r w:rsidRPr="002014FA">
        <w:rPr>
          <w:lang w:val="fi-FI"/>
        </w:rPr>
        <w:t xml:space="preserve"> 31.1.2025, ELI: </w:t>
      </w:r>
      <w:hyperlink r:id="rId1" w:history="1">
        <w:r w:rsidRPr="002014FA">
          <w:rPr>
            <w:rStyle w:val="Hyperlink"/>
            <w:lang w:val="fi-FI"/>
          </w:rPr>
          <w:t>http://data.europa.eu/eli/C/2025/805/oj</w:t>
        </w:r>
      </w:hyperlink>
      <w:r w:rsidRPr="002014FA">
        <w:rPr>
          <w:lang w:val="fi-FI"/>
        </w:rPr>
        <w:t>.</w:t>
      </w:r>
    </w:p>
  </w:footnote>
  <w:footnote w:id="2">
    <w:p w14:paraId="396807F2" w14:textId="2886B19F" w:rsidR="009E494E" w:rsidRPr="002014FA" w:rsidRDefault="009E494E" w:rsidP="008F7A73">
      <w:pPr>
        <w:pStyle w:val="FootnoteText"/>
        <w:ind w:left="567" w:hanging="567"/>
        <w:rPr>
          <w:lang w:val="fi-FI"/>
        </w:rPr>
      </w:pPr>
      <w:r w:rsidRPr="008F7A73">
        <w:rPr>
          <w:rStyle w:val="FootnoteReference"/>
          <w:lang w:val="pt-PT"/>
        </w:rPr>
        <w:footnoteRef/>
      </w:r>
      <w:r w:rsidR="008F7A73" w:rsidRPr="002014FA">
        <w:rPr>
          <w:lang w:val="fi-FI"/>
        </w:rPr>
        <w:t xml:space="preserve"> </w:t>
      </w:r>
      <w:r w:rsidR="008F7A73" w:rsidRPr="002014FA">
        <w:rPr>
          <w:lang w:val="fi-FI"/>
        </w:rPr>
        <w:tab/>
      </w:r>
      <w:r w:rsidR="00F57DB4">
        <w:rPr>
          <w:lang w:val="fi-FI"/>
        </w:rPr>
        <w:t>JO</w:t>
      </w:r>
      <w:r w:rsidR="00F57DB4" w:rsidRPr="002014FA">
        <w:rPr>
          <w:lang w:val="fi-FI"/>
        </w:rPr>
        <w:t xml:space="preserve"> C, C/2024/4662, 9.8.2024, ELI: </w:t>
      </w:r>
      <w:hyperlink r:id="rId2" w:history="1">
        <w:r w:rsidR="00F57DB4" w:rsidRPr="002014FA">
          <w:rPr>
            <w:rStyle w:val="Hyperlink"/>
            <w:lang w:val="fi-FI"/>
          </w:rPr>
          <w:t>http://data.europa.eu/eli/C/2024/4662/oj</w:t>
        </w:r>
      </w:hyperlink>
      <w:r w:rsidRPr="002014FA">
        <w:rPr>
          <w:lang w:val="fi-FI"/>
        </w:rPr>
        <w:t>.</w:t>
      </w:r>
    </w:p>
  </w:footnote>
  <w:footnote w:id="3">
    <w:p w14:paraId="67058F33" w14:textId="5258F521" w:rsidR="009E494E" w:rsidRPr="002014FA" w:rsidRDefault="009E494E" w:rsidP="008F7A73">
      <w:pPr>
        <w:pStyle w:val="FootnoteText"/>
        <w:ind w:left="567" w:hanging="567"/>
        <w:rPr>
          <w:lang w:val="fi-FI"/>
        </w:rPr>
      </w:pPr>
      <w:r w:rsidRPr="008F7A73">
        <w:rPr>
          <w:rStyle w:val="FootnoteReference"/>
          <w:lang w:val="pt-PT"/>
        </w:rPr>
        <w:footnoteRef/>
      </w:r>
      <w:r w:rsidR="008F7A73" w:rsidRPr="002014FA">
        <w:rPr>
          <w:lang w:val="fi-FI"/>
        </w:rPr>
        <w:t xml:space="preserve"> </w:t>
      </w:r>
      <w:r w:rsidR="008F7A73" w:rsidRPr="002014FA">
        <w:rPr>
          <w:lang w:val="fi-FI"/>
        </w:rPr>
        <w:tab/>
      </w:r>
      <w:r w:rsidR="00F57DB4">
        <w:rPr>
          <w:lang w:val="fi-FI"/>
        </w:rPr>
        <w:t>JO</w:t>
      </w:r>
      <w:r w:rsidR="00F57DB4" w:rsidRPr="002014FA">
        <w:rPr>
          <w:lang w:val="fi-FI"/>
        </w:rPr>
        <w:t xml:space="preserve"> C, C/2025/1705, 26.3.2025, ELI: </w:t>
      </w:r>
      <w:hyperlink r:id="rId3" w:history="1">
        <w:r w:rsidR="00F57DB4" w:rsidRPr="002014FA">
          <w:rPr>
            <w:rStyle w:val="Hyperlink"/>
            <w:lang w:val="fi-FI"/>
          </w:rPr>
          <w:t>http://data.europa.eu/eli/C/2025/1705/oj</w:t>
        </w:r>
      </w:hyperlink>
      <w:r w:rsidRPr="002014FA">
        <w:rPr>
          <w:lang w:val="fi-FI"/>
        </w:rPr>
        <w:t>.</w:t>
      </w:r>
    </w:p>
  </w:footnote>
  <w:footnote w:id="4">
    <w:p w14:paraId="75A221D9" w14:textId="3711850A" w:rsidR="00C24B46" w:rsidRPr="00696CCD" w:rsidRDefault="00C24B46" w:rsidP="00C24B46">
      <w:pPr>
        <w:pStyle w:val="FootnoteText"/>
        <w:ind w:left="567" w:hanging="567"/>
        <w:rPr>
          <w:rFonts w:eastAsia="Calibri"/>
          <w:szCs w:val="24"/>
          <w:lang w:val="fi-FI"/>
        </w:rPr>
      </w:pPr>
      <w:r w:rsidRPr="00696CCD">
        <w:rPr>
          <w:rStyle w:val="FootnoteReference"/>
          <w:szCs w:val="24"/>
          <w:lang w:val="fi-FI"/>
        </w:rPr>
        <w:t>+</w:t>
      </w:r>
      <w:r w:rsidRPr="00696CCD">
        <w:rPr>
          <w:szCs w:val="24"/>
          <w:lang w:val="fi-FI"/>
        </w:rPr>
        <w:tab/>
      </w:r>
      <w:r w:rsidR="00696CCD" w:rsidRPr="00696CCD">
        <w:rPr>
          <w:szCs w:val="24"/>
          <w:lang w:val="fi-FI"/>
        </w:rPr>
        <w:t>JO</w:t>
      </w:r>
      <w:r w:rsidR="00696CCD" w:rsidRPr="00696CCD">
        <w:rPr>
          <w:szCs w:val="24"/>
          <w:lang w:val="fi-FI"/>
        </w:rPr>
        <w:t xml:space="preserve"> L, 2025/2643, 29.12.2025, ELI: </w:t>
      </w:r>
      <w:hyperlink r:id="rId4" w:tgtFrame="_blank" w:tooltip="Gives access to this document through its ELI URI." w:history="1">
        <w:r w:rsidR="00696CCD" w:rsidRPr="00696CCD">
          <w:rPr>
            <w:rStyle w:val="Hyperlink"/>
            <w:szCs w:val="24"/>
            <w:lang w:val="fi-FI"/>
          </w:rPr>
          <w:t>http://data.europa.eu/eli/reg/2025/2643/oj</w:t>
        </w:r>
      </w:hyperlink>
      <w:r w:rsidRPr="00696CCD">
        <w:rPr>
          <w:szCs w:val="24"/>
          <w:lang w:val="fi-FI"/>
        </w:rPr>
        <w:t>.</w:t>
      </w:r>
    </w:p>
  </w:footnote>
  <w:footnote w:id="5">
    <w:p w14:paraId="297F6C96" w14:textId="0D13B96D" w:rsidR="00C24B46" w:rsidRPr="00696CCD" w:rsidRDefault="00C24B46" w:rsidP="00C24B46">
      <w:pPr>
        <w:pStyle w:val="FootnoteText"/>
        <w:ind w:left="567" w:hanging="567"/>
        <w:rPr>
          <w:rFonts w:eastAsia="Calibri"/>
          <w:szCs w:val="24"/>
          <w:lang w:val="fi-FI"/>
        </w:rPr>
      </w:pPr>
      <w:r w:rsidRPr="00696CCD">
        <w:rPr>
          <w:rStyle w:val="FootnoteReference"/>
          <w:szCs w:val="24"/>
          <w:lang w:val="fi-FI"/>
        </w:rPr>
        <w:t>+</w:t>
      </w:r>
      <w:r w:rsidRPr="00696CCD">
        <w:rPr>
          <w:szCs w:val="24"/>
          <w:lang w:val="fi-FI"/>
        </w:rPr>
        <w:tab/>
      </w:r>
      <w:r w:rsidR="00696CCD" w:rsidRPr="00696CCD">
        <w:rPr>
          <w:szCs w:val="24"/>
          <w:lang w:val="fi-FI"/>
        </w:rPr>
        <w:t>JO</w:t>
      </w:r>
      <w:r w:rsidR="00696CCD" w:rsidRPr="00696CCD">
        <w:rPr>
          <w:szCs w:val="24"/>
          <w:lang w:val="fi-FI"/>
        </w:rPr>
        <w:t xml:space="preserve"> L, 2025/2643, 29.12.2025, ELI: </w:t>
      </w:r>
      <w:hyperlink r:id="rId5" w:tgtFrame="_blank" w:tooltip="Gives access to this document through its ELI URI." w:history="1">
        <w:r w:rsidR="00696CCD" w:rsidRPr="00696CCD">
          <w:rPr>
            <w:rStyle w:val="Hyperlink"/>
            <w:szCs w:val="24"/>
            <w:lang w:val="fi-FI"/>
          </w:rPr>
          <w:t>http://data.europa.eu/eli/reg/2025/2643/oj</w:t>
        </w:r>
      </w:hyperlink>
      <w:r w:rsidRPr="00696CCD">
        <w:rPr>
          <w:szCs w:val="24"/>
          <w:lang w:val="fi-FI"/>
        </w:rPr>
        <w:t>.</w:t>
      </w:r>
    </w:p>
  </w:footnote>
  <w:footnote w:id="6">
    <w:p w14:paraId="456BFDCD" w14:textId="754E271C" w:rsidR="00017251" w:rsidRPr="00696CCD" w:rsidRDefault="00017251" w:rsidP="00017251">
      <w:pPr>
        <w:pStyle w:val="FootnoteText"/>
        <w:ind w:left="567" w:hanging="567"/>
        <w:rPr>
          <w:rFonts w:eastAsia="Calibri"/>
          <w:szCs w:val="24"/>
          <w:lang w:val="fi-FI"/>
        </w:rPr>
      </w:pPr>
      <w:r w:rsidRPr="00696CCD">
        <w:rPr>
          <w:rStyle w:val="FootnoteReference"/>
          <w:szCs w:val="24"/>
          <w:lang w:val="fi-FI"/>
        </w:rPr>
        <w:t>+</w:t>
      </w:r>
      <w:r w:rsidRPr="00696CCD">
        <w:rPr>
          <w:szCs w:val="24"/>
          <w:lang w:val="fi-FI"/>
        </w:rPr>
        <w:tab/>
      </w:r>
      <w:r w:rsidR="00696CCD" w:rsidRPr="00696CCD">
        <w:rPr>
          <w:szCs w:val="24"/>
          <w:lang w:val="fi-FI"/>
        </w:rPr>
        <w:t>JO L, 2025/2643, 29.12.2025, ELI: </w:t>
      </w:r>
      <w:hyperlink r:id="rId6" w:tgtFrame="_blank" w:tooltip="Gives access to this document through its ELI URI." w:history="1">
        <w:r w:rsidR="00696CCD" w:rsidRPr="00696CCD">
          <w:rPr>
            <w:rStyle w:val="Hyperlink"/>
            <w:szCs w:val="24"/>
            <w:lang w:val="fi-FI"/>
          </w:rPr>
          <w:t>http://data.europa.eu/eli/reg/2025/2643/oj</w:t>
        </w:r>
      </w:hyperlink>
      <w:r w:rsidRPr="00696CCD">
        <w:rPr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7A36" w14:textId="77777777" w:rsidR="00064002" w:rsidRPr="008F7A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51384" w14:textId="77777777" w:rsidR="00064002" w:rsidRPr="008F7A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4B73" w14:textId="77777777" w:rsidR="00064002" w:rsidRPr="008F7A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4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13910190">
    <w:abstractNumId w:val="4"/>
  </w:num>
  <w:num w:numId="2" w16cid:durableId="305011307">
    <w:abstractNumId w:val="18"/>
  </w:num>
  <w:num w:numId="3" w16cid:durableId="1558662220">
    <w:abstractNumId w:val="1"/>
  </w:num>
  <w:num w:numId="4" w16cid:durableId="1173912392">
    <w:abstractNumId w:val="35"/>
  </w:num>
  <w:num w:numId="5" w16cid:durableId="1111777268">
    <w:abstractNumId w:val="15"/>
  </w:num>
  <w:num w:numId="6" w16cid:durableId="96214969">
    <w:abstractNumId w:val="29"/>
  </w:num>
  <w:num w:numId="7" w16cid:durableId="644089299">
    <w:abstractNumId w:val="27"/>
  </w:num>
  <w:num w:numId="8" w16cid:durableId="488597771">
    <w:abstractNumId w:val="45"/>
  </w:num>
  <w:num w:numId="9" w16cid:durableId="1598907738">
    <w:abstractNumId w:val="40"/>
  </w:num>
  <w:num w:numId="10" w16cid:durableId="1504079814">
    <w:abstractNumId w:val="46"/>
  </w:num>
  <w:num w:numId="11" w16cid:durableId="1898667734">
    <w:abstractNumId w:val="48"/>
  </w:num>
  <w:num w:numId="12" w16cid:durableId="1797798962">
    <w:abstractNumId w:val="6"/>
  </w:num>
  <w:num w:numId="13" w16cid:durableId="1682583149">
    <w:abstractNumId w:val="17"/>
  </w:num>
  <w:num w:numId="14" w16cid:durableId="639918643">
    <w:abstractNumId w:val="7"/>
  </w:num>
  <w:num w:numId="15" w16cid:durableId="1542400799">
    <w:abstractNumId w:val="19"/>
  </w:num>
  <w:num w:numId="16" w16cid:durableId="707873169">
    <w:abstractNumId w:val="16"/>
  </w:num>
  <w:num w:numId="17" w16cid:durableId="676426953">
    <w:abstractNumId w:val="30"/>
  </w:num>
  <w:num w:numId="18" w16cid:durableId="13950801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58806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9813755">
    <w:abstractNumId w:val="54"/>
    <w:lvlOverride w:ilvl="0">
      <w:startOverride w:val="1"/>
    </w:lvlOverride>
  </w:num>
  <w:num w:numId="21" w16cid:durableId="1929582030">
    <w:abstractNumId w:val="38"/>
    <w:lvlOverride w:ilvl="0">
      <w:startOverride w:val="1"/>
    </w:lvlOverride>
  </w:num>
  <w:num w:numId="22" w16cid:durableId="415329054">
    <w:abstractNumId w:val="22"/>
  </w:num>
  <w:num w:numId="23" w16cid:durableId="585771451">
    <w:abstractNumId w:val="42"/>
  </w:num>
  <w:num w:numId="24" w16cid:durableId="1957834456">
    <w:abstractNumId w:val="14"/>
  </w:num>
  <w:num w:numId="25" w16cid:durableId="791678393">
    <w:abstractNumId w:val="23"/>
  </w:num>
  <w:num w:numId="26" w16cid:durableId="3022958">
    <w:abstractNumId w:val="24"/>
  </w:num>
  <w:num w:numId="27" w16cid:durableId="2085255845">
    <w:abstractNumId w:val="26"/>
  </w:num>
  <w:num w:numId="28" w16cid:durableId="328674022">
    <w:abstractNumId w:val="36"/>
  </w:num>
  <w:num w:numId="29" w16cid:durableId="239143239">
    <w:abstractNumId w:val="37"/>
  </w:num>
  <w:num w:numId="30" w16cid:durableId="1744722095">
    <w:abstractNumId w:val="13"/>
  </w:num>
  <w:num w:numId="31" w16cid:durableId="1811246461">
    <w:abstractNumId w:val="31"/>
  </w:num>
  <w:num w:numId="32" w16cid:durableId="1466007105">
    <w:abstractNumId w:val="43"/>
  </w:num>
  <w:num w:numId="33" w16cid:durableId="1475875094">
    <w:abstractNumId w:val="3"/>
  </w:num>
  <w:num w:numId="34" w16cid:durableId="1816027014">
    <w:abstractNumId w:val="44"/>
  </w:num>
  <w:num w:numId="35" w16cid:durableId="1689023111">
    <w:abstractNumId w:val="39"/>
  </w:num>
  <w:num w:numId="36" w16cid:durableId="1106273980">
    <w:abstractNumId w:val="5"/>
  </w:num>
  <w:num w:numId="37" w16cid:durableId="154153400">
    <w:abstractNumId w:val="49"/>
  </w:num>
  <w:num w:numId="38" w16cid:durableId="366873316">
    <w:abstractNumId w:val="53"/>
  </w:num>
  <w:num w:numId="39" w16cid:durableId="1037966521">
    <w:abstractNumId w:val="32"/>
  </w:num>
  <w:num w:numId="40" w16cid:durableId="1971782157">
    <w:abstractNumId w:val="47"/>
  </w:num>
  <w:num w:numId="41" w16cid:durableId="2094692991">
    <w:abstractNumId w:val="41"/>
  </w:num>
  <w:num w:numId="42" w16cid:durableId="1095132390">
    <w:abstractNumId w:val="25"/>
  </w:num>
  <w:num w:numId="43" w16cid:durableId="1755589573">
    <w:abstractNumId w:val="2"/>
  </w:num>
  <w:num w:numId="44" w16cid:durableId="1059204818">
    <w:abstractNumId w:val="11"/>
  </w:num>
  <w:num w:numId="45" w16cid:durableId="1023554113">
    <w:abstractNumId w:val="8"/>
  </w:num>
  <w:num w:numId="46" w16cid:durableId="1342467967">
    <w:abstractNumId w:val="12"/>
  </w:num>
  <w:num w:numId="47" w16cid:durableId="1277717369">
    <w:abstractNumId w:val="33"/>
  </w:num>
  <w:num w:numId="48" w16cid:durableId="1186288313">
    <w:abstractNumId w:val="20"/>
  </w:num>
  <w:num w:numId="49" w16cid:durableId="525561290">
    <w:abstractNumId w:val="21"/>
  </w:num>
  <w:num w:numId="50" w16cid:durableId="50227971">
    <w:abstractNumId w:val="28"/>
  </w:num>
  <w:num w:numId="51" w16cid:durableId="1691368473">
    <w:abstractNumId w:val="0"/>
  </w:num>
  <w:num w:numId="52" w16cid:durableId="968052574">
    <w:abstractNumId w:val="34"/>
  </w:num>
  <w:num w:numId="53" w16cid:durableId="1579635249">
    <w:abstractNumId w:val="51"/>
  </w:num>
  <w:num w:numId="54" w16cid:durableId="328409989">
    <w:abstractNumId w:val="50"/>
  </w:num>
  <w:num w:numId="55" w16cid:durableId="1055085742">
    <w:abstractNumId w:val="5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5"/>
    <w:docVar w:name="dvlangue" w:val="PT"/>
    <w:docVar w:name="dvnumam" w:val="312"/>
    <w:docVar w:name="dvpe" w:val="771.828"/>
    <w:docVar w:name="dvrapporteur" w:val="Relatores: "/>
    <w:docVar w:name="dvstar" w:val="***I"/>
    <w:docVar w:name="dvtitre" w:val="Resolução legislativa do Parlamento Europeu, de ... de ... de 2025,_x000d__x000a_ sobre a proposta de Regulamento do Parlamento Europeu e do Conselho que estabelece o Programa da indústria de defesa europeia e um quadro de medidas para garantir a disponibilidade e o aprovisionamento atempados dos produtos de defesa (PIDEUR)(COM(2024)0150 – C10-0005/2024 – 2024/0061(COD))"/>
  </w:docVars>
  <w:rsids>
    <w:rsidRoot w:val="002834E6"/>
    <w:rsid w:val="00002272"/>
    <w:rsid w:val="000030A2"/>
    <w:rsid w:val="00017251"/>
    <w:rsid w:val="00064002"/>
    <w:rsid w:val="000677B9"/>
    <w:rsid w:val="000831BA"/>
    <w:rsid w:val="000A42CC"/>
    <w:rsid w:val="000E7DD9"/>
    <w:rsid w:val="0010095E"/>
    <w:rsid w:val="00125B37"/>
    <w:rsid w:val="00187494"/>
    <w:rsid w:val="001F19AF"/>
    <w:rsid w:val="001F32AE"/>
    <w:rsid w:val="001F64E9"/>
    <w:rsid w:val="002014FA"/>
    <w:rsid w:val="002767FF"/>
    <w:rsid w:val="002834E6"/>
    <w:rsid w:val="002B18FE"/>
    <w:rsid w:val="002B5493"/>
    <w:rsid w:val="00343214"/>
    <w:rsid w:val="00361C00"/>
    <w:rsid w:val="00395FA1"/>
    <w:rsid w:val="003E15D4"/>
    <w:rsid w:val="003F49C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831"/>
    <w:rsid w:val="006631B6"/>
    <w:rsid w:val="00680577"/>
    <w:rsid w:val="00696CCD"/>
    <w:rsid w:val="006D6BE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FA7"/>
    <w:rsid w:val="00817416"/>
    <w:rsid w:val="00842779"/>
    <w:rsid w:val="0086237B"/>
    <w:rsid w:val="00865F67"/>
    <w:rsid w:val="00881A7B"/>
    <w:rsid w:val="008840E5"/>
    <w:rsid w:val="00887B3E"/>
    <w:rsid w:val="00891F0B"/>
    <w:rsid w:val="008C2AC6"/>
    <w:rsid w:val="008F2574"/>
    <w:rsid w:val="008F7A73"/>
    <w:rsid w:val="00930C23"/>
    <w:rsid w:val="0093193B"/>
    <w:rsid w:val="009509D8"/>
    <w:rsid w:val="00950B64"/>
    <w:rsid w:val="00981893"/>
    <w:rsid w:val="009E494E"/>
    <w:rsid w:val="00A1687D"/>
    <w:rsid w:val="00A43E52"/>
    <w:rsid w:val="00A4678D"/>
    <w:rsid w:val="00A778C7"/>
    <w:rsid w:val="00AA012C"/>
    <w:rsid w:val="00AB441E"/>
    <w:rsid w:val="00AB6293"/>
    <w:rsid w:val="00AE0928"/>
    <w:rsid w:val="00AE097E"/>
    <w:rsid w:val="00AF3B82"/>
    <w:rsid w:val="00B07435"/>
    <w:rsid w:val="00B12E95"/>
    <w:rsid w:val="00B22876"/>
    <w:rsid w:val="00B51FD4"/>
    <w:rsid w:val="00B53F87"/>
    <w:rsid w:val="00B558D1"/>
    <w:rsid w:val="00B558F0"/>
    <w:rsid w:val="00BD48FE"/>
    <w:rsid w:val="00BD7BD8"/>
    <w:rsid w:val="00BE4ABB"/>
    <w:rsid w:val="00BE6ADC"/>
    <w:rsid w:val="00C05BFE"/>
    <w:rsid w:val="00C23CD4"/>
    <w:rsid w:val="00C24B46"/>
    <w:rsid w:val="00C61C0C"/>
    <w:rsid w:val="00C941CB"/>
    <w:rsid w:val="00CC2357"/>
    <w:rsid w:val="00CF071A"/>
    <w:rsid w:val="00D058B8"/>
    <w:rsid w:val="00D475B4"/>
    <w:rsid w:val="00D56C11"/>
    <w:rsid w:val="00D834A0"/>
    <w:rsid w:val="00D872DF"/>
    <w:rsid w:val="00D91E21"/>
    <w:rsid w:val="00DA7FCD"/>
    <w:rsid w:val="00DD2BBC"/>
    <w:rsid w:val="00E0447F"/>
    <w:rsid w:val="00E365E1"/>
    <w:rsid w:val="00E820A4"/>
    <w:rsid w:val="00EA5AC3"/>
    <w:rsid w:val="00EB006A"/>
    <w:rsid w:val="00EB4772"/>
    <w:rsid w:val="00EC63EF"/>
    <w:rsid w:val="00ED169E"/>
    <w:rsid w:val="00ED4235"/>
    <w:rsid w:val="00F04346"/>
    <w:rsid w:val="00F075DC"/>
    <w:rsid w:val="00F149E9"/>
    <w:rsid w:val="00F5134D"/>
    <w:rsid w:val="00F57DB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2193E"/>
  <w15:chartTrackingRefBased/>
  <w15:docId w15:val="{A84E4E7A-1C11-4DA3-9FD0-D733AE00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Body Text" w:uiPriority="1" w:qFormat="1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SUPERSCharCha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DD2BBC"/>
    <w:pPr>
      <w:keepLines/>
      <w:widowControl/>
      <w:spacing w:line="260" w:lineRule="exact"/>
      <w:ind w:left="425" w:hanging="425"/>
    </w:pPr>
    <w:rPr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DD2BBC"/>
    <w:rPr>
      <w:sz w:val="24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E494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94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94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94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94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94E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94E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E494E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E494E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9E494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E49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E494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E494E"/>
    <w:pPr>
      <w:spacing w:after="120"/>
    </w:pPr>
  </w:style>
  <w:style w:type="paragraph" w:customStyle="1" w:styleId="PageHeading">
    <w:name w:val="PageHeading"/>
    <w:basedOn w:val="Normal"/>
    <w:rsid w:val="009E49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E494E"/>
    <w:rPr>
      <w:b/>
    </w:rPr>
  </w:style>
  <w:style w:type="paragraph" w:customStyle="1" w:styleId="NormalBold12a">
    <w:name w:val="NormalBold12a"/>
    <w:basedOn w:val="Normal"/>
    <w:rsid w:val="009E494E"/>
    <w:pPr>
      <w:spacing w:after="240"/>
    </w:pPr>
    <w:rPr>
      <w:b/>
    </w:rPr>
  </w:style>
  <w:style w:type="paragraph" w:customStyle="1" w:styleId="AmJustText">
    <w:name w:val="AmJustText"/>
    <w:basedOn w:val="Normal"/>
    <w:rsid w:val="009E494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E494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E494E"/>
    <w:pPr>
      <w:spacing w:after="480"/>
      <w:ind w:left="1417"/>
    </w:pPr>
  </w:style>
  <w:style w:type="paragraph" w:customStyle="1" w:styleId="CoverNormal">
    <w:name w:val="CoverNormal"/>
    <w:basedOn w:val="Normal"/>
    <w:rsid w:val="009E494E"/>
    <w:pPr>
      <w:ind w:left="1418"/>
    </w:pPr>
  </w:style>
  <w:style w:type="paragraph" w:customStyle="1" w:styleId="AmCrossRef">
    <w:name w:val="AmCrossRef"/>
    <w:basedOn w:val="Normal"/>
    <w:rsid w:val="009E494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E494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E494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E494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E494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E494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E49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494E"/>
    <w:rPr>
      <w:sz w:val="24"/>
      <w:lang w:val="pt-PT"/>
    </w:rPr>
  </w:style>
  <w:style w:type="paragraph" w:customStyle="1" w:styleId="AmOrLang">
    <w:name w:val="AmOrLang"/>
    <w:basedOn w:val="Normal"/>
    <w:rsid w:val="009E494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E494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E49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E494E"/>
    <w:pPr>
      <w:spacing w:before="240"/>
    </w:pPr>
    <w:rPr>
      <w:b/>
    </w:rPr>
  </w:style>
  <w:style w:type="paragraph" w:customStyle="1" w:styleId="EPBody">
    <w:name w:val="EPBody"/>
    <w:basedOn w:val="Normal"/>
    <w:rsid w:val="009E494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E49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E494E"/>
    <w:pPr>
      <w:spacing w:before="480" w:after="240"/>
    </w:pPr>
  </w:style>
  <w:style w:type="paragraph" w:customStyle="1" w:styleId="Lgendesigne">
    <w:name w:val="Légende signe"/>
    <w:basedOn w:val="Normal"/>
    <w:rsid w:val="009E494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E494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E494E"/>
    <w:rPr>
      <w:sz w:val="18"/>
    </w:rPr>
  </w:style>
  <w:style w:type="paragraph" w:customStyle="1" w:styleId="Normal24a">
    <w:name w:val="Normal24a"/>
    <w:basedOn w:val="Normal"/>
    <w:rsid w:val="009E494E"/>
    <w:pPr>
      <w:spacing w:after="480"/>
    </w:pPr>
  </w:style>
  <w:style w:type="paragraph" w:customStyle="1" w:styleId="NormalBoldCenter">
    <w:name w:val="NormalBoldCenter"/>
    <w:basedOn w:val="Normal"/>
    <w:rsid w:val="009E494E"/>
    <w:pPr>
      <w:jc w:val="center"/>
    </w:pPr>
    <w:rPr>
      <w:b/>
    </w:rPr>
  </w:style>
  <w:style w:type="paragraph" w:customStyle="1" w:styleId="Footprint12b">
    <w:name w:val="Footprint12b"/>
    <w:basedOn w:val="Normal"/>
    <w:rsid w:val="009E494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E494E"/>
    <w:rPr>
      <w:szCs w:val="24"/>
    </w:rPr>
  </w:style>
  <w:style w:type="character" w:styleId="Hyperlink">
    <w:name w:val="Hyperlink"/>
    <w:basedOn w:val="DefaultParagraphFont"/>
    <w:uiPriority w:val="99"/>
    <w:unhideWhenUsed/>
    <w:qFormat/>
    <w:rsid w:val="009E494E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9E494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9E494E"/>
    <w:rPr>
      <w:noProof/>
      <w:sz w:val="24"/>
    </w:rPr>
  </w:style>
  <w:style w:type="paragraph" w:customStyle="1" w:styleId="Normal12">
    <w:name w:val="Normal12"/>
    <w:basedOn w:val="Normal"/>
    <w:link w:val="Normal12Char"/>
    <w:rsid w:val="009E494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E494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E494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E494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E494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E494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E494E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9E494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E494E"/>
    <w:rPr>
      <w:b/>
      <w:sz w:val="24"/>
      <w:lang w:val="pt-PT"/>
    </w:rPr>
  </w:style>
  <w:style w:type="paragraph" w:customStyle="1" w:styleId="Normal12Italic">
    <w:name w:val="Normal12Italic"/>
    <w:basedOn w:val="Normal12"/>
    <w:rsid w:val="009E494E"/>
    <w:rPr>
      <w:i/>
    </w:rPr>
  </w:style>
  <w:style w:type="paragraph" w:customStyle="1" w:styleId="JustificationTitle">
    <w:name w:val="JustificationTitle"/>
    <w:basedOn w:val="Normal"/>
    <w:next w:val="Normal12"/>
    <w:rsid w:val="009E494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E494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E494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E49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E494E"/>
    <w:pPr>
      <w:spacing w:before="240"/>
      <w:jc w:val="center"/>
    </w:pPr>
    <w:rPr>
      <w:i/>
    </w:rPr>
  </w:style>
  <w:style w:type="character" w:customStyle="1" w:styleId="Footer2Middle">
    <w:name w:val="Footer2Middle"/>
    <w:rsid w:val="009E494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E494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9E4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494E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9E4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E494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94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E4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E494E"/>
    <w:rPr>
      <w:b/>
      <w:bCs/>
      <w:lang w:val="pt-PT"/>
    </w:rPr>
  </w:style>
  <w:style w:type="paragraph" w:styleId="Revision">
    <w:name w:val="Revision"/>
    <w:hidden/>
    <w:uiPriority w:val="99"/>
    <w:semiHidden/>
    <w:rsid w:val="009E494E"/>
    <w:rPr>
      <w:sz w:val="24"/>
      <w:lang w:val="pt-PT"/>
    </w:rPr>
  </w:style>
  <w:style w:type="paragraph" w:customStyle="1" w:styleId="NormalCenter12a">
    <w:name w:val="NormalCenter12a"/>
    <w:basedOn w:val="Normal"/>
    <w:rsid w:val="009E494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E494E"/>
    <w:pPr>
      <w:spacing w:before="720" w:after="240"/>
      <w:jc w:val="center"/>
    </w:pPr>
  </w:style>
  <w:style w:type="paragraph" w:styleId="ListBullet4">
    <w:name w:val="List Bullet 4"/>
    <w:basedOn w:val="Normal"/>
    <w:uiPriority w:val="99"/>
    <w:rsid w:val="009E494E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9E494E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9E494E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9E494E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9E494E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9E494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E494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E494E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E494E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paragraph" w:styleId="ListBullet">
    <w:name w:val="List Bullet"/>
    <w:basedOn w:val="Normal"/>
    <w:uiPriority w:val="99"/>
    <w:rsid w:val="009E494E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9E494E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rsid w:val="009E494E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9E494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9E494E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9E494E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9E494E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9E494E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9E494E"/>
    <w:pPr>
      <w:numPr>
        <w:numId w:val="1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9E494E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9E494E"/>
    <w:pPr>
      <w:numPr>
        <w:ilvl w:val="1"/>
        <w:numId w:val="15"/>
      </w:numPr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9E494E"/>
    <w:pPr>
      <w:numPr>
        <w:ilvl w:val="1"/>
        <w:numId w:val="16"/>
      </w:numPr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9E494E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9E494E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9E494E"/>
    <w:pPr>
      <w:numPr>
        <w:ilvl w:val="2"/>
        <w:numId w:val="15"/>
      </w:numPr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9E494E"/>
    <w:pPr>
      <w:numPr>
        <w:ilvl w:val="2"/>
        <w:numId w:val="16"/>
      </w:numPr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9E494E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9E494E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9E494E"/>
    <w:pPr>
      <w:numPr>
        <w:ilvl w:val="3"/>
        <w:numId w:val="15"/>
      </w:numPr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9E494E"/>
    <w:pPr>
      <w:numPr>
        <w:ilvl w:val="3"/>
        <w:numId w:val="16"/>
      </w:numPr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9E494E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9E494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9E494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9E494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9E494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9E494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9E494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E494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9E494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9E494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9E494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9E494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9E494E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9E494E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9E494E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9E494E"/>
    <w:rPr>
      <w:vanish/>
      <w:color w:val="800080"/>
      <w:vertAlign w:val="subscript"/>
    </w:rPr>
  </w:style>
  <w:style w:type="character" w:styleId="FollowedHyperlink">
    <w:name w:val="FollowedHyperlink"/>
    <w:rsid w:val="009E494E"/>
    <w:rPr>
      <w:color w:val="800080"/>
      <w:u w:val="single"/>
    </w:rPr>
  </w:style>
  <w:style w:type="paragraph" w:customStyle="1" w:styleId="Sous-titreobjet">
    <w:name w:val="Sous-titre objet"/>
    <w:basedOn w:val="Normal"/>
    <w:rsid w:val="009E494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9E494E"/>
  </w:style>
  <w:style w:type="paragraph" w:customStyle="1" w:styleId="FooterCoverPage">
    <w:name w:val="Footer Cover Page"/>
    <w:basedOn w:val="Normal"/>
    <w:link w:val="FooterCoverPageChar"/>
    <w:rsid w:val="009E494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9E494E"/>
    <w:rPr>
      <w:rFonts w:eastAsia="Calibri"/>
      <w:sz w:val="24"/>
      <w:szCs w:val="22"/>
      <w:lang w:val="pt-PT"/>
    </w:rPr>
  </w:style>
  <w:style w:type="paragraph" w:customStyle="1" w:styleId="HeaderCoverPage">
    <w:name w:val="Header Cover Page"/>
    <w:basedOn w:val="Normal"/>
    <w:link w:val="HeaderCoverPageChar"/>
    <w:rsid w:val="009E494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9E494E"/>
    <w:rPr>
      <w:rFonts w:eastAsia="Calibri"/>
      <w:sz w:val="24"/>
      <w:szCs w:val="22"/>
      <w:lang w:val="pt-PT"/>
    </w:rPr>
  </w:style>
  <w:style w:type="paragraph" w:customStyle="1" w:styleId="paragraph">
    <w:name w:val="paragraph"/>
    <w:basedOn w:val="Normal"/>
    <w:link w:val="paragraphChar"/>
    <w:rsid w:val="009E494E"/>
    <w:pPr>
      <w:widowControl/>
      <w:spacing w:before="100" w:beforeAutospacing="1" w:after="100" w:afterAutospacing="1"/>
    </w:pPr>
    <w:rPr>
      <w:szCs w:val="24"/>
      <w:lang w:eastAsia="en-IE"/>
      <w14:ligatures w14:val="standardContextual"/>
    </w:rPr>
  </w:style>
  <w:style w:type="character" w:customStyle="1" w:styleId="normaltextrun">
    <w:name w:val="normaltextrun"/>
    <w:basedOn w:val="DefaultParagraphFont"/>
    <w:rsid w:val="009E494E"/>
  </w:style>
  <w:style w:type="character" w:customStyle="1" w:styleId="findhit">
    <w:name w:val="findhit"/>
    <w:basedOn w:val="DefaultParagraphFont"/>
    <w:rsid w:val="009E494E"/>
  </w:style>
  <w:style w:type="character" w:customStyle="1" w:styleId="eop">
    <w:name w:val="eop"/>
    <w:basedOn w:val="DefaultParagraphFont"/>
    <w:rsid w:val="009E494E"/>
  </w:style>
  <w:style w:type="paragraph" w:styleId="ListParagraph">
    <w:name w:val="List Paragraph"/>
    <w:basedOn w:val="Normal"/>
    <w:uiPriority w:val="34"/>
    <w:qFormat/>
    <w:rsid w:val="009E494E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aragraphChar">
    <w:name w:val="paragraph Char"/>
    <w:basedOn w:val="DefaultParagraphFont"/>
    <w:link w:val="paragraph"/>
    <w:rsid w:val="009E494E"/>
    <w:rPr>
      <w:sz w:val="24"/>
      <w:szCs w:val="24"/>
      <w:lang w:val="pt-PT" w:eastAsia="en-IE"/>
      <w14:ligatures w14:val="standardContextual"/>
    </w:rPr>
  </w:style>
  <w:style w:type="paragraph" w:customStyle="1" w:styleId="li">
    <w:name w:val="li"/>
    <w:basedOn w:val="Normal"/>
    <w:rsid w:val="009E494E"/>
    <w:pPr>
      <w:widowControl/>
      <w:spacing w:before="100" w:beforeAutospacing="1" w:after="100" w:afterAutospacing="1"/>
    </w:pPr>
    <w:rPr>
      <w:szCs w:val="24"/>
      <w:lang w:eastAsia="en-IE"/>
      <w14:ligatures w14:val="standardContextual"/>
    </w:rPr>
  </w:style>
  <w:style w:type="paragraph" w:customStyle="1" w:styleId="oj-normal">
    <w:name w:val="oj-normal"/>
    <w:basedOn w:val="Normal"/>
    <w:rsid w:val="009E494E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494E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9E494E"/>
    <w:pPr>
      <w:autoSpaceDE w:val="0"/>
      <w:autoSpaceDN w:val="0"/>
      <w:ind w:left="315" w:right="332"/>
      <w:jc w:val="center"/>
    </w:pPr>
    <w:rPr>
      <w:rFonts w:ascii="Cambria" w:eastAsia="Cambria" w:hAnsi="Cambria" w:cs="Cambria"/>
      <w:sz w:val="34"/>
      <w:szCs w:val="34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E494E"/>
    <w:rPr>
      <w:rFonts w:ascii="Cambria" w:eastAsia="Cambria" w:hAnsi="Cambria" w:cs="Cambria"/>
      <w:sz w:val="34"/>
      <w:szCs w:val="34"/>
      <w:lang w:val="pt-PT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9E494E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E494E"/>
    <w:rPr>
      <w:rFonts w:ascii="Cambria" w:eastAsia="Cambria" w:hAnsi="Cambria" w:cs="Cambria"/>
      <w:sz w:val="19"/>
      <w:szCs w:val="19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9E494E"/>
    <w:pPr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num">
    <w:name w:val="num"/>
    <w:basedOn w:val="DefaultParagraphFont"/>
    <w:rsid w:val="009E494E"/>
  </w:style>
  <w:style w:type="paragraph" w:customStyle="1" w:styleId="NumPar10">
    <w:name w:val="Num Par 1"/>
    <w:basedOn w:val="Text1"/>
    <w:rsid w:val="009E494E"/>
  </w:style>
  <w:style w:type="paragraph" w:customStyle="1" w:styleId="Normal1">
    <w:name w:val="Normal1"/>
    <w:basedOn w:val="Normal"/>
    <w:rsid w:val="009E494E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oj-super">
    <w:name w:val="oj-super"/>
    <w:basedOn w:val="DefaultParagraphFont"/>
    <w:rsid w:val="009E494E"/>
  </w:style>
  <w:style w:type="paragraph" w:customStyle="1" w:styleId="numpar11">
    <w:name w:val="numpar1"/>
    <w:basedOn w:val="Normal"/>
    <w:rsid w:val="009E494E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IE"/>
    </w:rPr>
  </w:style>
  <w:style w:type="paragraph" w:customStyle="1" w:styleId="Article">
    <w:name w:val="Article"/>
    <w:basedOn w:val="Text1"/>
    <w:rsid w:val="009E494E"/>
    <w:pPr>
      <w:ind w:left="0"/>
      <w:jc w:val="center"/>
    </w:pPr>
    <w:rPr>
      <w:i/>
    </w:rPr>
  </w:style>
  <w:style w:type="character" w:customStyle="1" w:styleId="cf01">
    <w:name w:val="cf01"/>
    <w:basedOn w:val="DefaultParagraphFont"/>
    <w:rsid w:val="009E494E"/>
    <w:rPr>
      <w:rFonts w:ascii="Times New Roman" w:hAnsi="Times New Roman" w:cs="Times New Roman" w:hint="default"/>
      <w:sz w:val="24"/>
      <w:szCs w:val="24"/>
    </w:rPr>
  </w:style>
  <w:style w:type="character" w:styleId="Strong">
    <w:name w:val="Strong"/>
    <w:basedOn w:val="DefaultParagraphFont"/>
    <w:uiPriority w:val="22"/>
    <w:qFormat/>
    <w:rsid w:val="009E494E"/>
    <w:rPr>
      <w:b/>
      <w:bCs/>
    </w:rPr>
  </w:style>
  <w:style w:type="paragraph" w:customStyle="1" w:styleId="Body">
    <w:name w:val="Body"/>
    <w:rsid w:val="009E494E"/>
    <w:pPr>
      <w:spacing w:before="120" w:after="120"/>
      <w:jc w:val="both"/>
    </w:pPr>
    <w:rPr>
      <w:color w:val="000000"/>
      <w:sz w:val="24"/>
      <w:szCs w:val="24"/>
      <w:u w:color="000000"/>
      <w:lang w:val="pt-PT"/>
    </w:rPr>
  </w:style>
  <w:style w:type="character" w:customStyle="1" w:styleId="ilfuvd">
    <w:name w:val="ilfuvd"/>
    <w:basedOn w:val="DefaultParagraphFont"/>
    <w:rsid w:val="009E494E"/>
  </w:style>
  <w:style w:type="character" w:customStyle="1" w:styleId="Mention1">
    <w:name w:val="Mention1"/>
    <w:basedOn w:val="DefaultParagraphFont"/>
    <w:uiPriority w:val="99"/>
    <w:unhideWhenUsed/>
    <w:rsid w:val="009E494E"/>
    <w:rPr>
      <w:color w:val="2B579A"/>
      <w:shd w:val="clear" w:color="auto" w:fill="E1DFDD"/>
    </w:rPr>
  </w:style>
  <w:style w:type="paragraph" w:customStyle="1" w:styleId="AmHeadingPA">
    <w:name w:val="AmHeadingPA"/>
    <w:basedOn w:val="Normal"/>
    <w:next w:val="Normal"/>
    <w:rsid w:val="009E494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9E494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E494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E494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E494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E494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E494E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E494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E494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E494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9E494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E494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E494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E494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E494E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E494E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E494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E494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E494E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E494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E494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E494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E494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E494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E494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9E494E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E494E"/>
    <w:pPr>
      <w:numPr>
        <w:numId w:val="21"/>
      </w:numPr>
    </w:pPr>
  </w:style>
  <w:style w:type="paragraph" w:customStyle="1" w:styleId="Tiret1">
    <w:name w:val="Tiret 1"/>
    <w:basedOn w:val="Point1"/>
    <w:rsid w:val="009E494E"/>
    <w:pPr>
      <w:numPr>
        <w:numId w:val="22"/>
      </w:numPr>
    </w:pPr>
  </w:style>
  <w:style w:type="paragraph" w:customStyle="1" w:styleId="Tiret2">
    <w:name w:val="Tiret 2"/>
    <w:basedOn w:val="Point2"/>
    <w:rsid w:val="009E494E"/>
    <w:pPr>
      <w:numPr>
        <w:numId w:val="23"/>
      </w:numPr>
    </w:pPr>
  </w:style>
  <w:style w:type="paragraph" w:customStyle="1" w:styleId="Tiret3">
    <w:name w:val="Tiret 3"/>
    <w:basedOn w:val="Point3"/>
    <w:rsid w:val="009E494E"/>
    <w:pPr>
      <w:numPr>
        <w:numId w:val="24"/>
      </w:numPr>
    </w:pPr>
  </w:style>
  <w:style w:type="paragraph" w:customStyle="1" w:styleId="Tiret4">
    <w:name w:val="Tiret 4"/>
    <w:basedOn w:val="Point4"/>
    <w:rsid w:val="009E494E"/>
    <w:pPr>
      <w:numPr>
        <w:numId w:val="25"/>
      </w:numPr>
    </w:pPr>
  </w:style>
  <w:style w:type="paragraph" w:customStyle="1" w:styleId="Tiret5">
    <w:name w:val="Tiret 5"/>
    <w:basedOn w:val="Point5"/>
    <w:rsid w:val="009E494E"/>
    <w:pPr>
      <w:numPr>
        <w:numId w:val="26"/>
      </w:numPr>
    </w:pPr>
  </w:style>
  <w:style w:type="paragraph" w:customStyle="1" w:styleId="PointDouble0">
    <w:name w:val="PointDouble 0"/>
    <w:basedOn w:val="Normal"/>
    <w:rsid w:val="009E494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E494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E494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E494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E494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E494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E494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E494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E494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E494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9E494E"/>
    <w:pPr>
      <w:widowControl/>
      <w:numPr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E494E"/>
    <w:pPr>
      <w:widowControl/>
      <w:numPr>
        <w:ilvl w:val="1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E494E"/>
    <w:pPr>
      <w:widowControl/>
      <w:numPr>
        <w:ilvl w:val="2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E494E"/>
    <w:pPr>
      <w:widowControl/>
      <w:numPr>
        <w:ilvl w:val="3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9E494E"/>
    <w:pPr>
      <w:widowControl/>
      <w:numPr>
        <w:ilvl w:val="4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E494E"/>
    <w:pPr>
      <w:widowControl/>
      <w:numPr>
        <w:ilvl w:val="5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E494E"/>
    <w:pPr>
      <w:widowControl/>
      <w:numPr>
        <w:ilvl w:val="6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E494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E494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E494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E494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E494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E494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E494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E494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E494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E494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E494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E494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E494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E494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E494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E494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E494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E494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E494E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9E494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E494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E494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E494E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E494E"/>
    <w:pPr>
      <w:widowControl/>
      <w:numPr>
        <w:ilvl w:val="2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E494E"/>
    <w:pPr>
      <w:widowControl/>
      <w:numPr>
        <w:ilvl w:val="4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E494E"/>
    <w:pPr>
      <w:widowControl/>
      <w:numPr>
        <w:ilvl w:val="6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E494E"/>
    <w:pPr>
      <w:widowControl/>
      <w:numPr>
        <w:ilvl w:val="1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E494E"/>
    <w:pPr>
      <w:widowControl/>
      <w:numPr>
        <w:ilvl w:val="3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E494E"/>
    <w:pPr>
      <w:widowControl/>
      <w:numPr>
        <w:ilvl w:val="5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E494E"/>
    <w:pPr>
      <w:widowControl/>
      <w:numPr>
        <w:ilvl w:val="7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E494E"/>
    <w:pPr>
      <w:widowControl/>
      <w:numPr>
        <w:ilvl w:val="8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E494E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E494E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E494E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E494E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E494E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E494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E494E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E494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E494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E494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E494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E494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E494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E494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E494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E494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E494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E494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E494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E494E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E494E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E494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E494E"/>
    <w:pPr>
      <w:widowControl/>
      <w:numPr>
        <w:numId w:val="2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E494E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E494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E494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E494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E494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E494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E494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E494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E494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E494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E494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E494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E494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E494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E494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9E494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E494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E494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E494E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E494E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E494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E494E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E494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E494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E494E"/>
  </w:style>
  <w:style w:type="paragraph" w:customStyle="1" w:styleId="StatutPagedecouverture">
    <w:name w:val="Statut (Page de couverture)"/>
    <w:basedOn w:val="Statut"/>
    <w:next w:val="TypedudocumentPagedecouverture"/>
    <w:rsid w:val="009E494E"/>
  </w:style>
  <w:style w:type="paragraph" w:customStyle="1" w:styleId="TitreobjetPagedecouverture">
    <w:name w:val="Titre objet (Page de couverture)"/>
    <w:basedOn w:val="Titreobjet"/>
    <w:next w:val="IntrtEEEPagedecouverture"/>
    <w:rsid w:val="009E494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E494E"/>
  </w:style>
  <w:style w:type="paragraph" w:customStyle="1" w:styleId="Volume">
    <w:name w:val="Volume"/>
    <w:basedOn w:val="Normal"/>
    <w:next w:val="Confidentialit"/>
    <w:rsid w:val="009E494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E494E"/>
    <w:pPr>
      <w:spacing w:after="240"/>
    </w:pPr>
  </w:style>
  <w:style w:type="paragraph" w:customStyle="1" w:styleId="Accompagnant">
    <w:name w:val="Accompagnant"/>
    <w:basedOn w:val="Normal"/>
    <w:next w:val="Typeacteprincipal"/>
    <w:rsid w:val="009E494E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E494E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E494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E494E"/>
  </w:style>
  <w:style w:type="paragraph" w:customStyle="1" w:styleId="AccompagnantPagedecouverture">
    <w:name w:val="Accompagnant (Page de couverture)"/>
    <w:basedOn w:val="Accompagnant"/>
    <w:next w:val="TypeacteprincipalPagedecouverture"/>
    <w:rsid w:val="009E494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E494E"/>
  </w:style>
  <w:style w:type="paragraph" w:customStyle="1" w:styleId="ObjetacteprincipalPagedecouverture">
    <w:name w:val="Objet acte principal (Page de couverture)"/>
    <w:basedOn w:val="Objetacteprincipal"/>
    <w:next w:val="Rfrencecroise"/>
    <w:rsid w:val="009E494E"/>
  </w:style>
  <w:style w:type="paragraph" w:customStyle="1" w:styleId="LanguesfaisantfoiPagedecouverture">
    <w:name w:val="Langues faisant foi (Page de couverture)"/>
    <w:basedOn w:val="Normal"/>
    <w:next w:val="Normal"/>
    <w:rsid w:val="009E494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E494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E494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9E494E"/>
    <w:pPr>
      <w:spacing w:after="240"/>
    </w:pPr>
  </w:style>
  <w:style w:type="paragraph" w:customStyle="1" w:styleId="PageHeadingNotTOC">
    <w:name w:val="PageHeadingNotTOC"/>
    <w:basedOn w:val="Normal"/>
    <w:rsid w:val="009E49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9E494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E494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E494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E494E"/>
    <w:pPr>
      <w:spacing w:before="120" w:after="120"/>
    </w:pPr>
    <w:rPr>
      <w:snapToGrid w:val="0"/>
      <w:sz w:val="16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E494E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9E494E"/>
    <w:rPr>
      <w:b/>
      <w:sz w:val="24"/>
      <w:lang w:val="pt-PT"/>
    </w:rPr>
  </w:style>
  <w:style w:type="paragraph" w:customStyle="1" w:styleId="SUPERSCharCharCharCharCharCharCharChar">
    <w:name w:val="SUPERS Char Char Char Char Char Char Char Char"/>
    <w:aliases w:val="Footnote Reference Number Tegn Char Char Char Char Char Char Char Char Char,SUPERS Tegn Char Char Char Char Char Char Char Char Char"/>
    <w:basedOn w:val="Normal"/>
    <w:link w:val="FootnoteReference"/>
    <w:autoRedefine/>
    <w:rsid w:val="009E494E"/>
    <w:pPr>
      <w:widowControl/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rsid w:val="009E49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494E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810FA7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C24B46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C24B46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C24B46"/>
  </w:style>
  <w:style w:type="paragraph" w:customStyle="1" w:styleId="NormalJustified">
    <w:name w:val="Normal Justified"/>
    <w:basedOn w:val="Normal"/>
    <w:rsid w:val="00C24B4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24B4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24B4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24B4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24B4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24B4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C24B4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24B4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24B4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24B4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24B4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24B4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24B4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24B4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24B4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24B4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24B46"/>
    <w:pPr>
      <w:widowControl/>
      <w:numPr>
        <w:ilvl w:val="1"/>
        <w:numId w:val="4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24B46"/>
    <w:pPr>
      <w:widowControl/>
      <w:numPr>
        <w:ilvl w:val="3"/>
        <w:numId w:val="43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24B46"/>
    <w:pPr>
      <w:widowControl/>
      <w:numPr>
        <w:ilvl w:val="5"/>
        <w:numId w:val="43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24B46"/>
    <w:pPr>
      <w:widowControl/>
      <w:numPr>
        <w:ilvl w:val="7"/>
        <w:numId w:val="43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24B46"/>
    <w:pPr>
      <w:widowControl/>
      <w:numPr>
        <w:ilvl w:val="8"/>
        <w:numId w:val="43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24B46"/>
    <w:pPr>
      <w:widowControl/>
      <w:numPr>
        <w:numId w:val="4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24B46"/>
    <w:pPr>
      <w:widowControl/>
      <w:numPr>
        <w:ilvl w:val="2"/>
        <w:numId w:val="43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24B46"/>
    <w:pPr>
      <w:widowControl/>
      <w:numPr>
        <w:ilvl w:val="4"/>
        <w:numId w:val="43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24B46"/>
    <w:pPr>
      <w:widowControl/>
      <w:numPr>
        <w:ilvl w:val="6"/>
        <w:numId w:val="43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24B46"/>
    <w:pPr>
      <w:widowControl/>
      <w:numPr>
        <w:numId w:val="44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24B46"/>
    <w:pPr>
      <w:widowControl/>
      <w:numPr>
        <w:ilvl w:val="1"/>
        <w:numId w:val="44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24B46"/>
    <w:pPr>
      <w:widowControl/>
      <w:numPr>
        <w:ilvl w:val="2"/>
        <w:numId w:val="44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24B46"/>
    <w:pPr>
      <w:widowControl/>
      <w:numPr>
        <w:ilvl w:val="3"/>
        <w:numId w:val="44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24B46"/>
    <w:pPr>
      <w:widowControl/>
      <w:numPr>
        <w:ilvl w:val="4"/>
        <w:numId w:val="44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24B46"/>
    <w:pPr>
      <w:widowControl/>
      <w:numPr>
        <w:numId w:val="42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24B46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24B46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24B46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24B46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24B46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24B46"/>
    <w:pPr>
      <w:numPr>
        <w:numId w:val="37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C24B46"/>
    <w:pPr>
      <w:numPr>
        <w:numId w:val="38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C24B46"/>
    <w:pPr>
      <w:numPr>
        <w:numId w:val="39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C24B46"/>
    <w:pPr>
      <w:numPr>
        <w:numId w:val="40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C24B46"/>
    <w:pPr>
      <w:numPr>
        <w:numId w:val="41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C24B4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24B46"/>
    <w:pPr>
      <w:numPr>
        <w:numId w:val="47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C24B46"/>
    <w:pPr>
      <w:numPr>
        <w:numId w:val="46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24B46"/>
    <w:pPr>
      <w:numPr>
        <w:numId w:val="45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C24B46"/>
    <w:pPr>
      <w:jc w:val="center"/>
    </w:pPr>
  </w:style>
  <w:style w:type="paragraph" w:customStyle="1" w:styleId="Jardin">
    <w:name w:val="Jardin"/>
    <w:basedOn w:val="Normal"/>
    <w:rsid w:val="00C24B4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24B4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24B4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24B4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24B46"/>
    <w:rPr>
      <w:b/>
    </w:rPr>
  </w:style>
  <w:style w:type="paragraph" w:customStyle="1" w:styleId="Annex">
    <w:name w:val="Annex"/>
    <w:basedOn w:val="Normal"/>
    <w:next w:val="Normal"/>
    <w:rsid w:val="00C24B4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24B4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24B4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24B4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24B4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24B4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24B46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C24B46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C24B4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24B4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24B4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24B4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C24B46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C24B4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C24B4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24B46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SubjectTable">
    <w:name w:val="TBSubjectTable"/>
    <w:basedOn w:val="TechnicalBlockBase"/>
    <w:rsid w:val="00C24B4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C24B4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C24B4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24B46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24B46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paragraph" w:customStyle="1" w:styleId="HeaderCouncilLarge">
    <w:name w:val="Header Council Large"/>
    <w:basedOn w:val="Normal"/>
    <w:link w:val="HeaderCouncilLargeChar"/>
    <w:rsid w:val="00C24B46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C24B46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pt-PT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C24B46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pt-PT" w:eastAsia="fr-BE"/>
    </w:rPr>
  </w:style>
  <w:style w:type="paragraph" w:customStyle="1" w:styleId="FooterText">
    <w:name w:val="Footer Text"/>
    <w:basedOn w:val="Normal"/>
    <w:rsid w:val="00C24B4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24B46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C24B46"/>
    <w:pPr>
      <w:keepNext/>
      <w:widowControl/>
      <w:numPr>
        <w:numId w:val="51"/>
      </w:numPr>
      <w:tabs>
        <w:tab w:val="left" w:pos="850"/>
      </w:tabs>
      <w:spacing w:before="360" w:after="120" w:line="360" w:lineRule="auto"/>
      <w:outlineLvl w:val="0"/>
    </w:pPr>
    <w:rPr>
      <w:b/>
      <w:smallCaps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C24B46"/>
    <w:pPr>
      <w:keepNext/>
      <w:widowControl/>
      <w:numPr>
        <w:ilvl w:val="1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C24B46"/>
    <w:pPr>
      <w:keepNext/>
      <w:widowControl/>
      <w:numPr>
        <w:ilvl w:val="2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C24B46"/>
    <w:pPr>
      <w:keepNext/>
      <w:widowControl/>
      <w:numPr>
        <w:ilvl w:val="3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C24B46"/>
    <w:pPr>
      <w:keepNext/>
      <w:widowControl/>
      <w:numPr>
        <w:ilvl w:val="4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C24B46"/>
    <w:pPr>
      <w:keepNext/>
      <w:widowControl/>
      <w:numPr>
        <w:ilvl w:val="5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C24B46"/>
    <w:pPr>
      <w:keepNext/>
      <w:widowControl/>
      <w:numPr>
        <w:ilvl w:val="6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character" w:customStyle="1" w:styleId="Heading1Char1">
    <w:name w:val="Heading 1 Char1"/>
    <w:basedOn w:val="DefaultParagraphFont"/>
    <w:uiPriority w:val="9"/>
    <w:rsid w:val="00C24B46"/>
    <w:rPr>
      <w:rFonts w:ascii="Arial" w:hAnsi="Arial"/>
      <w:b/>
      <w:kern w:val="28"/>
      <w:sz w:val="28"/>
      <w:lang w:val="pt-PT"/>
    </w:rPr>
  </w:style>
  <w:style w:type="paragraph" w:customStyle="1" w:styleId="Text7">
    <w:name w:val="Text 7"/>
    <w:basedOn w:val="Normal"/>
    <w:rsid w:val="00C24B4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24B4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24B4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24B4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24B4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24B4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24B4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24B4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24B4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24B4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24B46"/>
    <w:pPr>
      <w:widowControl/>
      <w:numPr>
        <w:numId w:val="48"/>
      </w:numPr>
      <w:tabs>
        <w:tab w:val="clear" w:pos="4252"/>
        <w:tab w:val="num" w:pos="1134"/>
        <w:tab w:val="num" w:pos="1701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24B46"/>
    <w:pPr>
      <w:widowControl/>
      <w:numPr>
        <w:numId w:val="49"/>
      </w:numPr>
      <w:tabs>
        <w:tab w:val="clear" w:pos="4819"/>
        <w:tab w:val="num" w:pos="1701"/>
        <w:tab w:val="num" w:pos="2268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24B46"/>
    <w:pPr>
      <w:widowControl/>
      <w:numPr>
        <w:numId w:val="50"/>
      </w:numPr>
      <w:tabs>
        <w:tab w:val="clear" w:pos="5386"/>
        <w:tab w:val="num" w:pos="2268"/>
        <w:tab w:val="num" w:pos="283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24B46"/>
    <w:pPr>
      <w:widowControl/>
      <w:numPr>
        <w:numId w:val="52"/>
      </w:numPr>
      <w:tabs>
        <w:tab w:val="clear" w:pos="3685"/>
        <w:tab w:val="num" w:pos="567"/>
        <w:tab w:val="num" w:pos="283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24B46"/>
    <w:pPr>
      <w:widowControl/>
      <w:numPr>
        <w:numId w:val="53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24B46"/>
    <w:pPr>
      <w:widowControl/>
      <w:numPr>
        <w:numId w:val="5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24B46"/>
    <w:pPr>
      <w:widowControl/>
      <w:numPr>
        <w:numId w:val="55"/>
      </w:numPr>
      <w:tabs>
        <w:tab w:val="clear" w:pos="5386"/>
        <w:tab w:val="num" w:pos="56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24B4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24B4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C24B4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24B4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24B4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24B4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24B4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24B4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24B4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24B4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24B4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24B46"/>
    <w:pPr>
      <w:spacing w:before="240"/>
    </w:pPr>
  </w:style>
  <w:style w:type="paragraph" w:customStyle="1" w:styleId="Accordtitre">
    <w:name w:val="Accord titre"/>
    <w:basedOn w:val="Normal"/>
    <w:rsid w:val="00C24B4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24B4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24B4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24B4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24B4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24B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24B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24B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24B4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24B4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24B4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24B4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24B4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24B4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24B4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24B4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24B4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24B4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24B4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24B4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24B4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24B4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24B4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24B4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24B4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24B4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24B4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24B4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24B4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24B4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24B4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24B4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C24B4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24B46"/>
    <w:pPr>
      <w:pBdr>
        <w:top w:val="none" w:sz="0" w:space="0" w:color="auto"/>
        <w:left w:val="single" w:sz="4" w:space="20" w:color="auto"/>
      </w:pBdr>
    </w:pPr>
  </w:style>
  <w:style w:type="character" w:customStyle="1" w:styleId="Heading2Char1">
    <w:name w:val="Heading 2 Char1"/>
    <w:basedOn w:val="DefaultParagraphFont"/>
    <w:uiPriority w:val="9"/>
    <w:semiHidden/>
    <w:rsid w:val="00C24B46"/>
    <w:rPr>
      <w:rFonts w:ascii="Cambria" w:eastAsia="Times New Roman" w:hAnsi="Cambria" w:cs="Times New Roman"/>
      <w:color w:val="365F91"/>
      <w:sz w:val="26"/>
      <w:szCs w:val="26"/>
      <w:lang w:val="pt-PT"/>
    </w:rPr>
  </w:style>
  <w:style w:type="character" w:customStyle="1" w:styleId="Heading3Char1">
    <w:name w:val="Heading 3 Char1"/>
    <w:basedOn w:val="DefaultParagraphFont"/>
    <w:uiPriority w:val="9"/>
    <w:semiHidden/>
    <w:rsid w:val="00C24B46"/>
    <w:rPr>
      <w:rFonts w:ascii="Cambria" w:eastAsia="Times New Roman" w:hAnsi="Cambria" w:cs="Times New Roman"/>
      <w:color w:val="243F60"/>
      <w:sz w:val="24"/>
      <w:szCs w:val="24"/>
      <w:lang w:val="pt-PT"/>
    </w:rPr>
  </w:style>
  <w:style w:type="character" w:customStyle="1" w:styleId="Heading4Char1">
    <w:name w:val="Heading 4 Char1"/>
    <w:basedOn w:val="DefaultParagraphFont"/>
    <w:uiPriority w:val="9"/>
    <w:semiHidden/>
    <w:rsid w:val="00C24B46"/>
    <w:rPr>
      <w:rFonts w:ascii="Cambria" w:eastAsia="Times New Roman" w:hAnsi="Cambria" w:cs="Times New Roman"/>
      <w:i/>
      <w:iCs/>
      <w:color w:val="365F91"/>
      <w:sz w:val="24"/>
      <w:lang w:val="pt-PT"/>
    </w:rPr>
  </w:style>
  <w:style w:type="character" w:customStyle="1" w:styleId="Heading5Char1">
    <w:name w:val="Heading 5 Char1"/>
    <w:basedOn w:val="DefaultParagraphFont"/>
    <w:uiPriority w:val="9"/>
    <w:semiHidden/>
    <w:rsid w:val="00C24B46"/>
    <w:rPr>
      <w:rFonts w:ascii="Cambria" w:eastAsia="Times New Roman" w:hAnsi="Cambria" w:cs="Times New Roman"/>
      <w:color w:val="365F91"/>
      <w:sz w:val="24"/>
      <w:lang w:val="pt-PT"/>
    </w:rPr>
  </w:style>
  <w:style w:type="character" w:customStyle="1" w:styleId="Heading6Char1">
    <w:name w:val="Heading 6 Char1"/>
    <w:basedOn w:val="DefaultParagraphFont"/>
    <w:uiPriority w:val="9"/>
    <w:semiHidden/>
    <w:rsid w:val="00C24B46"/>
    <w:rPr>
      <w:rFonts w:ascii="Cambria" w:eastAsia="Times New Roman" w:hAnsi="Cambria" w:cs="Times New Roman"/>
      <w:color w:val="243F60"/>
      <w:sz w:val="24"/>
      <w:lang w:val="pt-PT"/>
    </w:rPr>
  </w:style>
  <w:style w:type="character" w:customStyle="1" w:styleId="Heading7Char1">
    <w:name w:val="Heading 7 Char1"/>
    <w:basedOn w:val="DefaultParagraphFont"/>
    <w:uiPriority w:val="9"/>
    <w:semiHidden/>
    <w:rsid w:val="00C24B46"/>
    <w:rPr>
      <w:rFonts w:ascii="Cambria" w:eastAsia="Times New Roman" w:hAnsi="Cambria" w:cs="Times New Roman"/>
      <w:i/>
      <w:iCs/>
      <w:color w:val="243F60"/>
      <w:sz w:val="24"/>
      <w:lang w:val="pt-PT"/>
    </w:rPr>
  </w:style>
  <w:style w:type="character" w:customStyle="1" w:styleId="Hyperlink1">
    <w:name w:val="Hyperlink1"/>
    <w:basedOn w:val="DefaultParagraphFont"/>
    <w:uiPriority w:val="99"/>
    <w:unhideWhenUsed/>
    <w:rsid w:val="00C24B46"/>
    <w:rPr>
      <w:rFonts w:ascii="Times New Roman" w:hAnsi="Times New Roman"/>
      <w:color w:val="0000FF"/>
      <w:sz w:val="24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24B4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8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705/oj" TargetMode="External"/><Relationship Id="rId2" Type="http://schemas.openxmlformats.org/officeDocument/2006/relationships/hyperlink" Target="http://data.europa.eu/eli/C/2024/4662/oj" TargetMode="External"/><Relationship Id="rId1" Type="http://schemas.openxmlformats.org/officeDocument/2006/relationships/hyperlink" Target="http://data.europa.eu/eli/C/2025/805/oj" TargetMode="External"/><Relationship Id="rId6" Type="http://schemas.openxmlformats.org/officeDocument/2006/relationships/hyperlink" Target="http://data.europa.eu/eli/reg/2025/2643/oj" TargetMode="External"/><Relationship Id="rId5" Type="http://schemas.openxmlformats.org/officeDocument/2006/relationships/hyperlink" Target="http://data.europa.eu/eli/reg/2025/2643/oj" TargetMode="External"/><Relationship Id="rId4" Type="http://schemas.openxmlformats.org/officeDocument/2006/relationships/hyperlink" Target="http://data.europa.eu/eli/reg/2025/26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1225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2026-02-03T09:18:00Z</dcterms:created>
  <dcterms:modified xsi:type="dcterms:W3CDTF">2026-02-03T09:18:00Z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P10_TA(2025)0281_</vt:lpwstr>
  </property>
  <property fmtid="{D5CDD505-2E9C-101B-9397-08002B2CF9AE}" pid="4" name="&lt;Type&gt;">
    <vt:lpwstr>RR</vt:lpwstr>
  </property>
</Properties>
</file>