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56C" w14:paraId="17EA55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C94AAC" w14:textId="77777777" w:rsidR="00751A4A" w:rsidRPr="00EE556C" w:rsidRDefault="00FF4018" w:rsidP="0010095E">
            <w:pPr>
              <w:pStyle w:val="EPName"/>
            </w:pPr>
            <w:r w:rsidRPr="00EE556C">
              <w:t>Európsky parlament</w:t>
            </w:r>
          </w:p>
          <w:p w14:paraId="52429368" w14:textId="77777777" w:rsidR="00751A4A" w:rsidRPr="00EE55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556C">
              <w:t>2024</w:t>
            </w:r>
            <w:r w:rsidR="00817416" w:rsidRPr="00EE556C">
              <w:t>-202</w:t>
            </w:r>
            <w:r w:rsidRPr="00EE556C">
              <w:t>9</w:t>
            </w:r>
          </w:p>
        </w:tc>
        <w:tc>
          <w:tcPr>
            <w:tcW w:w="2268" w:type="dxa"/>
            <w:shd w:val="clear" w:color="auto" w:fill="auto"/>
          </w:tcPr>
          <w:p w14:paraId="5F1DDE69" w14:textId="77777777" w:rsidR="00751A4A" w:rsidRPr="00EE556C" w:rsidRDefault="00187494" w:rsidP="0010095E">
            <w:pPr>
              <w:pStyle w:val="EPLogo"/>
            </w:pPr>
            <w:r w:rsidRPr="00EE556C">
              <w:rPr>
                <w:noProof/>
                <w:lang w:eastAsia="ja-JP"/>
              </w:rPr>
              <w:drawing>
                <wp:inline distT="0" distB="0" distL="0" distR="0" wp14:anchorId="1AF380C0" wp14:editId="0A9F0F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17758" w14:textId="77777777" w:rsidR="00D058B8" w:rsidRPr="00EE556C" w:rsidRDefault="00D058B8" w:rsidP="004C5D52">
      <w:pPr>
        <w:pStyle w:val="LineTop"/>
      </w:pPr>
    </w:p>
    <w:p w14:paraId="317C39CB" w14:textId="77777777" w:rsidR="00680577" w:rsidRPr="00EE556C" w:rsidRDefault="00FF4018" w:rsidP="00680577">
      <w:pPr>
        <w:pStyle w:val="EPBodyTA1"/>
      </w:pPr>
      <w:r w:rsidRPr="00EE556C">
        <w:t>PRIJATÉ TEXTY</w:t>
      </w:r>
    </w:p>
    <w:p w14:paraId="05C1FDE3" w14:textId="77777777" w:rsidR="00D058B8" w:rsidRPr="00EE556C" w:rsidRDefault="00D058B8" w:rsidP="00D058B8">
      <w:pPr>
        <w:pStyle w:val="LineBottom"/>
      </w:pPr>
    </w:p>
    <w:p w14:paraId="7E359878" w14:textId="4D4AF7C0" w:rsidR="00FF4018" w:rsidRPr="00EE556C" w:rsidRDefault="00FF4018" w:rsidP="00FF4018">
      <w:pPr>
        <w:pStyle w:val="ATHeading1"/>
      </w:pPr>
      <w:bookmarkStart w:id="0" w:name="TANumber"/>
      <w:r w:rsidRPr="00EE556C">
        <w:t>P10_TA(2025)0</w:t>
      </w:r>
      <w:r w:rsidR="00EE556C" w:rsidRPr="00EE556C">
        <w:t>281</w:t>
      </w:r>
      <w:bookmarkEnd w:id="0"/>
    </w:p>
    <w:p w14:paraId="69273DD6" w14:textId="00339FC7" w:rsidR="00FF4018" w:rsidRPr="00EE556C" w:rsidRDefault="00FF4018" w:rsidP="00FF4018">
      <w:pPr>
        <w:pStyle w:val="ATHeading2"/>
      </w:pPr>
      <w:bookmarkStart w:id="1" w:name="title"/>
      <w:r w:rsidRPr="00EE556C">
        <w:t>Program pre európsky obranný priemysel a rámec opatrení na zabezpečenie včasnej dostupnosti a dodávok výrobkov obranného priemyslu (</w:t>
      </w:r>
      <w:r w:rsidR="00526344" w:rsidRPr="00EE556C">
        <w:t>„</w:t>
      </w:r>
      <w:r w:rsidRPr="00EE556C">
        <w:t>EDIP</w:t>
      </w:r>
      <w:r w:rsidR="00526344" w:rsidRPr="00EE556C">
        <w:t>“</w:t>
      </w:r>
      <w:r w:rsidR="009D7B25" w:rsidRPr="00EE556C">
        <w:t>)</w:t>
      </w:r>
      <w:bookmarkEnd w:id="1"/>
    </w:p>
    <w:p w14:paraId="217C1987" w14:textId="77777777" w:rsidR="00FF4018" w:rsidRPr="00EE556C" w:rsidRDefault="00FF4018" w:rsidP="00FF4018">
      <w:pPr>
        <w:rPr>
          <w:i/>
          <w:vanish/>
        </w:rPr>
      </w:pPr>
      <w:r w:rsidRPr="00EE556C">
        <w:rPr>
          <w:i/>
        </w:rPr>
        <w:fldChar w:fldCharType="begin"/>
      </w:r>
      <w:r w:rsidRPr="00EE556C">
        <w:rPr>
          <w:i/>
        </w:rPr>
        <w:instrText xml:space="preserve"> TC"(</w:instrText>
      </w:r>
      <w:bookmarkStart w:id="2" w:name="DocNumber"/>
      <w:r w:rsidRPr="00EE556C">
        <w:rPr>
          <w:i/>
        </w:rPr>
        <w:instrText>A10-0084/2025</w:instrText>
      </w:r>
      <w:bookmarkEnd w:id="2"/>
      <w:r w:rsidRPr="00EE556C">
        <w:rPr>
          <w:i/>
        </w:rPr>
        <w:instrText xml:space="preserve"> - Spravodajcovia: Raphaël Glucksmann, François-Xavier Bellamy)"\l3 \n&gt; \* MERGEFORMAT </w:instrText>
      </w:r>
      <w:r w:rsidRPr="00EE556C">
        <w:rPr>
          <w:i/>
        </w:rPr>
        <w:fldChar w:fldCharType="end"/>
      </w:r>
    </w:p>
    <w:p w14:paraId="30EC2144" w14:textId="77777777" w:rsidR="00FF4018" w:rsidRPr="00EE556C" w:rsidRDefault="00FF4018" w:rsidP="00FF4018">
      <w:pPr>
        <w:rPr>
          <w:vanish/>
        </w:rPr>
      </w:pPr>
      <w:bookmarkStart w:id="3" w:name="Commission"/>
      <w:r w:rsidRPr="00EE556C">
        <w:rPr>
          <w:vanish/>
        </w:rPr>
        <w:t>Výbor pre bezpečnosť a obranu, Výbor pre priemysel, výskum a energetiku</w:t>
      </w:r>
      <w:bookmarkEnd w:id="3"/>
    </w:p>
    <w:p w14:paraId="6DC503A5" w14:textId="77777777" w:rsidR="00FF4018" w:rsidRPr="00EE556C" w:rsidRDefault="00FF4018" w:rsidP="00FF4018">
      <w:pPr>
        <w:rPr>
          <w:vanish/>
        </w:rPr>
      </w:pPr>
      <w:bookmarkStart w:id="4" w:name="PE"/>
      <w:r w:rsidRPr="00EE556C">
        <w:rPr>
          <w:vanish/>
        </w:rPr>
        <w:t>PE771.828</w:t>
      </w:r>
      <w:bookmarkEnd w:id="4"/>
    </w:p>
    <w:p w14:paraId="3A29B7E5" w14:textId="405C669E" w:rsidR="00FF4018" w:rsidRPr="00EE556C" w:rsidRDefault="00FF4018" w:rsidP="00FF4018">
      <w:pPr>
        <w:pStyle w:val="ATHeading3"/>
      </w:pPr>
      <w:bookmarkStart w:id="5" w:name="Sujet"/>
      <w:r w:rsidRPr="00EE556C">
        <w:t>Legislatívne uznesenie Európskeho parlamentu z</w:t>
      </w:r>
      <w:r w:rsidR="008E5F24" w:rsidRPr="00EE556C">
        <w:t> 25</w:t>
      </w:r>
      <w:r w:rsidRPr="00EE556C">
        <w:t>. novembra 2025 o návrhu nariadenia Európskeho parlamentu a Rady, ktorým sa zriaďuje Program pre európsky obranný priemysel a rámec opatrení na zabezpečenie včasnej dostupnosti a dodávok výrobkov obranného priemyslu (ďalej len „EDIP“)</w:t>
      </w:r>
      <w:bookmarkEnd w:id="5"/>
      <w:r w:rsidRPr="00EE556C">
        <w:t xml:space="preserve"> </w:t>
      </w:r>
      <w:bookmarkStart w:id="6" w:name="References"/>
      <w:r w:rsidRPr="00EE556C">
        <w:t>(COM(2024)0150 – C10-0005/2024 – 2024/0061(COD))</w:t>
      </w:r>
      <w:bookmarkEnd w:id="6"/>
    </w:p>
    <w:p w14:paraId="3D11CED7" w14:textId="77777777" w:rsidR="00F44FCB" w:rsidRPr="00EE556C" w:rsidRDefault="00F44FCB" w:rsidP="00F44FCB">
      <w:pPr>
        <w:pStyle w:val="NormalBold"/>
      </w:pPr>
      <w:r w:rsidRPr="00EE556C">
        <w:t>(Riadny legislatívny postup: prvé čítanie)</w:t>
      </w:r>
    </w:p>
    <w:p w14:paraId="6F38E46C" w14:textId="77777777" w:rsidR="00F44FCB" w:rsidRPr="00EE556C" w:rsidRDefault="00F44FCB" w:rsidP="00F44FCB">
      <w:pPr>
        <w:pStyle w:val="EPComma"/>
      </w:pPr>
      <w:r w:rsidRPr="00EE556C">
        <w:rPr>
          <w:i/>
          <w:iCs/>
        </w:rPr>
        <w:t>Európsky parlament</w:t>
      </w:r>
      <w:r w:rsidRPr="00EE556C">
        <w:t>,</w:t>
      </w:r>
    </w:p>
    <w:p w14:paraId="749FE6A9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návrh Komisie pre Európsky parlament a Radu (COM(2024)0150),</w:t>
      </w:r>
    </w:p>
    <w:p w14:paraId="3560E319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článok 294 ods. 2 a článok 114 ods. 1, článok 173 ods. 3, článok 212 ods. 2 a článok 322 ods. 1 Zmluvy o fungovaní Európskej únie, v súlade s ktorými Komisia predložila návrh Európskemu parlamentu (C10-0005/2024),</w:t>
      </w:r>
    </w:p>
    <w:p w14:paraId="60F4F9BE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článok 294 ods. 3 Zmluvy o fungovaní Európskej únie,</w:t>
      </w:r>
    </w:p>
    <w:p w14:paraId="311DC8B0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rozpočtové posúdenie Výborom pre rozpočet,</w:t>
      </w:r>
    </w:p>
    <w:p w14:paraId="0EAE2F32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stanovisko Európskeho dvora audítorov z 31. januára 2025</w:t>
      </w:r>
      <w:r w:rsidRPr="00EE556C">
        <w:rPr>
          <w:rStyle w:val="FootnoteReference"/>
        </w:rPr>
        <w:footnoteReference w:id="1"/>
      </w:r>
      <w:r w:rsidRPr="00EE556C">
        <w:t>,</w:t>
      </w:r>
    </w:p>
    <w:p w14:paraId="4B553D26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stanovisko Európskeho hospodárskeho a sociálneho výboru z 30. mája 2024</w:t>
      </w:r>
      <w:r w:rsidRPr="00EE556C">
        <w:rPr>
          <w:rStyle w:val="FootnoteReference"/>
        </w:rPr>
        <w:footnoteReference w:id="2"/>
      </w:r>
      <w:r w:rsidRPr="00EE556C">
        <w:t>,</w:t>
      </w:r>
    </w:p>
    <w:p w14:paraId="2017A62F" w14:textId="67D073D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stanovisko Výboru regiónov z 20. februára 2025</w:t>
      </w:r>
      <w:r w:rsidRPr="00EE556C">
        <w:rPr>
          <w:rStyle w:val="FootnoteReference"/>
        </w:rPr>
        <w:footnoteReference w:id="3"/>
      </w:r>
      <w:r w:rsidRPr="00EE556C">
        <w:t>,</w:t>
      </w:r>
    </w:p>
    <w:p w14:paraId="2AAE142C" w14:textId="670ACADF" w:rsidR="008E5F24" w:rsidRPr="00EE556C" w:rsidRDefault="008E5F24" w:rsidP="008E5F24">
      <w:pPr>
        <w:pStyle w:val="NormalHanging12a"/>
      </w:pPr>
      <w:r w:rsidRPr="00EE556C">
        <w:t>–</w:t>
      </w:r>
      <w:r w:rsidRPr="00EE556C">
        <w:tab/>
      </w:r>
      <w:r w:rsidR="00F30A7B" w:rsidRPr="00EE556C">
        <w:t xml:space="preserve">so zreteľom na predbežnú dohodu schválenú gestorskými výbormi podľa článku 75 ods. 4 rokovacieho poriadku, a na záväzok zástupcu Rady, vyjadrený v liste zo 17. októbra </w:t>
      </w:r>
      <w:r w:rsidR="00F30A7B" w:rsidRPr="00EE556C">
        <w:lastRenderedPageBreak/>
        <w:t>2025, schváliť pozíciu Európskeho parlamentu v súlade s článkom 294 ods. 4 Zmluvy o fungovaní Európskej únie,</w:t>
      </w:r>
    </w:p>
    <w:p w14:paraId="464F2893" w14:textId="6094EFB1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články 60 a</w:t>
      </w:r>
      <w:r w:rsidR="00A42E8A" w:rsidRPr="00EE556C">
        <w:t> </w:t>
      </w:r>
      <w:r w:rsidRPr="00EE556C">
        <w:t>170</w:t>
      </w:r>
      <w:r w:rsidR="00A42E8A" w:rsidRPr="00EE556C">
        <w:t xml:space="preserve"> a</w:t>
      </w:r>
      <w:r w:rsidRPr="00EE556C">
        <w:t xml:space="preserve"> </w:t>
      </w:r>
      <w:r w:rsidR="00A8300A" w:rsidRPr="00EE556C">
        <w:t xml:space="preserve">článok </w:t>
      </w:r>
      <w:r w:rsidRPr="00EE556C">
        <w:t>58 rokovacieho poriadku,</w:t>
      </w:r>
    </w:p>
    <w:p w14:paraId="6CD43F5C" w14:textId="5E7CA1C3" w:rsidR="00F30A7B" w:rsidRPr="00EE556C" w:rsidRDefault="00F30A7B" w:rsidP="00F44FCB">
      <w:pPr>
        <w:pStyle w:val="NormalHanging12a"/>
      </w:pPr>
      <w:r w:rsidRPr="00EE556C">
        <w:t>–</w:t>
      </w:r>
      <w:r w:rsidRPr="00EE556C">
        <w:tab/>
        <w:t>so zreteľom na spoločné rokovania Výboru pre bezpečnosť a obranu a Výboru pre priemysel, výskum a energetiku podľa článku 59 rokovacieho poriadku,</w:t>
      </w:r>
    </w:p>
    <w:p w14:paraId="65D45E86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stanoviská Výboru pre zahraničné veci, Výboru pre kontrolu rozpočtu a Výboru pre vnútorný trh a ochranu spotrebiteľa,</w:t>
      </w:r>
    </w:p>
    <w:p w14:paraId="1F3B33B1" w14:textId="77777777" w:rsidR="00F44FCB" w:rsidRPr="00EE556C" w:rsidRDefault="00F44FCB" w:rsidP="00F44FCB">
      <w:pPr>
        <w:pStyle w:val="NormalHanging12a"/>
      </w:pPr>
      <w:r w:rsidRPr="00EE556C">
        <w:t>–</w:t>
      </w:r>
      <w:r w:rsidRPr="00EE556C">
        <w:tab/>
        <w:t>so zreteľom na správu Výboru pre bezpečnosť a obranu a Výboru pre priemysel, výskum a energetiku (A10-0084/2025),</w:t>
      </w:r>
    </w:p>
    <w:p w14:paraId="3D3ACE30" w14:textId="77777777" w:rsidR="00F44FCB" w:rsidRPr="00EE556C" w:rsidRDefault="00F44FCB" w:rsidP="00F44FCB">
      <w:pPr>
        <w:pStyle w:val="NormalHanging12a"/>
      </w:pPr>
      <w:r w:rsidRPr="00EE556C">
        <w:t>1.</w:t>
      </w:r>
      <w:r w:rsidRPr="00EE556C">
        <w:tab/>
        <w:t>prijíma nasledujúcu pozíciu v prvom čítaní;</w:t>
      </w:r>
    </w:p>
    <w:p w14:paraId="2DE1AB58" w14:textId="49835FBF" w:rsidR="004B5C58" w:rsidRPr="00EE556C" w:rsidRDefault="003E21F6" w:rsidP="003E21F6">
      <w:pPr>
        <w:pStyle w:val="NormalHanging12a"/>
      </w:pPr>
      <w:r w:rsidRPr="00EE556C">
        <w:t>2</w:t>
      </w:r>
      <w:r w:rsidR="00803516" w:rsidRPr="00EE556C">
        <w:t>.</w:t>
      </w:r>
      <w:r w:rsidR="00803516" w:rsidRPr="00EE556C">
        <w:tab/>
        <w:t>schvaľuje spoločné vyhlásenie Európskeho parlamentu a</w:t>
      </w:r>
      <w:r w:rsidR="000F2802" w:rsidRPr="00EE556C">
        <w:t> </w:t>
      </w:r>
      <w:r w:rsidR="00803516" w:rsidRPr="00EE556C">
        <w:t>Rady</w:t>
      </w:r>
      <w:r w:rsidR="000F2802" w:rsidRPr="00EE556C">
        <w:t xml:space="preserve"> a spoločné vyhlásenia Európskeho parlamentu, Rady a Komisie</w:t>
      </w:r>
      <w:r w:rsidR="00803516" w:rsidRPr="00EE556C">
        <w:t xml:space="preserve">, ktoré </w:t>
      </w:r>
      <w:r w:rsidR="000F2802" w:rsidRPr="00EE556C">
        <w:t>sú</w:t>
      </w:r>
      <w:r w:rsidR="00803516" w:rsidRPr="00EE556C">
        <w:t xml:space="preserve"> uvedené v prílohe k tomuto uzneseniu a ktoré </w:t>
      </w:r>
      <w:r w:rsidR="000F2802" w:rsidRPr="00EE556C">
        <w:t>budú</w:t>
      </w:r>
      <w:r w:rsidR="00803516" w:rsidRPr="00EE556C">
        <w:t xml:space="preserve"> uverejnené v sérii C </w:t>
      </w:r>
      <w:r w:rsidR="00803516" w:rsidRPr="00EE556C">
        <w:rPr>
          <w:i/>
          <w:iCs/>
        </w:rPr>
        <w:t>Úradného vestníka Európskej únie</w:t>
      </w:r>
      <w:r w:rsidR="00803516" w:rsidRPr="00EE556C">
        <w:t>;</w:t>
      </w:r>
    </w:p>
    <w:p w14:paraId="1404ECD2" w14:textId="39A9B49E" w:rsidR="00F44FCB" w:rsidRPr="00EE556C" w:rsidRDefault="000F2802" w:rsidP="00F44FCB">
      <w:pPr>
        <w:pStyle w:val="NormalHanging12a"/>
      </w:pPr>
      <w:r w:rsidRPr="00EE556C">
        <w:t>3</w:t>
      </w:r>
      <w:r w:rsidR="00F44FCB" w:rsidRPr="00EE556C">
        <w:t>.</w:t>
      </w:r>
      <w:r w:rsidR="00F44FCB" w:rsidRPr="00EE556C">
        <w:tab/>
        <w:t>žiada Komisiu, aby mu vec znovu predložila, ak nahrádza, podstatne mení alebo má v úmysle podstatne zmeniť svoj návrh;</w:t>
      </w:r>
    </w:p>
    <w:p w14:paraId="1BFDDE8D" w14:textId="161ECDD4" w:rsidR="000C289D" w:rsidRDefault="000F2802" w:rsidP="00F44FCB">
      <w:pPr>
        <w:pStyle w:val="NormalHanging12a"/>
      </w:pPr>
      <w:r w:rsidRPr="00EE556C">
        <w:t>4</w:t>
      </w:r>
      <w:r w:rsidR="00F44FCB" w:rsidRPr="00EE556C">
        <w:t>.</w:t>
      </w:r>
      <w:r w:rsidR="00F44FCB" w:rsidRPr="00EE556C">
        <w:tab/>
        <w:t>poveruje svoju predsedníčku, aby postúpila túto pozíciu Rade, Komisii a národným parlamentom.</w:t>
      </w:r>
    </w:p>
    <w:p w14:paraId="36CAF504" w14:textId="77777777" w:rsidR="000C289D" w:rsidRDefault="000C289D">
      <w:pPr>
        <w:widowControl/>
      </w:pPr>
      <w:r>
        <w:br w:type="page"/>
      </w:r>
    </w:p>
    <w:p w14:paraId="59D9DDCC" w14:textId="77777777" w:rsidR="00F44FCB" w:rsidRPr="00EE556C" w:rsidRDefault="00F44FCB" w:rsidP="00F44FCB">
      <w:pPr>
        <w:pStyle w:val="NormalHanging12a"/>
      </w:pPr>
    </w:p>
    <w:p w14:paraId="68802810" w14:textId="408D18CA" w:rsidR="00803516" w:rsidRPr="00EE556C" w:rsidRDefault="00803516" w:rsidP="00803516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EE556C">
        <w:rPr>
          <w:b/>
        </w:rPr>
        <w:t>P10_TC1-COD(2024)0061</w:t>
      </w:r>
    </w:p>
    <w:p w14:paraId="28C0D6C3" w14:textId="06838097" w:rsidR="00803516" w:rsidRDefault="00803516" w:rsidP="003E21F6">
      <w:pPr>
        <w:widowControl/>
        <w:rPr>
          <w:rFonts w:eastAsia="Calibri"/>
          <w:b/>
          <w:szCs w:val="22"/>
          <w:lang w:eastAsia="en-US"/>
        </w:rPr>
      </w:pPr>
      <w:r w:rsidRPr="00EE556C">
        <w:rPr>
          <w:b/>
        </w:rPr>
        <w:t xml:space="preserve">Pozícia Európskeho parlamentu prijatá v prvom čítaní </w:t>
      </w:r>
      <w:r w:rsidR="001E1151" w:rsidRPr="00EE556C">
        <w:rPr>
          <w:b/>
        </w:rPr>
        <w:t>25</w:t>
      </w:r>
      <w:r w:rsidRPr="00EE556C">
        <w:rPr>
          <w:b/>
        </w:rPr>
        <w:t xml:space="preserve">. novembra 2025 na účely prijatia nariadenia Európskeho parlamentu a Rady (EÚ) 2025/..., </w:t>
      </w:r>
      <w:r w:rsidRPr="00EE556C">
        <w:rPr>
          <w:rFonts w:eastAsia="Calibri"/>
          <w:b/>
          <w:szCs w:val="22"/>
          <w:lang w:eastAsia="en-US"/>
        </w:rPr>
        <w:t>ktorým sa zriaďuje Program pre európsky obranný priemysel a rámec opatrení na zabezpečenie včasnej dostupnosti a dodávok obranných výrobkov (ďalej len „</w:t>
      </w:r>
      <w:r w:rsidRPr="00DD0C42">
        <w:rPr>
          <w:rFonts w:eastAsia="Calibri"/>
          <w:b/>
          <w:szCs w:val="22"/>
          <w:lang w:eastAsia="en-US"/>
        </w:rPr>
        <w:t xml:space="preserve">nariadenie </w:t>
      </w:r>
      <w:r w:rsidRPr="00EE556C">
        <w:rPr>
          <w:rFonts w:eastAsia="Calibri"/>
          <w:b/>
          <w:szCs w:val="22"/>
          <w:lang w:eastAsia="en-US"/>
        </w:rPr>
        <w:t>o EDIP“)</w:t>
      </w:r>
    </w:p>
    <w:p w14:paraId="0299A12F" w14:textId="77777777" w:rsidR="00DD0C42" w:rsidRDefault="00DD0C42" w:rsidP="003E21F6">
      <w:pPr>
        <w:widowControl/>
        <w:rPr>
          <w:rFonts w:eastAsia="Calibri"/>
          <w:b/>
          <w:szCs w:val="22"/>
          <w:lang w:eastAsia="en-US"/>
        </w:rPr>
      </w:pPr>
    </w:p>
    <w:p w14:paraId="54208B19" w14:textId="692062E7" w:rsidR="00DD0C42" w:rsidRPr="00DD0C42" w:rsidRDefault="00DD0C42" w:rsidP="00DD0C42">
      <w:pPr>
        <w:widowControl/>
        <w:rPr>
          <w:rFonts w:eastAsia="Calibri"/>
          <w:szCs w:val="22"/>
          <w:lang w:eastAsia="en-US"/>
        </w:rPr>
      </w:pPr>
      <w:r w:rsidRPr="00DD0C42">
        <w:rPr>
          <w:rFonts w:eastAsia="Calibri"/>
          <w:i/>
          <w:iCs/>
          <w:szCs w:val="22"/>
          <w:lang w:eastAsia="en-US"/>
        </w:rPr>
        <w:t>(Keďže bola dosiahnutá dohoda medzi Európskym parlamentom a Radou, pozícia Európskeho parlamentu zodpovedá záverečnému legislatívnemu aktu, nariadeniu (EÚ) 2025/2643.)</w:t>
      </w:r>
    </w:p>
    <w:p w14:paraId="7593DB2B" w14:textId="77777777" w:rsidR="00DD0C42" w:rsidRPr="00DD0C42" w:rsidRDefault="00DD0C42" w:rsidP="003E21F6">
      <w:pPr>
        <w:widowControl/>
        <w:rPr>
          <w:rFonts w:eastAsia="Calibri"/>
          <w:szCs w:val="22"/>
          <w:lang w:eastAsia="en-US"/>
        </w:rPr>
      </w:pPr>
    </w:p>
    <w:p w14:paraId="464E9D40" w14:textId="77777777" w:rsidR="00803516" w:rsidRPr="00EE556C" w:rsidRDefault="00803516" w:rsidP="00803516">
      <w:pPr>
        <w:spacing w:after="240"/>
        <w:jc w:val="center"/>
      </w:pPr>
    </w:p>
    <w:p w14:paraId="2158AAAE" w14:textId="77777777" w:rsidR="00803516" w:rsidRPr="00EE556C" w:rsidRDefault="00803516">
      <w:pPr>
        <w:widowControl/>
        <w:sectPr w:rsidR="00803516" w:rsidRPr="00EE556C" w:rsidSect="00AA760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A8D3F18" w14:textId="78043515" w:rsidR="003E21F6" w:rsidRPr="00EE556C" w:rsidRDefault="003E21F6" w:rsidP="00EE556C">
      <w:pPr>
        <w:spacing w:after="240" w:line="360" w:lineRule="auto"/>
        <w:jc w:val="right"/>
        <w:rPr>
          <w:rFonts w:eastAsia="Calibri"/>
          <w:bCs/>
          <w:szCs w:val="22"/>
          <w:lang w:eastAsia="sk-SK" w:bidi="sk-SK"/>
        </w:rPr>
      </w:pPr>
      <w:r w:rsidRPr="00EE556C">
        <w:rPr>
          <w:rFonts w:eastAsia="Calibri"/>
          <w:bCs/>
          <w:szCs w:val="22"/>
          <w:lang w:eastAsia="sk-SK" w:bidi="sk-SK"/>
        </w:rPr>
        <w:lastRenderedPageBreak/>
        <w:t>PRÍLOHA K LEGISLATÍVNEMU UZNESENIU</w:t>
      </w:r>
    </w:p>
    <w:p w14:paraId="0E50C10A" w14:textId="47E8D702" w:rsidR="00803516" w:rsidRPr="00EE556C" w:rsidRDefault="00803516" w:rsidP="00803516">
      <w:pPr>
        <w:spacing w:line="360" w:lineRule="auto"/>
        <w:rPr>
          <w:iCs/>
          <w:szCs w:val="22"/>
          <w:lang w:eastAsia="sk-SK" w:bidi="sk-SK"/>
        </w:rPr>
      </w:pPr>
      <w:r w:rsidRPr="00EE556C">
        <w:rPr>
          <w:rFonts w:eastAsia="Calibri"/>
          <w:b/>
          <w:szCs w:val="22"/>
          <w:lang w:eastAsia="sk-SK" w:bidi="sk-SK"/>
        </w:rPr>
        <w:t>Spoločné vyhlásenie Európskeho parlamentu a Rady k financovaniu Programu pre európsky obranný priemysel (EDIP) a Nástroja na podporu Ukrajiny podľa nariadenia o EDIP</w:t>
      </w:r>
      <w:r w:rsidRPr="00EE556C">
        <w:rPr>
          <w:szCs w:val="22"/>
          <w:vertAlign w:val="superscript"/>
          <w:lang w:eastAsia="sk-SK" w:bidi="sk-SK"/>
        </w:rPr>
        <w:footnoteReference w:customMarkFollows="1" w:id="4"/>
        <w:t>+</w:t>
      </w:r>
    </w:p>
    <w:p w14:paraId="4B0A52CE" w14:textId="77777777" w:rsidR="00803516" w:rsidRPr="00EE556C" w:rsidRDefault="00803516" w:rsidP="00803516">
      <w:pPr>
        <w:widowControl/>
        <w:spacing w:before="120" w:after="120" w:line="360" w:lineRule="auto"/>
        <w:rPr>
          <w:color w:val="000000"/>
          <w:szCs w:val="22"/>
          <w:lang w:eastAsia="sk-SK" w:bidi="sk-SK"/>
        </w:rPr>
      </w:pPr>
      <w:r w:rsidRPr="00EE556C">
        <w:rPr>
          <w:rFonts w:eastAsia="Calibri"/>
          <w:color w:val="000000"/>
          <w:szCs w:val="22"/>
          <w:lang w:eastAsia="sk-SK" w:bidi="sk-SK"/>
        </w:rPr>
        <w:t>Európsky parlament a Rada uznávajú naliehavú potrebu podporovať európsku obrannú technologickú a priemyselnú základňu a ukrajinskú obrannú technologickú a priemyselnú základňu s cieľom zvýšiť ich konkurencieschopnosť urýchlením adaptácie priemyslu na štrukturálne zmeny, a to aj zvýšením výrobných kapacít a zintenzívnením spolupráce pri obstarávaní obranných výrobkov, najmä vzhľadom na výzvy, ktoré priniesla nezákonná, nevyprovokovaná a neodôvodnená útočná vojna Ruska proti Ukrajine.</w:t>
      </w:r>
    </w:p>
    <w:p w14:paraId="66178F30" w14:textId="4FC97731" w:rsidR="00803516" w:rsidRPr="00EE556C" w:rsidRDefault="00803516" w:rsidP="00803516">
      <w:pPr>
        <w:spacing w:after="240" w:line="360" w:lineRule="auto"/>
      </w:pPr>
      <w:r w:rsidRPr="00EE556C">
        <w:rPr>
          <w:rFonts w:eastAsia="Calibri"/>
          <w:color w:val="000000"/>
          <w:szCs w:val="22"/>
          <w:lang w:eastAsia="sk-SK" w:bidi="sk-SK"/>
        </w:rPr>
        <w:t>Bez toho, aby boli dotknuté právomoci rozpočtového orgánu v rámci budúcich ročných rozpočtových postupov, Európsky parlament a Rada vyzývajú Komisiu, aby prioritne preskúmala možnosti posilnenia rozpočtu pre Program pre európsky obranný priemysel a Nástroj na podporu Ukrajiny v súlade s bodom 18 MID o rozpočtovej disciplíne bez toho, aby sa obmedzili podobné programy a fondy EÚ, pričom sa zohľadnia predchádzajúce politické záväzky rozpočtového orgánu vrátane pokrytia úrokových nákladov Nástroja Európskej únie na obnovu.</w:t>
      </w:r>
    </w:p>
    <w:p w14:paraId="5C102B2F" w14:textId="01FA4129" w:rsidR="00803516" w:rsidRPr="00EE556C" w:rsidRDefault="00803516">
      <w:pPr>
        <w:widowControl/>
      </w:pPr>
      <w:r w:rsidRPr="00EE556C">
        <w:br w:type="page"/>
      </w:r>
    </w:p>
    <w:p w14:paraId="4409180F" w14:textId="7EEE65BE" w:rsidR="003E21F6" w:rsidRPr="00EE556C" w:rsidRDefault="003E21F6" w:rsidP="003E21F6">
      <w:pPr>
        <w:spacing w:line="360" w:lineRule="auto"/>
        <w:rPr>
          <w:iCs/>
          <w:szCs w:val="22"/>
          <w:lang w:eastAsia="sk-SK" w:bidi="sk-SK"/>
        </w:rPr>
      </w:pPr>
      <w:r w:rsidRPr="00EE556C">
        <w:rPr>
          <w:rFonts w:eastAsia="Calibri"/>
          <w:b/>
          <w:szCs w:val="22"/>
          <w:lang w:eastAsia="sk-SK" w:bidi="sk-SK"/>
        </w:rPr>
        <w:lastRenderedPageBreak/>
        <w:t>Spoločné vyhlásenie Európskeho parlamentu, Rady a Komisie týkajúce sa finančných príspevkov tretích krajín na ich účasť na nástroji SAFE ako dodatočných finančných zdrojov pre Program pre európsky obranný priemysel (EDIP) a Nástroj na podporu Ukrajiny (USI) podľa nariadenia o EDIP</w:t>
      </w:r>
      <w:r w:rsidRPr="00EE556C">
        <w:rPr>
          <w:szCs w:val="22"/>
          <w:vertAlign w:val="superscript"/>
          <w:lang w:eastAsia="sk-SK" w:bidi="sk-SK"/>
        </w:rPr>
        <w:footnoteReference w:customMarkFollows="1" w:id="5"/>
        <w:t>+</w:t>
      </w:r>
    </w:p>
    <w:p w14:paraId="34B8F17D" w14:textId="77777777" w:rsidR="003E21F6" w:rsidRPr="00EE556C" w:rsidRDefault="003E21F6" w:rsidP="003E21F6">
      <w:pPr>
        <w:widowControl/>
        <w:spacing w:before="120" w:after="120" w:line="360" w:lineRule="auto"/>
        <w:rPr>
          <w:color w:val="000000"/>
          <w:szCs w:val="24"/>
          <w:lang w:eastAsia="sk-SK" w:bidi="sk-SK"/>
        </w:rPr>
      </w:pPr>
      <w:r w:rsidRPr="00EE556C">
        <w:rPr>
          <w:rFonts w:eastAsia="Calibri"/>
          <w:color w:val="000000"/>
          <w:szCs w:val="22"/>
          <w:lang w:eastAsia="sk-SK" w:bidi="sk-SK"/>
        </w:rPr>
        <w:t>Európsky parlament, Rada a Komisia uznávajú naliehavú potrebu podporovať európsku obrannú technologickú a priemyselnú základňu a ukrajinskú obrannú technologickú a priemyselnú základňu s cieľom zvýšiť ich konkurencieschopnosť urýchlením adaptácie priemyslu na štrukturálne zmeny, a to aj zvýšením výrobných kapacít a zintenzívnením spolupráce pri obstarávaní obranných výrobkov, najmä vzhľadom na výzvy, ktoré priniesla nezákonná, nevyprovokovaná a neodôvodnená útočná vojna Ruska proti Ukrajine.</w:t>
      </w:r>
    </w:p>
    <w:p w14:paraId="36152998" w14:textId="1AC22D27" w:rsidR="003E21F6" w:rsidRPr="00EE556C" w:rsidRDefault="003E21F6" w:rsidP="003E21F6">
      <w:pPr>
        <w:spacing w:after="240" w:line="360" w:lineRule="auto"/>
      </w:pPr>
      <w:r w:rsidRPr="00EE556C">
        <w:rPr>
          <w:rFonts w:eastAsia="Calibri"/>
          <w:szCs w:val="22"/>
          <w:lang w:eastAsia="sk-SK" w:bidi="sk-SK"/>
        </w:rPr>
        <w:t>V súlade s článkom 17 ods. 4 nariadenia o SAFE sa finančné príspevky, ktoré majú poskytnúť tretie krajiny na svoju účasť na nástroji SAFE, použijú na programy na podporu obranného priemyslu Únie, ukrajinského obranného priemyslu a Ukrajiny v súlade s pravidlami uvedených programov. Európsky parlament, Rada a Komisia sa dohodli, že takéto príspevky by sa mali použiť na posilnenie programu EDIP vrátane USI.</w:t>
      </w:r>
    </w:p>
    <w:p w14:paraId="78A27C09" w14:textId="4EBD49E8" w:rsidR="003E21F6" w:rsidRPr="00EE556C" w:rsidRDefault="003E21F6">
      <w:pPr>
        <w:widowControl/>
      </w:pPr>
      <w:r w:rsidRPr="00EE556C">
        <w:br w:type="page"/>
      </w:r>
    </w:p>
    <w:p w14:paraId="1F42D4B6" w14:textId="264ADFDA" w:rsidR="003E21F6" w:rsidRPr="00EE556C" w:rsidRDefault="003E21F6" w:rsidP="003E21F6">
      <w:pPr>
        <w:spacing w:line="360" w:lineRule="auto"/>
        <w:rPr>
          <w:iCs/>
          <w:szCs w:val="22"/>
          <w:lang w:eastAsia="sk-SK" w:bidi="sk-SK"/>
        </w:rPr>
      </w:pPr>
      <w:r w:rsidRPr="00EE556C">
        <w:rPr>
          <w:rFonts w:eastAsia="Calibri"/>
          <w:b/>
          <w:szCs w:val="22"/>
          <w:lang w:eastAsia="sk-SK" w:bidi="sk-SK"/>
        </w:rPr>
        <w:lastRenderedPageBreak/>
        <w:t>Spoločné vyhlásenie Európskeho parlamentu, Rady a Komisie týkajúce sa dodatočných finančných zdrojov pre nariadenie o EDIP</w:t>
      </w:r>
      <w:r w:rsidRPr="00EE556C">
        <w:rPr>
          <w:szCs w:val="22"/>
          <w:vertAlign w:val="superscript"/>
          <w:lang w:eastAsia="sk-SK" w:bidi="sk-SK"/>
        </w:rPr>
        <w:footnoteReference w:customMarkFollows="1" w:id="6"/>
        <w:t>+</w:t>
      </w:r>
    </w:p>
    <w:p w14:paraId="79C0322B" w14:textId="77777777" w:rsidR="003E21F6" w:rsidRPr="00EE556C" w:rsidRDefault="003E21F6" w:rsidP="003E21F6">
      <w:pPr>
        <w:widowControl/>
        <w:spacing w:before="120" w:after="120" w:line="360" w:lineRule="auto"/>
        <w:rPr>
          <w:szCs w:val="22"/>
          <w:lang w:eastAsia="sk-SK" w:bidi="sk-SK"/>
        </w:rPr>
      </w:pPr>
      <w:r w:rsidRPr="00EE556C">
        <w:rPr>
          <w:rFonts w:eastAsia="Calibri"/>
          <w:szCs w:val="22"/>
          <w:lang w:eastAsia="sk-SK" w:bidi="sk-SK"/>
        </w:rPr>
        <w:t>Európsky parlament, Rada a Komisia sa stotožňujú s názorom, že nariadenie o EDIP by malo byť kryté dodatočnými finančnými zdrojmi.</w:t>
      </w:r>
    </w:p>
    <w:p w14:paraId="5D5182DF" w14:textId="77777777" w:rsidR="003E21F6" w:rsidRPr="00EE556C" w:rsidRDefault="003E21F6" w:rsidP="003E21F6">
      <w:pPr>
        <w:widowControl/>
        <w:spacing w:before="120" w:after="120" w:line="360" w:lineRule="auto"/>
        <w:rPr>
          <w:szCs w:val="22"/>
          <w:lang w:eastAsia="sk-SK" w:bidi="sk-SK"/>
        </w:rPr>
      </w:pPr>
      <w:r w:rsidRPr="00EE556C">
        <w:rPr>
          <w:rFonts w:eastAsia="Calibri"/>
          <w:szCs w:val="22"/>
          <w:lang w:eastAsia="sk-SK" w:bidi="sk-SK"/>
        </w:rPr>
        <w:t>Na tento účel sa v nariadení o EDIP konkrétne stanovuje možnosť dodatočných finančných príspevkov od členských štátov, inštitúcií, orgánov a agentúr Únie, tretích krajín, medzinárodných organizácií, medzinárodných finančných inštitúcií alebo iných tretích strán a v tejto súvislosti sa výslovne odkazuje na Fond na urýchlenie transformácie dodávateľského reťazca v sektore obrany (FAST).</w:t>
      </w:r>
    </w:p>
    <w:p w14:paraId="4EC93780" w14:textId="020E8844" w:rsidR="00803516" w:rsidRPr="00EE556C" w:rsidRDefault="003E21F6" w:rsidP="002F4460">
      <w:pPr>
        <w:spacing w:after="240" w:line="360" w:lineRule="auto"/>
      </w:pPr>
      <w:r w:rsidRPr="00EE556C">
        <w:rPr>
          <w:rFonts w:eastAsia="Calibri"/>
          <w:szCs w:val="22"/>
          <w:lang w:eastAsia="sk-SK" w:bidi="sk-SK"/>
        </w:rPr>
        <w:t xml:space="preserve">Vzhľadom na to a s prihliadnutím na kľúčovú úlohu fondu FAST pri posilňovaní výrobných kapacít MSP a malých spoločností so strednou trhovou kapitalizáciou v oblasti obrany, ktoré obzvlášť potrebujú investície, by sa takéto dodatočné príspevky mali prioritne prideliť fondu FAST a mali by dopĺňať sumy pridelené z finančného krytia vo výške 1200 miliónov EUR uvedeného v článku </w:t>
      </w:r>
      <w:r w:rsidR="00DD0C42">
        <w:rPr>
          <w:rFonts w:eastAsia="Calibri"/>
          <w:szCs w:val="22"/>
          <w:lang w:eastAsia="sk-SK" w:bidi="sk-SK"/>
        </w:rPr>
        <w:t>3</w:t>
      </w:r>
      <w:r w:rsidRPr="00EE556C">
        <w:rPr>
          <w:rFonts w:eastAsia="Calibri"/>
          <w:szCs w:val="22"/>
          <w:lang w:eastAsia="sk-SK" w:bidi="sk-SK"/>
        </w:rPr>
        <w:t xml:space="preserve"> ods. 1 s cieľom dosiahnuť celkovú orientačnú sumu pre tento konkrétny fond v rámci programu aspoň 150 miliónov EUR pri rešpektovaní výhradných právomocí rozpočtového orgánu.</w:t>
      </w:r>
    </w:p>
    <w:sectPr w:rsidR="00803516" w:rsidRPr="00EE556C" w:rsidSect="00AA760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BAD3F" w14:textId="77777777" w:rsidR="00FF4018" w:rsidRPr="00AA760E" w:rsidRDefault="00FF4018">
      <w:r w:rsidRPr="00AA760E">
        <w:separator/>
      </w:r>
    </w:p>
  </w:endnote>
  <w:endnote w:type="continuationSeparator" w:id="0">
    <w:p w14:paraId="7655BD3F" w14:textId="77777777" w:rsidR="00FF4018" w:rsidRPr="00AA760E" w:rsidRDefault="00FF4018">
      <w:r w:rsidRPr="00AA76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0249C" w14:textId="77777777" w:rsidR="00FF4018" w:rsidRPr="00AA760E" w:rsidRDefault="00FF4018">
      <w:r w:rsidRPr="00AA760E">
        <w:separator/>
      </w:r>
    </w:p>
  </w:footnote>
  <w:footnote w:type="continuationSeparator" w:id="0">
    <w:p w14:paraId="3B207FC0" w14:textId="77777777" w:rsidR="00FF4018" w:rsidRPr="00AA760E" w:rsidRDefault="00FF4018">
      <w:r w:rsidRPr="00AA760E">
        <w:continuationSeparator/>
      </w:r>
    </w:p>
  </w:footnote>
  <w:footnote w:id="1">
    <w:p w14:paraId="37560581" w14:textId="4871D84F" w:rsidR="00F44FCB" w:rsidRPr="003E21F6" w:rsidRDefault="00F44FCB" w:rsidP="00AA760E">
      <w:pPr>
        <w:pStyle w:val="FootnoteText"/>
        <w:ind w:left="567" w:hanging="567"/>
        <w:rPr>
          <w:sz w:val="24"/>
          <w:lang w:val="sk-SK"/>
        </w:rPr>
      </w:pPr>
      <w:r w:rsidRPr="003E21F6">
        <w:rPr>
          <w:rStyle w:val="FootnoteReference"/>
          <w:sz w:val="24"/>
          <w:lang w:val="sk-SK"/>
        </w:rPr>
        <w:footnoteRef/>
      </w:r>
      <w:r w:rsidR="00AA760E" w:rsidRPr="003E21F6">
        <w:rPr>
          <w:sz w:val="24"/>
          <w:lang w:val="sk-SK"/>
        </w:rPr>
        <w:t xml:space="preserve"> </w:t>
      </w:r>
      <w:r w:rsidR="00AA760E" w:rsidRPr="003E21F6">
        <w:rPr>
          <w:sz w:val="24"/>
          <w:lang w:val="sk-SK"/>
        </w:rPr>
        <w:tab/>
      </w:r>
      <w:r w:rsidRPr="003E21F6">
        <w:rPr>
          <w:sz w:val="24"/>
          <w:lang w:val="sk-SK"/>
        </w:rPr>
        <w:t>Ú. v. EÚ C</w:t>
      </w:r>
      <w:r w:rsidR="004D7B60" w:rsidRPr="003E21F6">
        <w:rPr>
          <w:sz w:val="24"/>
          <w:lang w:val="sk-SK"/>
        </w:rPr>
        <w:t>, C/2025/805,</w:t>
      </w:r>
      <w:r w:rsidRPr="003E21F6">
        <w:rPr>
          <w:sz w:val="24"/>
          <w:lang w:val="sk-SK"/>
        </w:rPr>
        <w:t xml:space="preserve"> 31.1.2025, ELI: </w:t>
      </w:r>
      <w:hyperlink r:id="rId1" w:history="1">
        <w:r w:rsidRPr="003E21F6">
          <w:rPr>
            <w:rStyle w:val="Hyperlink"/>
            <w:sz w:val="24"/>
            <w:lang w:val="sk-SK"/>
          </w:rPr>
          <w:t>http://data.europa.eu/eli/C/2025/805/oj</w:t>
        </w:r>
      </w:hyperlink>
      <w:r w:rsidRPr="003E21F6">
        <w:rPr>
          <w:sz w:val="24"/>
          <w:lang w:val="sk-SK"/>
        </w:rPr>
        <w:t>.</w:t>
      </w:r>
    </w:p>
  </w:footnote>
  <w:footnote w:id="2">
    <w:p w14:paraId="7A1E0937" w14:textId="6EBF951E" w:rsidR="00F44FCB" w:rsidRPr="003E21F6" w:rsidRDefault="00F44FCB" w:rsidP="00AA760E">
      <w:pPr>
        <w:pStyle w:val="FootnoteText"/>
        <w:ind w:left="567" w:hanging="567"/>
        <w:rPr>
          <w:sz w:val="24"/>
          <w:lang w:val="sk-SK"/>
        </w:rPr>
      </w:pPr>
      <w:r w:rsidRPr="003E21F6">
        <w:rPr>
          <w:rStyle w:val="FootnoteReference"/>
          <w:sz w:val="24"/>
          <w:lang w:val="sk-SK"/>
        </w:rPr>
        <w:footnoteRef/>
      </w:r>
      <w:r w:rsidR="00AA760E" w:rsidRPr="003E21F6">
        <w:rPr>
          <w:sz w:val="24"/>
          <w:lang w:val="sk-SK"/>
        </w:rPr>
        <w:t xml:space="preserve"> </w:t>
      </w:r>
      <w:r w:rsidR="00AA760E" w:rsidRPr="003E21F6">
        <w:rPr>
          <w:sz w:val="24"/>
          <w:lang w:val="sk-SK"/>
        </w:rPr>
        <w:tab/>
      </w:r>
      <w:r w:rsidR="008E5F24" w:rsidRPr="003E21F6">
        <w:rPr>
          <w:sz w:val="24"/>
          <w:lang w:val="sk-SK"/>
        </w:rPr>
        <w:t xml:space="preserve">Ú. v. </w:t>
      </w:r>
      <w:r w:rsidR="008E5F24" w:rsidRPr="003E21F6">
        <w:rPr>
          <w:sz w:val="24"/>
          <w:lang w:val="sk-SK"/>
        </w:rPr>
        <w:t xml:space="preserve">EÚ </w:t>
      </w:r>
      <w:r w:rsidR="008E5F24" w:rsidRPr="008E5F24">
        <w:rPr>
          <w:sz w:val="24"/>
          <w:lang w:val="sk-SK"/>
        </w:rPr>
        <w:t xml:space="preserve">C, C/2024/4662, 9.8.2024, ELI: </w:t>
      </w:r>
      <w:hyperlink r:id="rId2" w:history="1">
        <w:r w:rsidR="008E5F24" w:rsidRPr="008E5F24">
          <w:rPr>
            <w:rStyle w:val="Hyperlink"/>
            <w:sz w:val="24"/>
            <w:lang w:val="sk-SK"/>
          </w:rPr>
          <w:t>http://data.europa.eu/eli/C/2024/4662/oj</w:t>
        </w:r>
      </w:hyperlink>
      <w:r w:rsidRPr="003E21F6">
        <w:rPr>
          <w:sz w:val="24"/>
          <w:lang w:val="sk-SK"/>
        </w:rPr>
        <w:t>.</w:t>
      </w:r>
    </w:p>
  </w:footnote>
  <w:footnote w:id="3">
    <w:p w14:paraId="6D547DA3" w14:textId="46C8A472" w:rsidR="00F44FCB" w:rsidRPr="003E21F6" w:rsidRDefault="00F44FCB" w:rsidP="00AA760E">
      <w:pPr>
        <w:pStyle w:val="FootnoteText"/>
        <w:ind w:left="567" w:hanging="567"/>
        <w:rPr>
          <w:sz w:val="24"/>
          <w:lang w:val="sk-SK"/>
        </w:rPr>
      </w:pPr>
      <w:r w:rsidRPr="003E21F6">
        <w:rPr>
          <w:rStyle w:val="FootnoteReference"/>
          <w:sz w:val="24"/>
          <w:lang w:val="sk-SK"/>
        </w:rPr>
        <w:footnoteRef/>
      </w:r>
      <w:r w:rsidR="00AA760E" w:rsidRPr="003E21F6">
        <w:rPr>
          <w:sz w:val="24"/>
          <w:lang w:val="sk-SK"/>
        </w:rPr>
        <w:t xml:space="preserve"> </w:t>
      </w:r>
      <w:r w:rsidR="00AA760E" w:rsidRPr="003E21F6">
        <w:rPr>
          <w:sz w:val="24"/>
          <w:lang w:val="sk-SK"/>
        </w:rPr>
        <w:tab/>
      </w:r>
      <w:r w:rsidR="008E5F24" w:rsidRPr="008E5F24">
        <w:rPr>
          <w:sz w:val="24"/>
          <w:lang w:val="sk-SK"/>
        </w:rPr>
        <w:t xml:space="preserve">Ú. v. </w:t>
      </w:r>
      <w:r w:rsidR="008E5F24" w:rsidRPr="008E5F24">
        <w:rPr>
          <w:sz w:val="24"/>
          <w:lang w:val="sk-SK"/>
        </w:rPr>
        <w:t xml:space="preserve">EÚ C, C/2025/1705, 26.3.2025, ELI: </w:t>
      </w:r>
      <w:hyperlink r:id="rId3" w:history="1">
        <w:r w:rsidR="008E5F24" w:rsidRPr="008E5F24">
          <w:rPr>
            <w:rStyle w:val="Hyperlink"/>
            <w:sz w:val="24"/>
            <w:lang w:val="sk-SK"/>
          </w:rPr>
          <w:t>http://data.europa.eu/eli/C/2025/1705/oj</w:t>
        </w:r>
      </w:hyperlink>
      <w:r w:rsidRPr="003E21F6">
        <w:rPr>
          <w:sz w:val="24"/>
          <w:lang w:val="sk-SK"/>
        </w:rPr>
        <w:t>.</w:t>
      </w:r>
    </w:p>
  </w:footnote>
  <w:footnote w:id="4">
    <w:p w14:paraId="30DD02EC" w14:textId="561F1628" w:rsidR="00803516" w:rsidRPr="003E21F6" w:rsidRDefault="00803516" w:rsidP="00803516">
      <w:pPr>
        <w:pStyle w:val="FootnoteText"/>
        <w:ind w:left="851" w:hanging="851"/>
        <w:rPr>
          <w:sz w:val="24"/>
          <w:szCs w:val="24"/>
          <w:lang w:val="sk-SK"/>
        </w:rPr>
      </w:pPr>
      <w:r w:rsidRPr="003E21F6">
        <w:rPr>
          <w:rStyle w:val="FootnoteReference"/>
          <w:sz w:val="24"/>
          <w:szCs w:val="24"/>
          <w:lang w:val="sk-SK"/>
        </w:rPr>
        <w:t>+</w:t>
      </w:r>
      <w:r w:rsidRPr="003E21F6">
        <w:rPr>
          <w:sz w:val="24"/>
          <w:szCs w:val="24"/>
          <w:lang w:val="sk-SK"/>
        </w:rPr>
        <w:tab/>
      </w:r>
      <w:r w:rsidR="00DD0C42">
        <w:rPr>
          <w:sz w:val="24"/>
          <w:szCs w:val="24"/>
          <w:lang w:val="sk-SK"/>
        </w:rPr>
        <w:t>Ú. v. EÚ</w:t>
      </w:r>
      <w:r w:rsidR="00DD0C42" w:rsidRPr="00DD0C42">
        <w:rPr>
          <w:sz w:val="24"/>
          <w:szCs w:val="24"/>
          <w:lang w:val="sk-SK"/>
        </w:rPr>
        <w:t xml:space="preserve"> L, 2025/2643, 29.12.2025, ELI: </w:t>
      </w:r>
      <w:hyperlink r:id="rId4" w:history="1">
        <w:r w:rsidR="00DD0C42" w:rsidRPr="00DD0C42">
          <w:rPr>
            <w:rStyle w:val="Hyperlink"/>
            <w:sz w:val="24"/>
            <w:szCs w:val="24"/>
            <w:lang w:val="sk-SK"/>
          </w:rPr>
          <w:t>http://data.europa.eu/eli/reg/2025/2643/o</w:t>
        </w:r>
      </w:hyperlink>
      <w:r w:rsidRPr="003E21F6">
        <w:rPr>
          <w:sz w:val="24"/>
          <w:szCs w:val="24"/>
          <w:lang w:val="sk-SK"/>
        </w:rPr>
        <w:t>.</w:t>
      </w:r>
    </w:p>
  </w:footnote>
  <w:footnote w:id="5">
    <w:p w14:paraId="64E9763F" w14:textId="4D42D74E" w:rsidR="003E21F6" w:rsidRPr="003E21F6" w:rsidRDefault="003E21F6" w:rsidP="003E21F6">
      <w:pPr>
        <w:pStyle w:val="FootnoteText"/>
        <w:ind w:left="851" w:hanging="851"/>
        <w:rPr>
          <w:sz w:val="24"/>
          <w:szCs w:val="24"/>
          <w:lang w:val="sk-SK"/>
        </w:rPr>
      </w:pPr>
      <w:r w:rsidRPr="003E21F6">
        <w:rPr>
          <w:rStyle w:val="FootnoteReference"/>
          <w:sz w:val="24"/>
          <w:szCs w:val="24"/>
          <w:lang w:val="sk-SK"/>
        </w:rPr>
        <w:t>+</w:t>
      </w:r>
      <w:r w:rsidRPr="003E21F6">
        <w:rPr>
          <w:sz w:val="24"/>
          <w:szCs w:val="24"/>
          <w:lang w:val="sk-SK"/>
        </w:rPr>
        <w:tab/>
        <w:t xml:space="preserve">Ú. v. </w:t>
      </w:r>
      <w:r w:rsidRPr="003E21F6">
        <w:rPr>
          <w:sz w:val="24"/>
          <w:szCs w:val="24"/>
          <w:lang w:val="sk-SK"/>
        </w:rPr>
        <w:t>EÚ</w:t>
      </w:r>
      <w:r w:rsidR="00DD0C42">
        <w:rPr>
          <w:sz w:val="24"/>
          <w:szCs w:val="24"/>
          <w:lang w:val="sk-SK"/>
        </w:rPr>
        <w:t xml:space="preserve"> </w:t>
      </w:r>
      <w:r w:rsidR="00DD0C42" w:rsidRPr="00DD0C42">
        <w:rPr>
          <w:sz w:val="24"/>
          <w:szCs w:val="24"/>
          <w:lang w:val="sk-SK"/>
        </w:rPr>
        <w:t xml:space="preserve">L, 2025/2643, 29.12.2025, ELI: </w:t>
      </w:r>
      <w:hyperlink r:id="rId5" w:history="1">
        <w:r w:rsidR="00DD0C42" w:rsidRPr="00DD0C42">
          <w:rPr>
            <w:rStyle w:val="Hyperlink"/>
            <w:sz w:val="24"/>
            <w:szCs w:val="24"/>
            <w:lang w:val="sk-SK"/>
          </w:rPr>
          <w:t>http://data.europa.eu/eli/reg/2025/2643/oj</w:t>
        </w:r>
      </w:hyperlink>
      <w:r w:rsidRPr="003E21F6">
        <w:rPr>
          <w:sz w:val="24"/>
          <w:szCs w:val="24"/>
          <w:lang w:val="sk-SK"/>
        </w:rPr>
        <w:t>.</w:t>
      </w:r>
    </w:p>
  </w:footnote>
  <w:footnote w:id="6">
    <w:p w14:paraId="4ACDAEB1" w14:textId="5269078C" w:rsidR="003E21F6" w:rsidRPr="003E21F6" w:rsidRDefault="003E21F6" w:rsidP="003E21F6">
      <w:pPr>
        <w:pStyle w:val="FootnoteText"/>
        <w:ind w:left="851" w:hanging="851"/>
        <w:rPr>
          <w:sz w:val="24"/>
          <w:szCs w:val="24"/>
          <w:lang w:val="sk-SK"/>
        </w:rPr>
      </w:pPr>
      <w:r w:rsidRPr="003E21F6">
        <w:rPr>
          <w:rStyle w:val="FootnoteReference"/>
          <w:sz w:val="24"/>
          <w:szCs w:val="24"/>
          <w:lang w:val="sk-SK"/>
        </w:rPr>
        <w:t>+</w:t>
      </w:r>
      <w:r w:rsidRPr="003E21F6">
        <w:rPr>
          <w:sz w:val="24"/>
          <w:szCs w:val="24"/>
          <w:lang w:val="sk-SK"/>
        </w:rPr>
        <w:tab/>
        <w:t xml:space="preserve">Ú. v. </w:t>
      </w:r>
      <w:r w:rsidRPr="003E21F6">
        <w:rPr>
          <w:sz w:val="24"/>
          <w:szCs w:val="24"/>
          <w:lang w:val="sk-SK"/>
        </w:rPr>
        <w:t>EÚ</w:t>
      </w:r>
      <w:r w:rsidR="00DD0C42">
        <w:rPr>
          <w:sz w:val="24"/>
          <w:szCs w:val="24"/>
          <w:lang w:val="sk-SK"/>
        </w:rPr>
        <w:t xml:space="preserve"> </w:t>
      </w:r>
      <w:r w:rsidR="00DD0C42" w:rsidRPr="00DD0C42">
        <w:rPr>
          <w:sz w:val="24"/>
          <w:szCs w:val="24"/>
          <w:lang w:val="sk-SK"/>
        </w:rPr>
        <w:t xml:space="preserve">L, 2025/2643, 29.12.2025, ELI: </w:t>
      </w:r>
      <w:hyperlink r:id="rId6" w:history="1">
        <w:r w:rsidR="00DD0C42" w:rsidRPr="00DD0C42">
          <w:rPr>
            <w:rStyle w:val="Hyperlink"/>
            <w:sz w:val="24"/>
            <w:szCs w:val="24"/>
            <w:lang w:val="sk-SK"/>
          </w:rPr>
          <w:t>http://data.europa.eu/eli/reg/2025/2643/oj</w:t>
        </w:r>
      </w:hyperlink>
      <w:r w:rsidRPr="003E21F6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02D6821"/>
    <w:multiLevelType w:val="hybridMultilevel"/>
    <w:tmpl w:val="873C9A8A"/>
    <w:lvl w:ilvl="0" w:tplc="F9C45692">
      <w:start w:val="1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4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63577300">
    <w:abstractNumId w:val="4"/>
  </w:num>
  <w:num w:numId="2" w16cid:durableId="187331537">
    <w:abstractNumId w:val="19"/>
  </w:num>
  <w:num w:numId="3" w16cid:durableId="1385638223">
    <w:abstractNumId w:val="1"/>
  </w:num>
  <w:num w:numId="4" w16cid:durableId="326443016">
    <w:abstractNumId w:val="36"/>
  </w:num>
  <w:num w:numId="5" w16cid:durableId="1452431407">
    <w:abstractNumId w:val="15"/>
  </w:num>
  <w:num w:numId="6" w16cid:durableId="1900284261">
    <w:abstractNumId w:val="30"/>
  </w:num>
  <w:num w:numId="7" w16cid:durableId="1688100696">
    <w:abstractNumId w:val="28"/>
  </w:num>
  <w:num w:numId="8" w16cid:durableId="1317101791">
    <w:abstractNumId w:val="46"/>
  </w:num>
  <w:num w:numId="9" w16cid:durableId="367417712">
    <w:abstractNumId w:val="41"/>
  </w:num>
  <w:num w:numId="10" w16cid:durableId="40715327">
    <w:abstractNumId w:val="47"/>
  </w:num>
  <w:num w:numId="11" w16cid:durableId="184054417">
    <w:abstractNumId w:val="49"/>
  </w:num>
  <w:num w:numId="12" w16cid:durableId="1223753974">
    <w:abstractNumId w:val="6"/>
  </w:num>
  <w:num w:numId="13" w16cid:durableId="1043941407">
    <w:abstractNumId w:val="18"/>
  </w:num>
  <w:num w:numId="14" w16cid:durableId="1931427372">
    <w:abstractNumId w:val="7"/>
  </w:num>
  <w:num w:numId="15" w16cid:durableId="1825194987">
    <w:abstractNumId w:val="20"/>
  </w:num>
  <w:num w:numId="16" w16cid:durableId="1829706088">
    <w:abstractNumId w:val="16"/>
  </w:num>
  <w:num w:numId="17" w16cid:durableId="39212295">
    <w:abstractNumId w:val="31"/>
  </w:num>
  <w:num w:numId="18" w16cid:durableId="17476118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10760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6093702">
    <w:abstractNumId w:val="55"/>
    <w:lvlOverride w:ilvl="0">
      <w:startOverride w:val="1"/>
    </w:lvlOverride>
  </w:num>
  <w:num w:numId="21" w16cid:durableId="421462467">
    <w:abstractNumId w:val="39"/>
    <w:lvlOverride w:ilvl="0">
      <w:startOverride w:val="1"/>
    </w:lvlOverride>
  </w:num>
  <w:num w:numId="22" w16cid:durableId="1674338858">
    <w:abstractNumId w:val="23"/>
  </w:num>
  <w:num w:numId="23" w16cid:durableId="1366298386">
    <w:abstractNumId w:val="43"/>
  </w:num>
  <w:num w:numId="24" w16cid:durableId="641229506">
    <w:abstractNumId w:val="14"/>
  </w:num>
  <w:num w:numId="25" w16cid:durableId="198903012">
    <w:abstractNumId w:val="24"/>
  </w:num>
  <w:num w:numId="26" w16cid:durableId="1425035192">
    <w:abstractNumId w:val="25"/>
  </w:num>
  <w:num w:numId="27" w16cid:durableId="890767540">
    <w:abstractNumId w:val="27"/>
  </w:num>
  <w:num w:numId="28" w16cid:durableId="347294999">
    <w:abstractNumId w:val="37"/>
  </w:num>
  <w:num w:numId="29" w16cid:durableId="2112554845">
    <w:abstractNumId w:val="38"/>
  </w:num>
  <w:num w:numId="30" w16cid:durableId="1246837075">
    <w:abstractNumId w:val="13"/>
  </w:num>
  <w:num w:numId="31" w16cid:durableId="2129468884">
    <w:abstractNumId w:val="32"/>
  </w:num>
  <w:num w:numId="32" w16cid:durableId="1466007105">
    <w:abstractNumId w:val="44"/>
  </w:num>
  <w:num w:numId="33" w16cid:durableId="1475875094">
    <w:abstractNumId w:val="3"/>
  </w:num>
  <w:num w:numId="34" w16cid:durableId="1816027014">
    <w:abstractNumId w:val="45"/>
  </w:num>
  <w:num w:numId="35" w16cid:durableId="1689023111">
    <w:abstractNumId w:val="40"/>
  </w:num>
  <w:num w:numId="36" w16cid:durableId="1106273980">
    <w:abstractNumId w:val="5"/>
  </w:num>
  <w:num w:numId="37" w16cid:durableId="154153400">
    <w:abstractNumId w:val="50"/>
  </w:num>
  <w:num w:numId="38" w16cid:durableId="366873316">
    <w:abstractNumId w:val="54"/>
  </w:num>
  <w:num w:numId="39" w16cid:durableId="1037966521">
    <w:abstractNumId w:val="33"/>
  </w:num>
  <w:num w:numId="40" w16cid:durableId="1971782157">
    <w:abstractNumId w:val="48"/>
  </w:num>
  <w:num w:numId="41" w16cid:durableId="2094692991">
    <w:abstractNumId w:val="42"/>
  </w:num>
  <w:num w:numId="42" w16cid:durableId="1095132390">
    <w:abstractNumId w:val="26"/>
  </w:num>
  <w:num w:numId="43" w16cid:durableId="1755589573">
    <w:abstractNumId w:val="2"/>
  </w:num>
  <w:num w:numId="44" w16cid:durableId="1059204818">
    <w:abstractNumId w:val="11"/>
  </w:num>
  <w:num w:numId="45" w16cid:durableId="1023554113">
    <w:abstractNumId w:val="8"/>
  </w:num>
  <w:num w:numId="46" w16cid:durableId="1342467967">
    <w:abstractNumId w:val="12"/>
  </w:num>
  <w:num w:numId="47" w16cid:durableId="1277717369">
    <w:abstractNumId w:val="34"/>
  </w:num>
  <w:num w:numId="48" w16cid:durableId="1186288313">
    <w:abstractNumId w:val="21"/>
  </w:num>
  <w:num w:numId="49" w16cid:durableId="525561290">
    <w:abstractNumId w:val="22"/>
  </w:num>
  <w:num w:numId="50" w16cid:durableId="50227971">
    <w:abstractNumId w:val="29"/>
  </w:num>
  <w:num w:numId="51" w16cid:durableId="1691368473">
    <w:abstractNumId w:val="0"/>
  </w:num>
  <w:num w:numId="52" w16cid:durableId="968052574">
    <w:abstractNumId w:val="35"/>
  </w:num>
  <w:num w:numId="53" w16cid:durableId="1579635249">
    <w:abstractNumId w:val="52"/>
  </w:num>
  <w:num w:numId="54" w16cid:durableId="328409989">
    <w:abstractNumId w:val="51"/>
  </w:num>
  <w:num w:numId="55" w16cid:durableId="1055085742">
    <w:abstractNumId w:val="53"/>
  </w:num>
  <w:num w:numId="56" w16cid:durableId="1770195320">
    <w:abstractNumId w:val="1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SK"/>
    <w:docVar w:name="dvnumam" w:val="311"/>
    <w:docVar w:name="dvpe" w:val="771.828"/>
    <w:docVar w:name="dvrapporteur" w:val="Spravodajcovia: "/>
    <w:docVar w:name="dvstar" w:val="***I"/>
    <w:docVar w:name="dvtitre" w:val="Legislatívne uznesenie Európskeho parlamentu z xx. novembra 2025 o návrhu nariadenia Európskeho parlamentu a Rady, ktorým sa zriaďuje Program pre európsky obranný priemysel a rámec opatrení na zabezpečenie včasnej dostupnosti a dodávok výrobkov obranného priemyslu (ďalej len „EDIP“)(COM(2024)0150 – C10-0005/2024 – 2024/0061(COD))"/>
  </w:docVars>
  <w:rsids>
    <w:rsidRoot w:val="00FF4018"/>
    <w:rsid w:val="00002272"/>
    <w:rsid w:val="0004148B"/>
    <w:rsid w:val="00064002"/>
    <w:rsid w:val="000677B9"/>
    <w:rsid w:val="000831BA"/>
    <w:rsid w:val="000A42CC"/>
    <w:rsid w:val="000C289D"/>
    <w:rsid w:val="000D5517"/>
    <w:rsid w:val="000E7DD9"/>
    <w:rsid w:val="000F2802"/>
    <w:rsid w:val="0010095E"/>
    <w:rsid w:val="00125B37"/>
    <w:rsid w:val="00187494"/>
    <w:rsid w:val="001E1151"/>
    <w:rsid w:val="001E46CA"/>
    <w:rsid w:val="001E5625"/>
    <w:rsid w:val="001F32AE"/>
    <w:rsid w:val="002767FF"/>
    <w:rsid w:val="002A705A"/>
    <w:rsid w:val="002B18FE"/>
    <w:rsid w:val="002B5493"/>
    <w:rsid w:val="002C2AB8"/>
    <w:rsid w:val="002F4460"/>
    <w:rsid w:val="00343214"/>
    <w:rsid w:val="00347295"/>
    <w:rsid w:val="00361C00"/>
    <w:rsid w:val="003679D8"/>
    <w:rsid w:val="00370FD1"/>
    <w:rsid w:val="00395FA1"/>
    <w:rsid w:val="003E15D4"/>
    <w:rsid w:val="003E21F6"/>
    <w:rsid w:val="00411CCE"/>
    <w:rsid w:val="0041666E"/>
    <w:rsid w:val="00421060"/>
    <w:rsid w:val="00427E01"/>
    <w:rsid w:val="00471C19"/>
    <w:rsid w:val="004867E3"/>
    <w:rsid w:val="00494A28"/>
    <w:rsid w:val="004B5C58"/>
    <w:rsid w:val="004C0004"/>
    <w:rsid w:val="004C5D52"/>
    <w:rsid w:val="004D7B60"/>
    <w:rsid w:val="005033C1"/>
    <w:rsid w:val="0050519A"/>
    <w:rsid w:val="005072A1"/>
    <w:rsid w:val="00514517"/>
    <w:rsid w:val="00526344"/>
    <w:rsid w:val="00545827"/>
    <w:rsid w:val="00560270"/>
    <w:rsid w:val="005C2568"/>
    <w:rsid w:val="005D14D1"/>
    <w:rsid w:val="005F1B17"/>
    <w:rsid w:val="005F3732"/>
    <w:rsid w:val="006037C0"/>
    <w:rsid w:val="00607E7E"/>
    <w:rsid w:val="00660BDC"/>
    <w:rsid w:val="006631B6"/>
    <w:rsid w:val="00680577"/>
    <w:rsid w:val="006F74FA"/>
    <w:rsid w:val="006F7F22"/>
    <w:rsid w:val="00731ADD"/>
    <w:rsid w:val="00734777"/>
    <w:rsid w:val="00747932"/>
    <w:rsid w:val="00751A4A"/>
    <w:rsid w:val="00756632"/>
    <w:rsid w:val="00762C74"/>
    <w:rsid w:val="00786EC0"/>
    <w:rsid w:val="007D1690"/>
    <w:rsid w:val="007D572F"/>
    <w:rsid w:val="007E22AD"/>
    <w:rsid w:val="00803516"/>
    <w:rsid w:val="00814CF4"/>
    <w:rsid w:val="00817416"/>
    <w:rsid w:val="00842779"/>
    <w:rsid w:val="00865F67"/>
    <w:rsid w:val="0088002B"/>
    <w:rsid w:val="00881A7B"/>
    <w:rsid w:val="008840E5"/>
    <w:rsid w:val="00887B3E"/>
    <w:rsid w:val="008C2AC6"/>
    <w:rsid w:val="008E5F24"/>
    <w:rsid w:val="00930C23"/>
    <w:rsid w:val="0093193B"/>
    <w:rsid w:val="009509D8"/>
    <w:rsid w:val="00950B64"/>
    <w:rsid w:val="00981893"/>
    <w:rsid w:val="009D7B25"/>
    <w:rsid w:val="009F4C3C"/>
    <w:rsid w:val="00A1687D"/>
    <w:rsid w:val="00A25B49"/>
    <w:rsid w:val="00A25F6E"/>
    <w:rsid w:val="00A42E8A"/>
    <w:rsid w:val="00A43E52"/>
    <w:rsid w:val="00A4678D"/>
    <w:rsid w:val="00A778C7"/>
    <w:rsid w:val="00A80F82"/>
    <w:rsid w:val="00A8300A"/>
    <w:rsid w:val="00AA760E"/>
    <w:rsid w:val="00AB441E"/>
    <w:rsid w:val="00AB6293"/>
    <w:rsid w:val="00AE0928"/>
    <w:rsid w:val="00AF3B82"/>
    <w:rsid w:val="00B12E95"/>
    <w:rsid w:val="00B22876"/>
    <w:rsid w:val="00B27703"/>
    <w:rsid w:val="00B558F0"/>
    <w:rsid w:val="00B80393"/>
    <w:rsid w:val="00B94E39"/>
    <w:rsid w:val="00BD48FE"/>
    <w:rsid w:val="00BD7BD8"/>
    <w:rsid w:val="00BE6ADC"/>
    <w:rsid w:val="00C05BFE"/>
    <w:rsid w:val="00C23CD4"/>
    <w:rsid w:val="00C61C0C"/>
    <w:rsid w:val="00C941CB"/>
    <w:rsid w:val="00CC2357"/>
    <w:rsid w:val="00CE19D0"/>
    <w:rsid w:val="00CF071A"/>
    <w:rsid w:val="00D058B8"/>
    <w:rsid w:val="00D56C11"/>
    <w:rsid w:val="00D834A0"/>
    <w:rsid w:val="00D872DF"/>
    <w:rsid w:val="00D91E21"/>
    <w:rsid w:val="00DA7FCD"/>
    <w:rsid w:val="00DC2212"/>
    <w:rsid w:val="00DD0C42"/>
    <w:rsid w:val="00E21FB7"/>
    <w:rsid w:val="00E365E1"/>
    <w:rsid w:val="00E820A4"/>
    <w:rsid w:val="00EB006A"/>
    <w:rsid w:val="00EB4772"/>
    <w:rsid w:val="00ED169E"/>
    <w:rsid w:val="00ED4235"/>
    <w:rsid w:val="00EE287B"/>
    <w:rsid w:val="00EE556C"/>
    <w:rsid w:val="00F04346"/>
    <w:rsid w:val="00F075DC"/>
    <w:rsid w:val="00F149E9"/>
    <w:rsid w:val="00F30A7B"/>
    <w:rsid w:val="00F30DDD"/>
    <w:rsid w:val="00F44FCB"/>
    <w:rsid w:val="00F5134D"/>
    <w:rsid w:val="00F74202"/>
    <w:rsid w:val="00F87713"/>
    <w:rsid w:val="00FB4360"/>
    <w:rsid w:val="00FD0C70"/>
    <w:rsid w:val="00F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98A89"/>
  <w15:chartTrackingRefBased/>
  <w15:docId w15:val="{15B8E331-ADA1-4D09-8539-FC2062AD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44FC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FC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FC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FC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FC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FCB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FCB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F44FCB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F44FCB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F44FC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44F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44FCB"/>
    <w:pPr>
      <w:spacing w:before="480" w:after="240"/>
    </w:pPr>
  </w:style>
  <w:style w:type="paragraph" w:customStyle="1" w:styleId="TOCPage">
    <w:name w:val="TOC Page"/>
    <w:basedOn w:val="Normal"/>
    <w:next w:val="TOC1"/>
    <w:rsid w:val="00F44FC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44F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44FCB"/>
    <w:rPr>
      <w:b/>
    </w:rPr>
  </w:style>
  <w:style w:type="paragraph" w:customStyle="1" w:styleId="NormalBold12a">
    <w:name w:val="NormalBold12a"/>
    <w:basedOn w:val="Normal"/>
    <w:rsid w:val="00F44FC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44FC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44FCB"/>
    <w:pPr>
      <w:spacing w:after="480"/>
      <w:ind w:left="1417"/>
    </w:pPr>
  </w:style>
  <w:style w:type="paragraph" w:customStyle="1" w:styleId="CoverNormal">
    <w:name w:val="CoverNormal"/>
    <w:basedOn w:val="Normal"/>
    <w:rsid w:val="00F44FCB"/>
    <w:pPr>
      <w:ind w:left="1418"/>
    </w:pPr>
  </w:style>
  <w:style w:type="paragraph" w:customStyle="1" w:styleId="NormalCenter12a">
    <w:name w:val="NormalCenter12a"/>
    <w:basedOn w:val="Normal"/>
    <w:rsid w:val="00F44FCB"/>
    <w:pPr>
      <w:spacing w:after="240"/>
      <w:jc w:val="center"/>
    </w:pPr>
  </w:style>
  <w:style w:type="paragraph" w:customStyle="1" w:styleId="CoverReference">
    <w:name w:val="CoverReference"/>
    <w:basedOn w:val="Normal"/>
    <w:rsid w:val="00F44FC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44FC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44FC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44FC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44F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FCB"/>
    <w:rPr>
      <w:sz w:val="24"/>
      <w:lang w:val="sk-SK"/>
    </w:rPr>
  </w:style>
  <w:style w:type="paragraph" w:customStyle="1" w:styleId="AmNumberTabs">
    <w:name w:val="AmNumberTabs"/>
    <w:basedOn w:val="Normal"/>
    <w:link w:val="AmNumberTabsChar"/>
    <w:rsid w:val="00F44F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44FCB"/>
    <w:pPr>
      <w:spacing w:before="720" w:after="240"/>
      <w:jc w:val="center"/>
    </w:pPr>
  </w:style>
  <w:style w:type="paragraph" w:customStyle="1" w:styleId="EPBody">
    <w:name w:val="EPBody"/>
    <w:basedOn w:val="Normal"/>
    <w:rsid w:val="00F44FC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44F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44FC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44FC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44FCB"/>
    <w:rPr>
      <w:sz w:val="18"/>
    </w:rPr>
  </w:style>
  <w:style w:type="paragraph" w:customStyle="1" w:styleId="AmJustText">
    <w:name w:val="AmJustText"/>
    <w:basedOn w:val="Normal"/>
    <w:rsid w:val="00F44FCB"/>
    <w:pPr>
      <w:spacing w:after="240"/>
    </w:pPr>
    <w:rPr>
      <w:i/>
    </w:rPr>
  </w:style>
  <w:style w:type="character" w:customStyle="1" w:styleId="NormalBoldChar">
    <w:name w:val="NormalBold Char"/>
    <w:basedOn w:val="DefaultParagraphFont"/>
    <w:link w:val="NormalBold"/>
    <w:locked/>
    <w:rsid w:val="00F44FCB"/>
    <w:rPr>
      <w:b/>
      <w:sz w:val="24"/>
      <w:lang w:val="sk-SK"/>
    </w:rPr>
  </w:style>
  <w:style w:type="paragraph" w:styleId="ListBullet4">
    <w:name w:val="List Bullet 4"/>
    <w:basedOn w:val="Normal"/>
    <w:uiPriority w:val="99"/>
    <w:rsid w:val="00F44FCB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F44FCB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44FCB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44FCB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44FCB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F44FCB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44FCB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44FCB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44FCB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character" w:styleId="Hyperlink">
    <w:name w:val="Hyperlink"/>
    <w:rsid w:val="00F44FCB"/>
    <w:rPr>
      <w:color w:val="0000FF"/>
      <w:u w:val="single"/>
    </w:rPr>
  </w:style>
  <w:style w:type="paragraph" w:styleId="ListBullet">
    <w:name w:val="List Bullet"/>
    <w:basedOn w:val="Normal"/>
    <w:uiPriority w:val="99"/>
    <w:rsid w:val="00F44FCB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F44FCB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rsid w:val="00F44FCB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44FCB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44FCB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44FCB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44FCB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44FCB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44FCB"/>
    <w:pPr>
      <w:numPr>
        <w:numId w:val="1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44FCB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44FCB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44FCB"/>
    <w:pPr>
      <w:numPr>
        <w:ilvl w:val="1"/>
        <w:numId w:val="16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44FCB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44FCB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44FCB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44FCB"/>
    <w:pPr>
      <w:numPr>
        <w:ilvl w:val="2"/>
        <w:numId w:val="16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44FCB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44FCB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44FCB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44FCB"/>
    <w:pPr>
      <w:numPr>
        <w:ilvl w:val="3"/>
        <w:numId w:val="16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44FCB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44FC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44FC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44FC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44FC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44FCB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44FC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44FC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44FC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44FC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44FC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44FC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44FCB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F44F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44FCB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4FCB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44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44FCB"/>
    <w:rPr>
      <w:b/>
      <w:bCs/>
      <w:lang w:val="sk-SK"/>
    </w:rPr>
  </w:style>
  <w:style w:type="paragraph" w:styleId="BalloonText">
    <w:name w:val="Balloon Text"/>
    <w:basedOn w:val="Normal"/>
    <w:link w:val="BalloonTextChar"/>
    <w:rsid w:val="00F44FCB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FCB"/>
    <w:rPr>
      <w:rFonts w:ascii="Tahoma" w:hAnsi="Tahoma" w:cs="Tahoma"/>
      <w:sz w:val="16"/>
      <w:szCs w:val="16"/>
      <w:lang w:val="sk-SK"/>
    </w:rPr>
  </w:style>
  <w:style w:type="paragraph" w:styleId="Caption">
    <w:name w:val="caption"/>
    <w:basedOn w:val="Normal"/>
    <w:next w:val="Normal"/>
    <w:qFormat/>
    <w:rsid w:val="00F44FCB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44FCB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F44FCB"/>
    <w:rPr>
      <w:vanish/>
      <w:color w:val="800080"/>
      <w:vertAlign w:val="subscript"/>
    </w:rPr>
  </w:style>
  <w:style w:type="character" w:styleId="FollowedHyperlink">
    <w:name w:val="FollowedHyperlink"/>
    <w:rsid w:val="00F44FCB"/>
    <w:rPr>
      <w:color w:val="800080"/>
      <w:u w:val="single"/>
    </w:rPr>
  </w:style>
  <w:style w:type="paragraph" w:customStyle="1" w:styleId="Sous-titreobjet">
    <w:name w:val="Sous-titre objet"/>
    <w:basedOn w:val="Normal"/>
    <w:rsid w:val="00F44FC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44FCB"/>
  </w:style>
  <w:style w:type="paragraph" w:styleId="Revision">
    <w:name w:val="Revision"/>
    <w:hidden/>
    <w:uiPriority w:val="99"/>
    <w:semiHidden/>
    <w:rsid w:val="00F44FCB"/>
    <w:pPr>
      <w:spacing w:after="200" w:line="276" w:lineRule="auto"/>
    </w:pPr>
    <w:rPr>
      <w:rFonts w:ascii="Calibri" w:eastAsia="Calibri" w:hAnsi="Calibri"/>
      <w:sz w:val="24"/>
      <w:szCs w:val="22"/>
      <w:lang w:val="sk-SK"/>
    </w:rPr>
  </w:style>
  <w:style w:type="paragraph" w:customStyle="1" w:styleId="FooterCoverPage">
    <w:name w:val="Footer Cover Page"/>
    <w:basedOn w:val="Normal"/>
    <w:link w:val="FooterCoverPageChar"/>
    <w:rsid w:val="00F44FC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F44FCB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rsid w:val="00F44FC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44FCB"/>
    <w:rPr>
      <w:rFonts w:eastAsia="Calibri"/>
      <w:sz w:val="24"/>
      <w:szCs w:val="22"/>
      <w:lang w:val="sk-SK"/>
    </w:rPr>
  </w:style>
  <w:style w:type="paragraph" w:customStyle="1" w:styleId="paragraph">
    <w:name w:val="paragraph"/>
    <w:basedOn w:val="Normal"/>
    <w:link w:val="paragraphChar"/>
    <w:rsid w:val="00F44FCB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character" w:customStyle="1" w:styleId="normaltextrun">
    <w:name w:val="normaltextrun"/>
    <w:basedOn w:val="DefaultParagraphFont"/>
    <w:rsid w:val="00F44FCB"/>
  </w:style>
  <w:style w:type="character" w:customStyle="1" w:styleId="findhit">
    <w:name w:val="findhit"/>
    <w:basedOn w:val="DefaultParagraphFont"/>
    <w:rsid w:val="00F44FCB"/>
  </w:style>
  <w:style w:type="character" w:customStyle="1" w:styleId="eop">
    <w:name w:val="eop"/>
    <w:basedOn w:val="DefaultParagraphFont"/>
    <w:rsid w:val="00F44FCB"/>
  </w:style>
  <w:style w:type="paragraph" w:styleId="ListParagraph">
    <w:name w:val="List Paragraph"/>
    <w:basedOn w:val="Normal"/>
    <w:uiPriority w:val="1"/>
    <w:qFormat/>
    <w:rsid w:val="00F44FC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F44FCB"/>
    <w:rPr>
      <w:sz w:val="24"/>
      <w:szCs w:val="24"/>
      <w:lang w:val="sk-SK" w:eastAsia="en-IE"/>
      <w14:ligatures w14:val="standardContextual"/>
    </w:rPr>
  </w:style>
  <w:style w:type="paragraph" w:customStyle="1" w:styleId="li">
    <w:name w:val="li"/>
    <w:basedOn w:val="Normal"/>
    <w:rsid w:val="00F44FCB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paragraph" w:customStyle="1" w:styleId="oj-normal">
    <w:name w:val="oj-normal"/>
    <w:basedOn w:val="Normal"/>
    <w:rsid w:val="00F44FCB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4FCB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F44FCB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styleId="Title">
    <w:name w:val="Title"/>
    <w:basedOn w:val="Normal"/>
    <w:link w:val="TitleChar"/>
    <w:uiPriority w:val="10"/>
    <w:qFormat/>
    <w:rsid w:val="00F44FCB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44FCB"/>
    <w:rPr>
      <w:rFonts w:ascii="Cambria" w:eastAsia="Cambria" w:hAnsi="Cambria" w:cs="Cambria"/>
      <w:sz w:val="34"/>
      <w:szCs w:val="34"/>
      <w:lang w:val="sk-SK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F44FCB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44FCB"/>
    <w:rPr>
      <w:rFonts w:ascii="Cambria" w:eastAsia="Cambria" w:hAnsi="Cambria" w:cs="Cambria"/>
      <w:sz w:val="19"/>
      <w:szCs w:val="19"/>
      <w:lang w:val="sk-SK" w:eastAsia="en-US"/>
    </w:rPr>
  </w:style>
  <w:style w:type="paragraph" w:customStyle="1" w:styleId="TableParagraph">
    <w:name w:val="Table Paragraph"/>
    <w:basedOn w:val="Normal"/>
    <w:uiPriority w:val="1"/>
    <w:qFormat/>
    <w:rsid w:val="00F44FCB"/>
    <w:pPr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num">
    <w:name w:val="num"/>
    <w:basedOn w:val="DefaultParagraphFont"/>
    <w:rsid w:val="00F44FCB"/>
  </w:style>
  <w:style w:type="paragraph" w:customStyle="1" w:styleId="NumPar10">
    <w:name w:val="Num Par 1"/>
    <w:basedOn w:val="Text1"/>
    <w:rsid w:val="00F44FCB"/>
  </w:style>
  <w:style w:type="paragraph" w:customStyle="1" w:styleId="Normal1">
    <w:name w:val="Normal1"/>
    <w:basedOn w:val="Normal"/>
    <w:rsid w:val="00F44FCB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oj-super">
    <w:name w:val="oj-super"/>
    <w:basedOn w:val="DefaultParagraphFont"/>
    <w:rsid w:val="00F44FCB"/>
  </w:style>
  <w:style w:type="paragraph" w:customStyle="1" w:styleId="numpar11">
    <w:name w:val="numpar1"/>
    <w:basedOn w:val="Normal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IE"/>
    </w:rPr>
  </w:style>
  <w:style w:type="paragraph" w:customStyle="1" w:styleId="Article">
    <w:name w:val="Article"/>
    <w:basedOn w:val="Text1"/>
    <w:rsid w:val="00F44FCB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F44FCB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F44FCB"/>
    <w:rPr>
      <w:b/>
      <w:bCs/>
    </w:rPr>
  </w:style>
  <w:style w:type="character" w:customStyle="1" w:styleId="UnresolvedMention10">
    <w:name w:val="Unresolved Mention1_0"/>
    <w:basedOn w:val="DefaultParagraphFont"/>
    <w:uiPriority w:val="99"/>
    <w:semiHidden/>
    <w:unhideWhenUsed/>
    <w:rsid w:val="00F44FCB"/>
    <w:rPr>
      <w:color w:val="605E5C"/>
      <w:shd w:val="clear" w:color="auto" w:fill="E1DFDD"/>
    </w:rPr>
  </w:style>
  <w:style w:type="paragraph" w:customStyle="1" w:styleId="Body">
    <w:name w:val="Body"/>
    <w:rsid w:val="00F44FCB"/>
    <w:pPr>
      <w:spacing w:before="120" w:after="120"/>
      <w:jc w:val="both"/>
    </w:pPr>
    <w:rPr>
      <w:color w:val="000000"/>
      <w:sz w:val="24"/>
      <w:szCs w:val="24"/>
      <w:u w:color="000000"/>
      <w:lang w:val="sk-SK"/>
    </w:rPr>
  </w:style>
  <w:style w:type="character" w:customStyle="1" w:styleId="ilfuvd">
    <w:name w:val="ilfuvd"/>
    <w:basedOn w:val="DefaultParagraphFont"/>
    <w:rsid w:val="00F44FCB"/>
  </w:style>
  <w:style w:type="character" w:customStyle="1" w:styleId="Mention1">
    <w:name w:val="Mention1"/>
    <w:basedOn w:val="DefaultParagraphFont"/>
    <w:uiPriority w:val="99"/>
    <w:unhideWhenUsed/>
    <w:rsid w:val="00F44FCB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F44FC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44FCB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44FC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44FC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44FC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F44FC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44FC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F44FC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44FC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F44FC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F44FC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44FC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44FC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44FC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44FC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44FC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44FC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44FC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44FC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F44FC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44FCB"/>
    <w:pPr>
      <w:numPr>
        <w:numId w:val="21"/>
      </w:numPr>
    </w:pPr>
  </w:style>
  <w:style w:type="paragraph" w:customStyle="1" w:styleId="Tiret1">
    <w:name w:val="Tiret 1"/>
    <w:basedOn w:val="Point1"/>
    <w:rsid w:val="00F44FCB"/>
    <w:pPr>
      <w:numPr>
        <w:numId w:val="22"/>
      </w:numPr>
    </w:pPr>
  </w:style>
  <w:style w:type="paragraph" w:customStyle="1" w:styleId="Tiret2">
    <w:name w:val="Tiret 2"/>
    <w:basedOn w:val="Point2"/>
    <w:rsid w:val="00F44FCB"/>
    <w:pPr>
      <w:numPr>
        <w:numId w:val="23"/>
      </w:numPr>
    </w:pPr>
  </w:style>
  <w:style w:type="paragraph" w:customStyle="1" w:styleId="Tiret3">
    <w:name w:val="Tiret 3"/>
    <w:basedOn w:val="Point3"/>
    <w:rsid w:val="00F44FCB"/>
    <w:pPr>
      <w:numPr>
        <w:numId w:val="24"/>
      </w:numPr>
    </w:pPr>
  </w:style>
  <w:style w:type="paragraph" w:customStyle="1" w:styleId="Tiret4">
    <w:name w:val="Tiret 4"/>
    <w:basedOn w:val="Point4"/>
    <w:rsid w:val="00F44FCB"/>
    <w:pPr>
      <w:numPr>
        <w:numId w:val="25"/>
      </w:numPr>
    </w:pPr>
  </w:style>
  <w:style w:type="paragraph" w:customStyle="1" w:styleId="Tiret5">
    <w:name w:val="Tiret 5"/>
    <w:basedOn w:val="Point5"/>
    <w:rsid w:val="00F44FCB"/>
    <w:pPr>
      <w:numPr>
        <w:numId w:val="26"/>
      </w:numPr>
    </w:pPr>
  </w:style>
  <w:style w:type="paragraph" w:customStyle="1" w:styleId="PointDouble0">
    <w:name w:val="PointDouble 0"/>
    <w:basedOn w:val="Normal"/>
    <w:rsid w:val="00F44FC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44FC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44FC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44FC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44FC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44FC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44FC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44FC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44FC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44FC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44FCB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44FCB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44FCB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44FCB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44FCB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44FCB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44FCB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44F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44FC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44FC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44FC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44FC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44FC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44FC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44FC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44FC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44FC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44FC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44FC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44FC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44FC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44FC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F44FC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44FC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44FC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44FCB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44FCB"/>
    <w:pPr>
      <w:widowControl/>
      <w:numPr>
        <w:ilvl w:val="2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F44FCB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44FCB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44FCB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F44FCB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44FCB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44FCB"/>
    <w:pPr>
      <w:widowControl/>
      <w:numPr>
        <w:ilvl w:val="7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44FCB"/>
    <w:pPr>
      <w:widowControl/>
      <w:numPr>
        <w:ilvl w:val="8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44FCB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44FCB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44FCB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44FCB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44FCB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44FC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44FC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44FC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44FC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44FC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44FC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44FC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F44FC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F44FC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44FC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44FC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44FC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44FC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44FC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44FCB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44FC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44FC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44FC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44FC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44FC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44FC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44FC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44FC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44FC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44FC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44FC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44FC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44FC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44FC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F44FC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44FC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44FC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44FC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44FC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44FC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F44FC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44FC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44FC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44FCB"/>
  </w:style>
  <w:style w:type="paragraph" w:customStyle="1" w:styleId="StatutPagedecouverture">
    <w:name w:val="Statut (Page de couverture)"/>
    <w:basedOn w:val="Statut"/>
    <w:next w:val="TypedudocumentPagedecouverture"/>
    <w:rsid w:val="00F44FCB"/>
  </w:style>
  <w:style w:type="paragraph" w:customStyle="1" w:styleId="TitreobjetPagedecouverture">
    <w:name w:val="Titre objet (Page de couverture)"/>
    <w:basedOn w:val="Titreobjet"/>
    <w:next w:val="IntrtEEEPagedecouverture"/>
    <w:rsid w:val="00F44FC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44FCB"/>
  </w:style>
  <w:style w:type="paragraph" w:customStyle="1" w:styleId="Volume">
    <w:name w:val="Volume"/>
    <w:basedOn w:val="Normal"/>
    <w:next w:val="Confidentialit"/>
    <w:rsid w:val="00F44FC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44FCB"/>
    <w:pPr>
      <w:spacing w:after="240"/>
    </w:pPr>
  </w:style>
  <w:style w:type="paragraph" w:customStyle="1" w:styleId="Accompagnant">
    <w:name w:val="Accompagnant"/>
    <w:basedOn w:val="Normal"/>
    <w:next w:val="Typeacteprincipal"/>
    <w:rsid w:val="00F44FC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44FC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44FC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44FCB"/>
  </w:style>
  <w:style w:type="paragraph" w:customStyle="1" w:styleId="AccompagnantPagedecouverture">
    <w:name w:val="Accompagnant (Page de couverture)"/>
    <w:basedOn w:val="Accompagnant"/>
    <w:next w:val="TypeacteprincipalPagedecouverture"/>
    <w:rsid w:val="00F44FC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44FCB"/>
  </w:style>
  <w:style w:type="paragraph" w:customStyle="1" w:styleId="ObjetacteprincipalPagedecouverture">
    <w:name w:val="Objet acte principal (Page de couverture)"/>
    <w:basedOn w:val="Objetacteprincipal"/>
    <w:next w:val="Rfrencecroise"/>
    <w:rsid w:val="00F44FCB"/>
  </w:style>
  <w:style w:type="paragraph" w:customStyle="1" w:styleId="LanguesfaisantfoiPagedecouverture">
    <w:name w:val="Langues faisant foi (Page de couverture)"/>
    <w:basedOn w:val="Normal"/>
    <w:next w:val="Normal"/>
    <w:rsid w:val="00F44FC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44FC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AmOrLang">
    <w:name w:val="AmOrLang"/>
    <w:basedOn w:val="Normal"/>
    <w:rsid w:val="00F44FCB"/>
    <w:pPr>
      <w:spacing w:before="240" w:after="240"/>
      <w:jc w:val="right"/>
    </w:pPr>
  </w:style>
  <w:style w:type="paragraph" w:customStyle="1" w:styleId="FooterLandscape">
    <w:name w:val="FooterLandscape"/>
    <w:basedOn w:val="Normal"/>
    <w:rsid w:val="00F44FC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Normal24a">
    <w:name w:val="Normal24a"/>
    <w:basedOn w:val="Normal"/>
    <w:rsid w:val="00F44FCB"/>
    <w:pPr>
      <w:spacing w:after="480"/>
    </w:pPr>
  </w:style>
  <w:style w:type="paragraph" w:customStyle="1" w:styleId="NormalBoldCenter">
    <w:name w:val="NormalBoldCenter"/>
    <w:basedOn w:val="Normal"/>
    <w:rsid w:val="00F44FCB"/>
    <w:pPr>
      <w:jc w:val="center"/>
    </w:pPr>
    <w:rPr>
      <w:b/>
    </w:rPr>
  </w:style>
  <w:style w:type="paragraph" w:customStyle="1" w:styleId="Footprint12b">
    <w:name w:val="Footprint12b"/>
    <w:basedOn w:val="Normal"/>
    <w:rsid w:val="00F44FCB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F44FCB"/>
    <w:pPr>
      <w:spacing w:after="240"/>
    </w:pPr>
  </w:style>
  <w:style w:type="paragraph" w:customStyle="1" w:styleId="PageHeadingNotTOC">
    <w:name w:val="PageHeadingNotTOC"/>
    <w:basedOn w:val="Normal"/>
    <w:rsid w:val="00F44F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6a">
    <w:name w:val="Normal6a"/>
    <w:basedOn w:val="Normal"/>
    <w:rsid w:val="00F44FCB"/>
    <w:pPr>
      <w:spacing w:after="120"/>
    </w:pPr>
  </w:style>
  <w:style w:type="paragraph" w:customStyle="1" w:styleId="AmColumnHeading">
    <w:name w:val="AmColumnHeading"/>
    <w:basedOn w:val="Normal"/>
    <w:rsid w:val="00F44FCB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F44FCB"/>
    <w:pPr>
      <w:spacing w:before="240"/>
    </w:pPr>
    <w:rPr>
      <w:b/>
    </w:rPr>
  </w:style>
  <w:style w:type="paragraph" w:customStyle="1" w:styleId="NormalSingle">
    <w:name w:val="NormalSingle"/>
    <w:basedOn w:val="Normal"/>
    <w:qFormat/>
    <w:rsid w:val="00F44FCB"/>
    <w:rPr>
      <w:szCs w:val="24"/>
    </w:rPr>
  </w:style>
  <w:style w:type="paragraph" w:customStyle="1" w:styleId="RollCallSymbols14pt">
    <w:name w:val="RollCallSymbols14pt"/>
    <w:basedOn w:val="Normal"/>
    <w:rsid w:val="00F44FC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44FC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44FC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44FCB"/>
    <w:pPr>
      <w:spacing w:before="120" w:after="120"/>
    </w:pPr>
    <w:rPr>
      <w:snapToGrid w:val="0"/>
      <w:sz w:val="16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F44FCB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F44FCB"/>
    <w:rPr>
      <w:b/>
      <w:sz w:val="24"/>
      <w:lang w:val="sk-SK"/>
    </w:rPr>
  </w:style>
  <w:style w:type="paragraph" w:customStyle="1" w:styleId="AmCrossRef">
    <w:name w:val="AmCrossRef"/>
    <w:basedOn w:val="Normal"/>
    <w:rsid w:val="00F44FC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44FCB"/>
    <w:pPr>
      <w:keepNext/>
      <w:spacing w:before="240" w:after="240"/>
      <w:jc w:val="center"/>
    </w:pPr>
    <w:rPr>
      <w:i/>
    </w:rPr>
  </w:style>
  <w:style w:type="paragraph" w:customStyle="1" w:styleId="EntPE">
    <w:name w:val="EntPE"/>
    <w:basedOn w:val="Normal12"/>
    <w:rsid w:val="00F44FC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44FC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44FC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44FC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44FC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44FCB"/>
    <w:rPr>
      <w:noProof/>
      <w:sz w:val="24"/>
      <w:lang w:val="sk-SK"/>
    </w:rPr>
  </w:style>
  <w:style w:type="paragraph" w:customStyle="1" w:styleId="PELeft">
    <w:name w:val="PELeft"/>
    <w:basedOn w:val="Normal"/>
    <w:rsid w:val="00F44FC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44FC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F44FCB"/>
    <w:pPr>
      <w:spacing w:after="120"/>
    </w:pPr>
  </w:style>
  <w:style w:type="paragraph" w:customStyle="1" w:styleId="Normal12Italic">
    <w:name w:val="Normal12Italic"/>
    <w:basedOn w:val="Normal12"/>
    <w:rsid w:val="00F44FCB"/>
    <w:rPr>
      <w:i/>
    </w:rPr>
  </w:style>
  <w:style w:type="paragraph" w:customStyle="1" w:styleId="JustificationTitle">
    <w:name w:val="JustificationTitle"/>
    <w:basedOn w:val="Normal"/>
    <w:next w:val="Normal12"/>
    <w:rsid w:val="00F44FC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44FC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F44FCB"/>
    <w:rPr>
      <w:sz w:val="24"/>
      <w:lang w:val="sk-SK"/>
    </w:rPr>
  </w:style>
  <w:style w:type="paragraph" w:customStyle="1" w:styleId="ColumnHeading">
    <w:name w:val="ColumnHeading"/>
    <w:basedOn w:val="Normal"/>
    <w:rsid w:val="00F44FC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44F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44FCB"/>
    <w:pPr>
      <w:spacing w:before="240"/>
      <w:jc w:val="center"/>
    </w:pPr>
    <w:rPr>
      <w:i/>
    </w:rPr>
  </w:style>
  <w:style w:type="character" w:customStyle="1" w:styleId="Footer2Middle">
    <w:name w:val="Footer2Middle"/>
    <w:rsid w:val="00F44FCB"/>
    <w:rPr>
      <w:rFonts w:ascii="Arial" w:cs="Arial"/>
      <w:b w:val="0"/>
      <w:i/>
      <w:color w:val="C0C0C0"/>
      <w:sz w:val="22"/>
    </w:rPr>
  </w:style>
  <w:style w:type="paragraph" w:customStyle="1" w:styleId="SUPERSCharCharCharCharCharCharCharChar">
    <w:name w:val="SUPERS Char Char Char Char Char Char Char Char"/>
    <w:aliases w:val="Footnote Reference Number Tegn Char Char Char Char Char Char Char Char Char,SUPERS Tegn Char Char Char Char Char Char Char Char Char"/>
    <w:basedOn w:val="Normal"/>
    <w:link w:val="FootnoteReference"/>
    <w:autoRedefine/>
    <w:rsid w:val="00F44FCB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D7B60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80351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03516"/>
    <w:pPr>
      <w:tabs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035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516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  <w:rsid w:val="00803516"/>
  </w:style>
  <w:style w:type="paragraph" w:customStyle="1" w:styleId="NormalJustified">
    <w:name w:val="Normal Justified"/>
    <w:basedOn w:val="Normal"/>
    <w:rsid w:val="0080351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0351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0351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0351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0351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0351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0351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0351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0351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0351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0351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0351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0351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0351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0351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0351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03516"/>
    <w:pPr>
      <w:widowControl/>
      <w:numPr>
        <w:ilvl w:val="1"/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03516"/>
    <w:pPr>
      <w:widowControl/>
      <w:numPr>
        <w:ilvl w:val="3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03516"/>
    <w:pPr>
      <w:widowControl/>
      <w:numPr>
        <w:ilvl w:val="5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03516"/>
    <w:pPr>
      <w:widowControl/>
      <w:numPr>
        <w:ilvl w:val="7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03516"/>
    <w:pPr>
      <w:widowControl/>
      <w:numPr>
        <w:ilvl w:val="8"/>
        <w:numId w:val="43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03516"/>
    <w:pPr>
      <w:widowControl/>
      <w:numPr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03516"/>
    <w:pPr>
      <w:widowControl/>
      <w:numPr>
        <w:ilvl w:val="2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03516"/>
    <w:pPr>
      <w:widowControl/>
      <w:numPr>
        <w:ilvl w:val="4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03516"/>
    <w:pPr>
      <w:widowControl/>
      <w:numPr>
        <w:ilvl w:val="6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03516"/>
    <w:pPr>
      <w:widowControl/>
      <w:numPr>
        <w:numId w:val="44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03516"/>
    <w:pPr>
      <w:widowControl/>
      <w:numPr>
        <w:ilvl w:val="1"/>
        <w:numId w:val="44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03516"/>
    <w:pPr>
      <w:widowControl/>
      <w:numPr>
        <w:ilvl w:val="2"/>
        <w:numId w:val="44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03516"/>
    <w:pPr>
      <w:widowControl/>
      <w:numPr>
        <w:ilvl w:val="3"/>
        <w:numId w:val="44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03516"/>
    <w:pPr>
      <w:widowControl/>
      <w:numPr>
        <w:ilvl w:val="4"/>
        <w:numId w:val="44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03516"/>
    <w:pPr>
      <w:widowControl/>
      <w:numPr>
        <w:numId w:val="42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03516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03516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03516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03516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03516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03516"/>
    <w:pPr>
      <w:numPr>
        <w:numId w:val="37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03516"/>
    <w:pPr>
      <w:numPr>
        <w:numId w:val="38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03516"/>
    <w:pPr>
      <w:numPr>
        <w:numId w:val="39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03516"/>
    <w:pPr>
      <w:numPr>
        <w:numId w:val="40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03516"/>
    <w:pPr>
      <w:numPr>
        <w:numId w:val="41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80351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03516"/>
    <w:pPr>
      <w:numPr>
        <w:numId w:val="47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03516"/>
    <w:pPr>
      <w:numPr>
        <w:numId w:val="46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03516"/>
    <w:pPr>
      <w:numPr>
        <w:numId w:val="45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03516"/>
    <w:pPr>
      <w:jc w:val="center"/>
    </w:pPr>
  </w:style>
  <w:style w:type="paragraph" w:customStyle="1" w:styleId="Jardin">
    <w:name w:val="Jardin"/>
    <w:basedOn w:val="Normal"/>
    <w:rsid w:val="0080351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0351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0351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0351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03516"/>
    <w:rPr>
      <w:b/>
    </w:rPr>
  </w:style>
  <w:style w:type="paragraph" w:customStyle="1" w:styleId="Annex">
    <w:name w:val="Annex"/>
    <w:basedOn w:val="Normal"/>
    <w:next w:val="Normal"/>
    <w:rsid w:val="0080351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0351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0351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0351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0351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0351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03516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803516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80351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0351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0351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0351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803516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80351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80351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03516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80351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80351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0351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0351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0351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HeaderCouncilLarge">
    <w:name w:val="Header Council Large"/>
    <w:basedOn w:val="Normal"/>
    <w:link w:val="HeaderCouncilLargeChar"/>
    <w:rsid w:val="00803516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803516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k-S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803516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k-SK" w:eastAsia="fr-BE"/>
    </w:rPr>
  </w:style>
  <w:style w:type="paragraph" w:customStyle="1" w:styleId="FooterText">
    <w:name w:val="Footer Text"/>
    <w:basedOn w:val="Normal"/>
    <w:rsid w:val="0080351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03516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803516"/>
    <w:pPr>
      <w:keepNext/>
      <w:widowControl/>
      <w:numPr>
        <w:numId w:val="51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1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2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3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4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5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803516"/>
    <w:pPr>
      <w:keepNext/>
      <w:widowControl/>
      <w:numPr>
        <w:ilvl w:val="6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803516"/>
    <w:rPr>
      <w:rFonts w:ascii="Arial" w:hAnsi="Arial"/>
      <w:b/>
      <w:kern w:val="28"/>
      <w:sz w:val="28"/>
      <w:lang w:val="sk-SK"/>
    </w:rPr>
  </w:style>
  <w:style w:type="paragraph" w:customStyle="1" w:styleId="Text7">
    <w:name w:val="Text 7"/>
    <w:basedOn w:val="Normal"/>
    <w:rsid w:val="0080351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0351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0351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0351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0351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0351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0351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0351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0351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0351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03516"/>
    <w:pPr>
      <w:widowControl/>
      <w:numPr>
        <w:numId w:val="48"/>
      </w:numPr>
      <w:tabs>
        <w:tab w:val="clear" w:pos="4252"/>
        <w:tab w:val="num" w:pos="1134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03516"/>
    <w:pPr>
      <w:widowControl/>
      <w:numPr>
        <w:numId w:val="49"/>
      </w:numPr>
      <w:tabs>
        <w:tab w:val="clear" w:pos="4819"/>
        <w:tab w:val="num" w:pos="1701"/>
        <w:tab w:val="num" w:pos="226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03516"/>
    <w:pPr>
      <w:widowControl/>
      <w:numPr>
        <w:numId w:val="50"/>
      </w:numPr>
      <w:tabs>
        <w:tab w:val="clear" w:pos="5386"/>
        <w:tab w:val="num" w:pos="2268"/>
        <w:tab w:val="num" w:pos="283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03516"/>
    <w:pPr>
      <w:widowControl/>
      <w:numPr>
        <w:numId w:val="52"/>
      </w:numPr>
      <w:tabs>
        <w:tab w:val="clear" w:pos="3685"/>
        <w:tab w:val="num" w:pos="567"/>
        <w:tab w:val="num" w:pos="283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03516"/>
    <w:pPr>
      <w:widowControl/>
      <w:numPr>
        <w:numId w:val="5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03516"/>
    <w:pPr>
      <w:widowControl/>
      <w:numPr>
        <w:numId w:val="5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03516"/>
    <w:pPr>
      <w:widowControl/>
      <w:numPr>
        <w:numId w:val="55"/>
      </w:numPr>
      <w:tabs>
        <w:tab w:val="clear" w:pos="5386"/>
        <w:tab w:val="num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0351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0351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80351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0351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0351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0351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0351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0351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0351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0351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0351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03516"/>
    <w:pPr>
      <w:spacing w:before="240"/>
    </w:pPr>
  </w:style>
  <w:style w:type="paragraph" w:customStyle="1" w:styleId="Accordtitre">
    <w:name w:val="Accord titre"/>
    <w:basedOn w:val="Normal"/>
    <w:rsid w:val="0080351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0351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0351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0351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0351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0351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0351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0351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0351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0351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0351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0351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0351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0351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0351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0351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0351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0351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0351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0351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0351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0351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0351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0351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0351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0351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0351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0351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0351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0351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0351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0351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80351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03516"/>
    <w:pPr>
      <w:pBdr>
        <w:top w:val="none" w:sz="0" w:space="0" w:color="auto"/>
        <w:left w:val="single" w:sz="4" w:space="20" w:color="auto"/>
      </w:pBdr>
    </w:pPr>
  </w:style>
  <w:style w:type="character" w:customStyle="1" w:styleId="Heading2Char1">
    <w:name w:val="Heading 2 Char1"/>
    <w:basedOn w:val="DefaultParagraphFont"/>
    <w:uiPriority w:val="9"/>
    <w:semiHidden/>
    <w:rsid w:val="00803516"/>
    <w:rPr>
      <w:rFonts w:ascii="Cambria" w:eastAsia="Times New Roman" w:hAnsi="Cambria" w:cs="Times New Roman"/>
      <w:color w:val="365F91"/>
      <w:sz w:val="26"/>
      <w:szCs w:val="26"/>
      <w:lang w:val="sk-SK"/>
    </w:rPr>
  </w:style>
  <w:style w:type="character" w:customStyle="1" w:styleId="Heading3Char1">
    <w:name w:val="Heading 3 Char1"/>
    <w:basedOn w:val="DefaultParagraphFont"/>
    <w:uiPriority w:val="9"/>
    <w:semiHidden/>
    <w:rsid w:val="00803516"/>
    <w:rPr>
      <w:rFonts w:ascii="Cambria" w:eastAsia="Times New Roman" w:hAnsi="Cambria" w:cs="Times New Roman"/>
      <w:color w:val="243F60"/>
      <w:sz w:val="24"/>
      <w:szCs w:val="24"/>
      <w:lang w:val="sk-SK"/>
    </w:rPr>
  </w:style>
  <w:style w:type="character" w:customStyle="1" w:styleId="Heading4Char1">
    <w:name w:val="Heading 4 Char1"/>
    <w:basedOn w:val="DefaultParagraphFont"/>
    <w:uiPriority w:val="9"/>
    <w:semiHidden/>
    <w:rsid w:val="00803516"/>
    <w:rPr>
      <w:rFonts w:ascii="Cambria" w:eastAsia="Times New Roman" w:hAnsi="Cambria" w:cs="Times New Roman"/>
      <w:i/>
      <w:iCs/>
      <w:color w:val="365F91"/>
      <w:sz w:val="24"/>
      <w:lang w:val="sk-SK"/>
    </w:rPr>
  </w:style>
  <w:style w:type="character" w:customStyle="1" w:styleId="Heading5Char1">
    <w:name w:val="Heading 5 Char1"/>
    <w:basedOn w:val="DefaultParagraphFont"/>
    <w:uiPriority w:val="9"/>
    <w:semiHidden/>
    <w:rsid w:val="00803516"/>
    <w:rPr>
      <w:rFonts w:ascii="Cambria" w:eastAsia="Times New Roman" w:hAnsi="Cambria" w:cs="Times New Roman"/>
      <w:color w:val="365F91"/>
      <w:sz w:val="24"/>
      <w:lang w:val="sk-SK"/>
    </w:rPr>
  </w:style>
  <w:style w:type="character" w:customStyle="1" w:styleId="Heading6Char1">
    <w:name w:val="Heading 6 Char1"/>
    <w:basedOn w:val="DefaultParagraphFont"/>
    <w:uiPriority w:val="9"/>
    <w:semiHidden/>
    <w:rsid w:val="00803516"/>
    <w:rPr>
      <w:rFonts w:ascii="Cambria" w:eastAsia="Times New Roman" w:hAnsi="Cambria" w:cs="Times New Roman"/>
      <w:color w:val="243F60"/>
      <w:sz w:val="24"/>
      <w:lang w:val="sk-SK"/>
    </w:rPr>
  </w:style>
  <w:style w:type="character" w:customStyle="1" w:styleId="Heading7Char1">
    <w:name w:val="Heading 7 Char1"/>
    <w:basedOn w:val="DefaultParagraphFont"/>
    <w:uiPriority w:val="9"/>
    <w:semiHidden/>
    <w:rsid w:val="00803516"/>
    <w:rPr>
      <w:rFonts w:ascii="Cambria" w:eastAsia="Times New Roman" w:hAnsi="Cambria" w:cs="Times New Roman"/>
      <w:i/>
      <w:iCs/>
      <w:color w:val="243F60"/>
      <w:sz w:val="24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803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927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2026-01-27T13:12:00Z</dcterms:created>
  <dcterms:modified xsi:type="dcterms:W3CDTF">2026-01-27T13:12:00Z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