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00CE" w14:paraId="7D05ADBE" w14:textId="77777777" w:rsidTr="0010095E">
        <w:trPr>
          <w:trHeight w:hRule="exact" w:val="1418"/>
        </w:trPr>
        <w:tc>
          <w:tcPr>
            <w:tcW w:w="6804" w:type="dxa"/>
            <w:shd w:val="clear" w:color="auto" w:fill="auto"/>
            <w:vAlign w:val="center"/>
          </w:tcPr>
          <w:p w14:paraId="6AFB214E" w14:textId="6941AC33" w:rsidR="00751A4A" w:rsidRPr="00FB00CE" w:rsidRDefault="00AF052B" w:rsidP="0010095E">
            <w:pPr>
              <w:pStyle w:val="EPName"/>
            </w:pPr>
            <w:r w:rsidRPr="00FB00CE">
              <w:t>Европейски</w:t>
            </w:r>
            <w:r w:rsidR="00434193" w:rsidRPr="00FB00CE">
              <w:t xml:space="preserve"> парламент</w:t>
            </w:r>
          </w:p>
          <w:p w14:paraId="3F398CCC" w14:textId="2435DF59" w:rsidR="00751A4A" w:rsidRPr="00FB00CE" w:rsidRDefault="005F1B17" w:rsidP="005F1B17">
            <w:pPr>
              <w:pStyle w:val="EPTerm"/>
              <w:rPr>
                <w:rStyle w:val="HideTWBExt"/>
                <w:noProof w:val="0"/>
                <w:vanish w:val="0"/>
                <w:color w:val="auto"/>
              </w:rPr>
            </w:pPr>
            <w:r w:rsidRPr="00FB00CE">
              <w:t>2024</w:t>
            </w:r>
            <w:r w:rsidR="00AF052B">
              <w:t> – </w:t>
            </w:r>
            <w:r w:rsidR="00817416" w:rsidRPr="00FB00CE">
              <w:t>202</w:t>
            </w:r>
            <w:r w:rsidRPr="00FB00CE">
              <w:t>9</w:t>
            </w:r>
          </w:p>
        </w:tc>
        <w:tc>
          <w:tcPr>
            <w:tcW w:w="2268" w:type="dxa"/>
            <w:shd w:val="clear" w:color="auto" w:fill="auto"/>
          </w:tcPr>
          <w:p w14:paraId="1DDB3179" w14:textId="77777777" w:rsidR="00751A4A" w:rsidRPr="00FB00CE" w:rsidRDefault="00187494" w:rsidP="0010095E">
            <w:pPr>
              <w:pStyle w:val="EPLogo"/>
            </w:pPr>
            <w:r w:rsidRPr="00FB00CE">
              <w:rPr>
                <w:noProof/>
                <w:lang w:eastAsia="ja-JP"/>
              </w:rPr>
              <w:drawing>
                <wp:inline distT="0" distB="0" distL="0" distR="0" wp14:anchorId="46661AC5" wp14:editId="561DD9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E75A77" w14:textId="77777777" w:rsidR="00D058B8" w:rsidRPr="00FB00CE" w:rsidRDefault="00D058B8" w:rsidP="004C5D52">
      <w:pPr>
        <w:pStyle w:val="LineTop"/>
      </w:pPr>
    </w:p>
    <w:p w14:paraId="0F867E98" w14:textId="77777777" w:rsidR="00680577" w:rsidRPr="00FB00CE" w:rsidRDefault="00434193" w:rsidP="00680577">
      <w:pPr>
        <w:pStyle w:val="EPBodyTA1"/>
      </w:pPr>
      <w:r w:rsidRPr="00FB00CE">
        <w:t>ПРИЕТИ ТЕКСТОВЕ</w:t>
      </w:r>
    </w:p>
    <w:p w14:paraId="35B34E42" w14:textId="77777777" w:rsidR="00D058B8" w:rsidRPr="00FB00CE" w:rsidRDefault="00D058B8" w:rsidP="00D058B8">
      <w:pPr>
        <w:pStyle w:val="LineBottom"/>
      </w:pPr>
    </w:p>
    <w:p w14:paraId="3ACE06EE" w14:textId="42CC5867" w:rsidR="00434193" w:rsidRPr="00FB00CE" w:rsidRDefault="00434193" w:rsidP="00434193">
      <w:pPr>
        <w:pStyle w:val="ATHeading1"/>
      </w:pPr>
      <w:bookmarkStart w:id="0" w:name="TANumber"/>
      <w:r w:rsidRPr="00FB00CE">
        <w:t>P10_TA(2025)0</w:t>
      </w:r>
      <w:r w:rsidR="005E15F7">
        <w:t>284</w:t>
      </w:r>
      <w:bookmarkEnd w:id="0"/>
    </w:p>
    <w:p w14:paraId="0CECA0D8" w14:textId="77777777" w:rsidR="00434193" w:rsidRPr="00FB00CE" w:rsidRDefault="00434193" w:rsidP="00434193">
      <w:pPr>
        <w:pStyle w:val="ATHeading2"/>
      </w:pPr>
      <w:bookmarkStart w:id="1" w:name="title"/>
      <w:r w:rsidRPr="00FB00CE">
        <w:t>Осигуряване на по-бързо регистриране и внедряване на агенти за биологичен контрол</w:t>
      </w:r>
      <w:bookmarkEnd w:id="1"/>
    </w:p>
    <w:p w14:paraId="6CE343C6" w14:textId="346849CD" w:rsidR="00434193" w:rsidRPr="00FB00CE" w:rsidRDefault="00434193" w:rsidP="00434193">
      <w:pPr>
        <w:rPr>
          <w:i/>
          <w:vanish/>
        </w:rPr>
      </w:pPr>
      <w:r w:rsidRPr="00FB00CE">
        <w:rPr>
          <w:i/>
        </w:rPr>
        <w:fldChar w:fldCharType="begin"/>
      </w:r>
      <w:r w:rsidRPr="00FB00CE">
        <w:rPr>
          <w:i/>
        </w:rPr>
        <w:instrText xml:space="preserve"> TC"(</w:instrText>
      </w:r>
      <w:bookmarkStart w:id="2" w:name="DocNumber"/>
      <w:r w:rsidRPr="00FB00CE">
        <w:rPr>
          <w:i/>
        </w:rPr>
        <w:instrText>A10-0234/2025</w:instrText>
      </w:r>
      <w:bookmarkEnd w:id="2"/>
      <w:r w:rsidRPr="00FB00CE">
        <w:rPr>
          <w:i/>
        </w:rPr>
        <w:instrText xml:space="preserve"> - Докладчи</w:instrText>
      </w:r>
      <w:r w:rsidR="00AF052B">
        <w:rPr>
          <w:i/>
        </w:rPr>
        <w:instrText>ци</w:instrText>
      </w:r>
      <w:r w:rsidRPr="00FB00CE">
        <w:rPr>
          <w:i/>
        </w:rPr>
        <w:instrText xml:space="preserve">:  Александер Бернхубер, Анна Строленберг)"\l3 \n&gt; \* MERGEFORMAT </w:instrText>
      </w:r>
      <w:r w:rsidRPr="00FB00CE">
        <w:rPr>
          <w:i/>
        </w:rPr>
        <w:fldChar w:fldCharType="end"/>
      </w:r>
    </w:p>
    <w:p w14:paraId="65AC03CE" w14:textId="77777777" w:rsidR="00434193" w:rsidRPr="00FB00CE" w:rsidRDefault="00434193" w:rsidP="00434193">
      <w:pPr>
        <w:rPr>
          <w:vanish/>
        </w:rPr>
      </w:pPr>
      <w:bookmarkStart w:id="3" w:name="Commission"/>
      <w:r w:rsidRPr="00FB00CE">
        <w:rPr>
          <w:vanish/>
        </w:rPr>
        <w:t>Комисия по околна среда, климат и безопасност на храните, Комисия по земеделие и развитие на селските райони</w:t>
      </w:r>
      <w:bookmarkEnd w:id="3"/>
    </w:p>
    <w:p w14:paraId="131ADFDD" w14:textId="77777777" w:rsidR="00434193" w:rsidRPr="00FB00CE" w:rsidRDefault="00434193" w:rsidP="00434193">
      <w:pPr>
        <w:rPr>
          <w:vanish/>
        </w:rPr>
      </w:pPr>
      <w:bookmarkStart w:id="4" w:name="PE"/>
      <w:r w:rsidRPr="00FB00CE">
        <w:rPr>
          <w:vanish/>
        </w:rPr>
        <w:t>PE774.306</w:t>
      </w:r>
      <w:bookmarkEnd w:id="4"/>
    </w:p>
    <w:p w14:paraId="090AD597" w14:textId="1FE403E8" w:rsidR="00434193" w:rsidRPr="00FB00CE" w:rsidRDefault="00434193" w:rsidP="00434193">
      <w:pPr>
        <w:pStyle w:val="ATHeading3"/>
      </w:pPr>
      <w:bookmarkStart w:id="5" w:name="Sujet"/>
      <w:r w:rsidRPr="00FB00CE">
        <w:t xml:space="preserve">Резолюция на Европейския парламент от </w:t>
      </w:r>
      <w:r w:rsidR="00AF052B">
        <w:t>25 ноември</w:t>
      </w:r>
      <w:r w:rsidRPr="00FB00CE">
        <w:t xml:space="preserve"> 2025 г. относно осигуряването на по-бързо регистриране и внедряване на агенти за биологичен контрол</w:t>
      </w:r>
      <w:bookmarkEnd w:id="5"/>
      <w:r w:rsidRPr="00FB00CE">
        <w:t xml:space="preserve"> </w:t>
      </w:r>
      <w:bookmarkStart w:id="6" w:name="References"/>
      <w:r w:rsidRPr="00FB00CE">
        <w:t>(2025/2086(INI))</w:t>
      </w:r>
      <w:bookmarkEnd w:id="6"/>
    </w:p>
    <w:p w14:paraId="2CD43CB8" w14:textId="77777777" w:rsidR="00553D2F" w:rsidRPr="00FB00CE" w:rsidRDefault="00553D2F" w:rsidP="00553D2F">
      <w:pPr>
        <w:pStyle w:val="EPComma"/>
      </w:pPr>
      <w:r w:rsidRPr="00FB00CE">
        <w:rPr>
          <w:i/>
          <w:iCs/>
        </w:rPr>
        <w:t>Европейският парламент</w:t>
      </w:r>
      <w:r w:rsidRPr="00FB00CE">
        <w:t>,</w:t>
      </w:r>
    </w:p>
    <w:p w14:paraId="652A1FA8" w14:textId="77777777" w:rsidR="00553D2F" w:rsidRPr="00FB00CE" w:rsidRDefault="00553D2F" w:rsidP="00553D2F">
      <w:pPr>
        <w:pStyle w:val="NormalHanging12a"/>
      </w:pPr>
      <w:r w:rsidRPr="00FB00CE">
        <w:t>–</w:t>
      </w:r>
      <w:r w:rsidRPr="00FB00CE">
        <w:tab/>
        <w:t>като взе предвид членове 114 и 191 от Договора за функционирането на Европейския съюз,</w:t>
      </w:r>
    </w:p>
    <w:p w14:paraId="1C0D4E72" w14:textId="3CEA0073" w:rsidR="00553D2F" w:rsidRPr="00FB00CE" w:rsidRDefault="00553D2F" w:rsidP="00553D2F">
      <w:pPr>
        <w:pStyle w:val="NormalHanging12a"/>
      </w:pPr>
      <w:r w:rsidRPr="00FB00CE">
        <w:t>–</w:t>
      </w:r>
      <w:r w:rsidRPr="00FB00CE">
        <w:tab/>
        <w:t>като взе предвид 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w:t>
      </w:r>
      <w:r w:rsidRPr="00FB00CE">
        <w:rPr>
          <w:rStyle w:val="FootnoteReference"/>
        </w:rPr>
        <w:footnoteReference w:id="1"/>
      </w:r>
      <w:r w:rsidRPr="00FB00CE">
        <w:t>,</w:t>
      </w:r>
    </w:p>
    <w:p w14:paraId="458719CB" w14:textId="77777777" w:rsidR="00553D2F" w:rsidRPr="00FB00CE" w:rsidRDefault="00553D2F" w:rsidP="00553D2F">
      <w:pPr>
        <w:pStyle w:val="NormalHanging12a"/>
      </w:pPr>
      <w:r w:rsidRPr="00FB00CE">
        <w:t>–</w:t>
      </w:r>
      <w:r w:rsidRPr="00FB00CE">
        <w:tab/>
        <w:t>като взе предвид предложението на Комисията от 22 юни 2022 г. за регламент на Европейския парламент и на Съвета относно устойчивата употреба на продукти за растителна защита и за изменение на Регламент (ЕС) 2021/2115 (COM(2022)0305),</w:t>
      </w:r>
    </w:p>
    <w:p w14:paraId="6AF56B4B" w14:textId="77777777" w:rsidR="00553D2F" w:rsidRPr="00FB00CE" w:rsidRDefault="00553D2F" w:rsidP="00553D2F">
      <w:pPr>
        <w:pStyle w:val="NormalHanging12a"/>
      </w:pPr>
      <w:r w:rsidRPr="00FB00CE">
        <w:t>–</w:t>
      </w:r>
      <w:r w:rsidRPr="00FB00CE">
        <w:tab/>
        <w:t>като взе предвид своята проекторезолюция за установяване на правно определение и категоризация на веществата за биологичен контрол при устойчивата употреба на продукти за растителна защита,</w:t>
      </w:r>
    </w:p>
    <w:p w14:paraId="64220153" w14:textId="6BE50F9C" w:rsidR="00553D2F" w:rsidRPr="00FB00CE" w:rsidRDefault="00553D2F" w:rsidP="00553D2F">
      <w:pPr>
        <w:pStyle w:val="NormalHanging12a"/>
      </w:pPr>
      <w:r w:rsidRPr="00FB00CE">
        <w:t>–</w:t>
      </w:r>
      <w:r w:rsidRPr="00FB00CE">
        <w:tab/>
        <w:t>като взе предвид съобщението на Комисията от 20 май 2020 г., озаглавено „Стратегия „От фермата до трапезата“ за справедлива, здравословна и екологосъобразна продоволствена система“ (COM(2020)0381), и съобщението на Комисията от 20 май 2020 г., озаглавено „Стратегия на ЕС за биологичното разнообразие за 2030 г. — Да осигурим полагащото се място на природата в нашия живот“ (COM(2020)0380),</w:t>
      </w:r>
    </w:p>
    <w:p w14:paraId="0799A858" w14:textId="77777777" w:rsidR="00553D2F" w:rsidRPr="00FB00CE" w:rsidRDefault="00553D2F" w:rsidP="00553D2F">
      <w:pPr>
        <w:pStyle w:val="NormalHanging12a"/>
      </w:pPr>
      <w:r w:rsidRPr="00FB00CE">
        <w:t>–</w:t>
      </w:r>
      <w:r w:rsidRPr="00FB00CE">
        <w:tab/>
        <w:t>като взе предвид съвместните разисквания на комисията по околна среда, климат и безопасност на храните и на комисията по земеделие и развитие на селските райони съгласно член 59 от своя Правилник за дейността,</w:t>
      </w:r>
    </w:p>
    <w:p w14:paraId="2CDBED9E" w14:textId="77777777" w:rsidR="00553D2F" w:rsidRPr="00FB00CE" w:rsidRDefault="00553D2F" w:rsidP="00553D2F">
      <w:pPr>
        <w:pStyle w:val="NormalHanging12a"/>
      </w:pPr>
      <w:r w:rsidRPr="00FB00CE">
        <w:t>–</w:t>
      </w:r>
      <w:r w:rsidRPr="00FB00CE">
        <w:rPr>
          <w:b/>
          <w:i/>
        </w:rPr>
        <w:tab/>
      </w:r>
      <w:r w:rsidRPr="00FB00CE">
        <w:t xml:space="preserve">като взе предвид отговора на Комисията на Решение (ЕС) 2022/2572 на Съвета от 19 декември 2022 г. за отправяне на искане към Комисията да представи проучване, допълващо оценката на въздействието на предложението за регламент </w:t>
      </w:r>
      <w:r w:rsidRPr="00FB00CE">
        <w:lastRenderedPageBreak/>
        <w:t>на Европейския парламент и на Съвета относно устойчивата употреба на продукти за растителна защита и за изменение на Регламент (ЕС) 2021/2115 на Европейския парламент и на Съвета, и да предложи последващи действия, ако е целесъобразно с оглед на резултатите от проучването</w:t>
      </w:r>
      <w:r w:rsidRPr="00FB00CE">
        <w:rPr>
          <w:rStyle w:val="FootnoteReference"/>
        </w:rPr>
        <w:footnoteReference w:id="2"/>
      </w:r>
      <w:r w:rsidRPr="00FB00CE">
        <w:t>,</w:t>
      </w:r>
    </w:p>
    <w:p w14:paraId="0C37A257" w14:textId="77777777" w:rsidR="00553D2F" w:rsidRPr="00FB00CE" w:rsidRDefault="00553D2F" w:rsidP="00553D2F">
      <w:pPr>
        <w:pStyle w:val="NormalHanging12a"/>
      </w:pPr>
      <w:r w:rsidRPr="00FB00CE">
        <w:t>–</w:t>
      </w:r>
      <w:r w:rsidRPr="00FB00CE">
        <w:tab/>
        <w:t>като взе предвид съобщението на Комисията от 19 февруари 2025 г., озаглавено „Визия за селското стопанство и храните – Да изградим заедно привлекателен селскостопански и агрохранителен сектор за бъдещите поколения“ (COM(2025)0075),</w:t>
      </w:r>
    </w:p>
    <w:p w14:paraId="4D5B9236" w14:textId="77777777" w:rsidR="00553D2F" w:rsidRPr="00FB00CE" w:rsidRDefault="00553D2F" w:rsidP="00553D2F">
      <w:pPr>
        <w:pStyle w:val="NormalHanging12a"/>
      </w:pPr>
      <w:r w:rsidRPr="00FB00CE">
        <w:t>–</w:t>
      </w:r>
      <w:r w:rsidRPr="00FB00CE">
        <w:tab/>
        <w:t>като взе предвид Директива 2009/128/ЕО на Европейския парламент и на Съвета от 21 октомври 2009 г. за създаване на рамка за действие на Общността за постигане на устойчива употреба на пестициди</w:t>
      </w:r>
      <w:r w:rsidRPr="00FB00CE">
        <w:rPr>
          <w:rStyle w:val="FootnoteReference"/>
        </w:rPr>
        <w:footnoteReference w:id="3"/>
      </w:r>
      <w:r w:rsidRPr="00FB00CE">
        <w:t>,</w:t>
      </w:r>
    </w:p>
    <w:p w14:paraId="4D04FAB5" w14:textId="77777777" w:rsidR="00553D2F" w:rsidRPr="00FB00CE" w:rsidRDefault="00553D2F" w:rsidP="00553D2F">
      <w:pPr>
        <w:pStyle w:val="NormalHanging12a"/>
      </w:pPr>
      <w:r w:rsidRPr="00FB00CE">
        <w:t>–</w:t>
      </w:r>
      <w:r w:rsidRPr="00FB00CE">
        <w:tab/>
        <w:t xml:space="preserve">като взе предвид своята резолюция от 23 ноември 2023 г. относно преработената инициатива за </w:t>
      </w:r>
      <w:proofErr w:type="spellStart"/>
      <w:r w:rsidRPr="00FB00CE">
        <w:t>опрашителите</w:t>
      </w:r>
      <w:proofErr w:type="spellEnd"/>
      <w:r w:rsidRPr="00FB00CE">
        <w:t xml:space="preserve"> – Нов пакт за </w:t>
      </w:r>
      <w:proofErr w:type="spellStart"/>
      <w:r w:rsidRPr="00FB00CE">
        <w:t>опрашителите</w:t>
      </w:r>
      <w:proofErr w:type="spellEnd"/>
      <w:r w:rsidRPr="00FB00CE">
        <w:rPr>
          <w:rStyle w:val="FootnoteReference"/>
        </w:rPr>
        <w:footnoteReference w:id="4"/>
      </w:r>
      <w:r w:rsidRPr="00FB00CE">
        <w:t>,</w:t>
      </w:r>
    </w:p>
    <w:p w14:paraId="5312CA78" w14:textId="77777777" w:rsidR="00553D2F" w:rsidRPr="00FB00CE" w:rsidRDefault="00553D2F" w:rsidP="00553D2F">
      <w:pPr>
        <w:pStyle w:val="NormalHanging12a"/>
      </w:pPr>
      <w:r w:rsidRPr="00FB00CE">
        <w:t>–</w:t>
      </w:r>
      <w:r w:rsidRPr="00FB00CE">
        <w:tab/>
        <w:t>като взе предвид Решение 15/4 на Конференцията на страните по Конвенцията за биологичното разнообразие на Организацията на обединените нации от 19 декември 2022 г., озаглавено „Глобалната рамка за биологичното разнообразие Кунмин – Монреал“,</w:t>
      </w:r>
    </w:p>
    <w:p w14:paraId="12EE39D5" w14:textId="77777777" w:rsidR="00553D2F" w:rsidRPr="00FB00CE" w:rsidRDefault="00553D2F" w:rsidP="00553D2F">
      <w:pPr>
        <w:pStyle w:val="NormalHanging12a"/>
      </w:pPr>
      <w:r w:rsidRPr="00FB00CE">
        <w:t>–</w:t>
      </w:r>
      <w:r w:rsidRPr="00FB00CE">
        <w:tab/>
        <w:t>като взе предвид съобщението на Комисията от 12 май 2021 г., озаглавено „Път към здравословна планета за всички – План за действие на ЕС: „Към нулево замърсяване на въздуха, водата и почвата“ (COM(2021)0400),</w:t>
      </w:r>
    </w:p>
    <w:p w14:paraId="582D6ADB" w14:textId="77777777" w:rsidR="00553D2F" w:rsidRPr="00FB00CE" w:rsidRDefault="00553D2F" w:rsidP="00553D2F">
      <w:pPr>
        <w:pStyle w:val="NormalHanging12a"/>
      </w:pPr>
      <w:r w:rsidRPr="00FB00CE">
        <w:t>–</w:t>
      </w:r>
      <w:r w:rsidRPr="00FB00CE">
        <w:tab/>
        <w:t>като взе предвид своята резолюция от 16 януари 2019 г. относно процедурата на Съюза за разрешаване на пестициди</w:t>
      </w:r>
      <w:r w:rsidRPr="00FB00CE">
        <w:rPr>
          <w:rStyle w:val="FootnoteReference"/>
        </w:rPr>
        <w:footnoteReference w:id="5"/>
      </w:r>
      <w:r w:rsidRPr="00FB00CE">
        <w:t>,</w:t>
      </w:r>
    </w:p>
    <w:p w14:paraId="61694287" w14:textId="77777777" w:rsidR="00553D2F" w:rsidRPr="00FB00CE" w:rsidRDefault="00553D2F" w:rsidP="00553D2F">
      <w:pPr>
        <w:pStyle w:val="NormalHanging12a"/>
      </w:pPr>
      <w:r w:rsidRPr="00FB00CE">
        <w:t>–</w:t>
      </w:r>
      <w:r w:rsidRPr="00FB00CE">
        <w:tab/>
        <w:t>като взе предвид член 55 от своя Правилник за дейността,</w:t>
      </w:r>
    </w:p>
    <w:p w14:paraId="1E2A0F42" w14:textId="77777777" w:rsidR="00553D2F" w:rsidRPr="00FB00CE" w:rsidRDefault="00553D2F" w:rsidP="00553D2F">
      <w:pPr>
        <w:pStyle w:val="NormalHanging12a"/>
      </w:pPr>
      <w:r w:rsidRPr="00FB00CE">
        <w:rPr>
          <w:b/>
          <w:i/>
        </w:rPr>
        <w:t>–</w:t>
      </w:r>
      <w:r w:rsidRPr="00FB00CE">
        <w:tab/>
        <w:t>като взе предвид доклада на комисията по околна среда, климат и безопасност на храните и комисията по земеделие и развитие на селските райони (A10-0234/2025),</w:t>
      </w:r>
    </w:p>
    <w:p w14:paraId="4E982520" w14:textId="77777777" w:rsidR="00553D2F" w:rsidRPr="00FB00CE" w:rsidRDefault="00553D2F" w:rsidP="00553D2F">
      <w:pPr>
        <w:pStyle w:val="NormalHanging12a"/>
        <w:rPr>
          <w:szCs w:val="24"/>
        </w:rPr>
      </w:pPr>
      <w:r w:rsidRPr="00FB00CE">
        <w:t>А.</w:t>
      </w:r>
      <w:r w:rsidRPr="00FB00CE">
        <w:tab/>
        <w:t>като има предвид, че продукт за растителна защита (ПРЗ) е продукт, съдържащ вещество, което предотвратява, унищожава или контролира даден вреден организъм („вредител“); като има предвид, че биологичният контрол, произхождащ от природата или идентичен на нея, в случаите, когато продуктите са синтезирани, е метод за контрол на вредителите и болестите, при който се използват други организми или части от тях, често в комбинация с физически техники, за да се нарушат репродуктивните цикли на вредителите или да се ограничи податливостта на културите към вредители;</w:t>
      </w:r>
    </w:p>
    <w:p w14:paraId="3DD527C6" w14:textId="77777777" w:rsidR="00553D2F" w:rsidRPr="00FB00CE" w:rsidRDefault="00553D2F" w:rsidP="00553D2F">
      <w:pPr>
        <w:pStyle w:val="NormalHanging12a"/>
      </w:pPr>
      <w:r w:rsidRPr="00FB00CE">
        <w:t>Б.</w:t>
      </w:r>
      <w:r w:rsidRPr="00FB00CE">
        <w:tab/>
        <w:t xml:space="preserve">като има предвид, че съгласно Регламент (ЕО) № 1107/2009 активните вещества трябва да бъдат одобрени на равнището на ЕС, преди държавите членки да могат да разрешат съдържащите ги ПРЗ; като има предвид, че настоящият списък с приблизително 420 одобрени активни вещества включва както конвенционални </w:t>
      </w:r>
      <w:r w:rsidRPr="00FB00CE">
        <w:lastRenderedPageBreak/>
        <w:t>активни вещества, така и все по-голям брой активни вещества за биологичен контрол</w:t>
      </w:r>
      <w:r w:rsidRPr="00FB00CE">
        <w:rPr>
          <w:rStyle w:val="FootnoteReference"/>
        </w:rPr>
        <w:footnoteReference w:id="6"/>
      </w:r>
      <w:r w:rsidRPr="00FB00CE">
        <w:t>; като има предвид, че разрешаването на продукти за биологичен контрол също попада в обхвата на Регламент (ЕО) № 1107/2009; като има предвид, че до 2028 г. се очакват над 100 заявления за одобрение на агенти за биологичен контрол за пазара на ЕС, и че тези заявления може и да не получат одобрение преди 2031—2037 г.; като има предвид, че времето между подаването на заявлението за разрешение и пускането на пазара на агент за биологичен контрол може да отнеме до 10 или 15 години години, в зависимост от класификацията им; като има предвид, че продължителният процес на одобрение оказва въздействие върху наличието на решения за растителна защита; като има предвид, че въпреки че нямат същия рисков профил като конвенционалните ПРЗ, тези продукти за биологичен контрол все пак могат в някои случаи да представляват рискове</w:t>
      </w:r>
      <w:r w:rsidRPr="00FB00CE">
        <w:rPr>
          <w:rStyle w:val="FootnoteReference"/>
        </w:rPr>
        <w:footnoteReference w:id="7"/>
      </w:r>
      <w:r w:rsidRPr="00FB00CE">
        <w:t xml:space="preserve"> и да изискват методи за оценка на риска, подходящи за начина на действие и естеството на продукта за оценката на тяхната безопасност и ефикасност; като има предвид, че това изискване следва да бъде пропорционално на съществуващия риск, а наличието на конкурентна, научно обоснована и благоприятстваща иновациите регулаторна среда е от съществено значение за гарантиране както на устойчивостта, така и на производителността в хранително-вкусовия сектор на ЕС;</w:t>
      </w:r>
    </w:p>
    <w:p w14:paraId="3563A707" w14:textId="77777777" w:rsidR="00553D2F" w:rsidRPr="00FB00CE" w:rsidRDefault="00553D2F" w:rsidP="00553D2F">
      <w:pPr>
        <w:pStyle w:val="NormalHanging12a"/>
        <w:rPr>
          <w:szCs w:val="24"/>
        </w:rPr>
      </w:pPr>
      <w:r w:rsidRPr="00FB00CE">
        <w:t>В.</w:t>
      </w:r>
      <w:r w:rsidRPr="00FB00CE">
        <w:tab/>
        <w:t>като има предвид, че понастоящем няма хармонизирано в целия ЕС правно определение за понятието биологичен контрол;</w:t>
      </w:r>
    </w:p>
    <w:p w14:paraId="4B0B980D" w14:textId="77777777" w:rsidR="00553D2F" w:rsidRPr="00FB00CE" w:rsidRDefault="00553D2F" w:rsidP="00553D2F">
      <w:pPr>
        <w:pStyle w:val="NormalHanging12a"/>
      </w:pPr>
      <w:r w:rsidRPr="00FB00CE">
        <w:t>Г.</w:t>
      </w:r>
      <w:r w:rsidRPr="00FB00CE">
        <w:tab/>
        <w:t>като има предвид, че решенията за биологичен контрол могат да бъдат активни вещества и агенти, безгръбначни агенти за биологичен контрол, които контролират вредителите и болестите, както и продукти, които съдържат едно или повече активни вещества за биологичен контрол; като има предвид, че решенията за биологичен контрол се използват като част от стратегии за холистично здраве на растенията, които могат също така да съчетават превантивни агрономически мерки и други подходи, за да се оптимизира ефективността и да се гарантира, че използването им продължава да бъде допълващо и се основава на потребностите;</w:t>
      </w:r>
    </w:p>
    <w:p w14:paraId="16D502C4" w14:textId="77777777" w:rsidR="00553D2F" w:rsidRPr="00FB00CE" w:rsidRDefault="00553D2F" w:rsidP="00553D2F">
      <w:pPr>
        <w:pStyle w:val="NormalHanging12a"/>
      </w:pPr>
      <w:r w:rsidRPr="00FB00CE">
        <w:t>Д.</w:t>
      </w:r>
      <w:r w:rsidRPr="00FB00CE">
        <w:tab/>
        <w:t>като има предвид, че биологичният контрол може да се осъществява чрез: а) живи макро- и микроорганизми, б) сигнални вещества, в) екстракти от естествени източници, по-специално растения и водорасли, и вещества, произведени от микроорганизми, г) вещества, идентични с тези, произведени от биологични организми, или които са съставки на биологични организми, и д) неорганични вещества, които се срещат в природата, с изключение на тежките метали и техните соли;</w:t>
      </w:r>
    </w:p>
    <w:p w14:paraId="04D7DD18" w14:textId="77777777" w:rsidR="00553D2F" w:rsidRPr="00FB00CE" w:rsidRDefault="00553D2F" w:rsidP="00553D2F">
      <w:pPr>
        <w:pStyle w:val="NormalHanging12a"/>
        <w:rPr>
          <w:szCs w:val="24"/>
        </w:rPr>
      </w:pPr>
      <w:r w:rsidRPr="00FB00CE">
        <w:t>Е.</w:t>
      </w:r>
      <w:r w:rsidRPr="00FB00CE">
        <w:tab/>
        <w:t xml:space="preserve">като има предвид, че безгръбначните агенти за биологичен контрол, като например полезни хищни насекоми, включително </w:t>
      </w:r>
      <w:proofErr w:type="spellStart"/>
      <w:r w:rsidRPr="00FB00CE">
        <w:t>паразитоиди</w:t>
      </w:r>
      <w:proofErr w:type="spellEnd"/>
      <w:r w:rsidRPr="00FB00CE">
        <w:t xml:space="preserve">, </w:t>
      </w:r>
      <w:proofErr w:type="spellStart"/>
      <w:r w:rsidRPr="00FB00CE">
        <w:t>акари</w:t>
      </w:r>
      <w:proofErr w:type="spellEnd"/>
      <w:r w:rsidRPr="00FB00CE">
        <w:t xml:space="preserve"> и </w:t>
      </w:r>
      <w:proofErr w:type="spellStart"/>
      <w:r w:rsidRPr="00FB00CE">
        <w:t>нематоди</w:t>
      </w:r>
      <w:proofErr w:type="spellEnd"/>
      <w:r w:rsidRPr="00FB00CE">
        <w:t xml:space="preserve">, вече имат съществена роля за интегрираното управление на вредителите и системите за биологично земеделие; като има предвид, че за разлика от продуктите за биологичен контрол на основата на вещества, те не са обхванати от Регламент (ЕО) № 1107/2009 и така продължават да са предмет на разнообразни и фрагментирани национални правила; като има предвид, че по-бързите процедури за издаване на разрешения за макроорганизми, като същевременно се поддържат високи стандарти за безопасност за здравето и околната среда, биха увеличили </w:t>
      </w:r>
      <w:r w:rsidRPr="00FB00CE">
        <w:lastRenderedPageBreak/>
        <w:t>тяхната достъпност на пазара и биха могли да спомогнат за преодоляване на опасенията, свързани със здравето на растенията;</w:t>
      </w:r>
    </w:p>
    <w:p w14:paraId="6849848F" w14:textId="77777777" w:rsidR="00553D2F" w:rsidRPr="00FB00CE" w:rsidRDefault="00553D2F" w:rsidP="00553D2F">
      <w:pPr>
        <w:pStyle w:val="NormalHanging12a"/>
        <w:rPr>
          <w:szCs w:val="24"/>
        </w:rPr>
      </w:pPr>
      <w:r w:rsidRPr="00FB00CE">
        <w:t>Ж.</w:t>
      </w:r>
      <w:r w:rsidRPr="00FB00CE">
        <w:tab/>
        <w:t>като има предвид, че решенията за биологичен контрол често се комбинират, за да образуват смеси от сигнални вещества, растителни екстракти или микробни консорциуми, които повишават ефективността, насочват се към множество вредители или болести и подобряват приспособимостта към околната среда, и често се включват в други техники за контрол на вредителите, например интегрираното управление на вредителите (ИУВ); като има предвид, че поради тази причина невинаги е възможно един конвенционален ПРЗ да бъде заменен с един-единствен продукт за биологичен контрол;</w:t>
      </w:r>
    </w:p>
    <w:p w14:paraId="676F4D8B" w14:textId="77777777" w:rsidR="00553D2F" w:rsidRPr="00FB00CE" w:rsidRDefault="00553D2F" w:rsidP="00553D2F">
      <w:pPr>
        <w:pStyle w:val="NormalHanging12a"/>
      </w:pPr>
      <w:r w:rsidRPr="00FB00CE">
        <w:t>З.</w:t>
      </w:r>
      <w:r w:rsidRPr="00FB00CE">
        <w:tab/>
        <w:t>като има предвид, че биологичният контрол често се свързва с по-ниски нива на токсичност, устойчивост и замърсяване на околната среда и с дължимото внимание може да допълва конвенционалните продукти за растителна защита; като има предвид, че в някои случаи това може да даде възможност на земеделските стопани да намалят зависимостта си от използването на конвенционални ПРЗ, като осигури безопасни и ефективни допълнителни инструменти в практиката на земеделските стопани, като допринася за по-добро здраве на почвите и намалява въздействието върху биологичното разнообразие, екосистемите, качеството на водата, хранителните вериги и общественото здраве;</w:t>
      </w:r>
    </w:p>
    <w:p w14:paraId="33FEC768" w14:textId="77777777" w:rsidR="00553D2F" w:rsidRPr="00FB00CE" w:rsidRDefault="00553D2F" w:rsidP="00553D2F">
      <w:pPr>
        <w:pStyle w:val="NormalHanging12a"/>
        <w:rPr>
          <w:szCs w:val="24"/>
        </w:rPr>
      </w:pPr>
      <w:r w:rsidRPr="00FB00CE">
        <w:t>И.</w:t>
      </w:r>
      <w:r w:rsidRPr="00FB00CE">
        <w:tab/>
        <w:t>като има предвид, че ускорената обработка и пускане на пазара на ЕС на продукти за биологичен контрол би увеличила наличността и би предоставила възможност за борба с резистентността на вредителите и болестите към настоящите ПРЗ; като има предвид, че това би спомогнало за насърчаване на по-устойчиви селскостопански практики и за повишаване на издръжливостта и конкурентоспособността на селскостопанския сектор чрез запазване на възможно най-широк набор от възможности за контрол на вредителите за земеделските стопани;</w:t>
      </w:r>
    </w:p>
    <w:p w14:paraId="5034A890" w14:textId="77777777" w:rsidR="00553D2F" w:rsidRPr="00FB00CE" w:rsidRDefault="00553D2F" w:rsidP="00553D2F">
      <w:pPr>
        <w:pStyle w:val="NormalHanging12a"/>
        <w:rPr>
          <w:szCs w:val="24"/>
        </w:rPr>
      </w:pPr>
      <w:r w:rsidRPr="00FB00CE">
        <w:t>Й.</w:t>
      </w:r>
      <w:r w:rsidRPr="00FB00CE">
        <w:tab/>
        <w:t>като има предвид, че в своята визия за селското стопанство и храните за 2025 г.</w:t>
      </w:r>
      <w:r w:rsidRPr="00FB00CE">
        <w:rPr>
          <w:rStyle w:val="FootnoteReference"/>
        </w:rPr>
        <w:footnoteReference w:id="8"/>
      </w:r>
      <w:r w:rsidRPr="00FB00CE">
        <w:t xml:space="preserve"> Комисията заявява, че „земеделските стопани се нуждаят от по-усъвършенстван набор от инструменти, за да могат да извършват природосъобразна селскостопанска дейност и да постигнат поставените цели. Този инструментариум изисква добре калибрирано съчетание от по-целенасочена публична подкрепа от бъдещата ОСП, инвестиции в природосъобразни решения, повече икономически стимули, съобразени с нуждите съвети въз основа на напредъка в научните изследвания и иновациите и по-гъвкава регулаторна среда. Един такъв пример е амбицията на ЕС за намаляване на употребата на вредни пестициди. Това е важно както за дългосрочната издръжливост на селското стопанство, така и за опазването на природата и здравето.  Въпреки това въвеждането на алтернативи под формата на биологични или иновативни продукти за растителна защита с нисък риск не напредва със същия темп като изтеглянето на активни вещества от пазара на ЕС. Ако тази тенденция продължи, тя може да засегне способността на ЕС да гарантира производството на храни. Поради това Комисията внимателно ще разгледа всяка допълнителна забрана на пестициди, ако все още няма алтернативи, освен ако въпросният пестицид не представлява заплаха за </w:t>
      </w:r>
      <w:r w:rsidRPr="00FB00CE">
        <w:lastRenderedPageBreak/>
        <w:t xml:space="preserve">човешкото здраве или за околната среда, на която селското стопанство разчита за своята жизнеспособност.“; </w:t>
      </w:r>
    </w:p>
    <w:p w14:paraId="0F33769B" w14:textId="77777777" w:rsidR="00553D2F" w:rsidRPr="00FB00CE" w:rsidRDefault="00553D2F" w:rsidP="00553D2F">
      <w:pPr>
        <w:pStyle w:val="NormalHanging12a"/>
      </w:pPr>
      <w:r w:rsidRPr="00FB00CE">
        <w:t>К.</w:t>
      </w:r>
      <w:r w:rsidRPr="00FB00CE">
        <w:tab/>
        <w:t>като има предвид, че в ЕОБХ и в компетентните органи на държавите членки често липсват експертни познания, опит и ресурси, необходими за обработването на заявленията за биологичен контрол, особено по отношение на микробиологията; като има предвид, че за да се подпомогне тяхното въвеждане на пазара, насоките и изискванията за данни следва да съответстват на специфичните характеристики на решенията за биологичен контрол, като се избягват прекомерната тежест, разходите, дългите процедури за одобрение и законоустановените срокове; като има предвид, че по-бързите, по-достъпни и по-опростени процедури за издаване на разрешения за продукти за биологичен контрол биха могли да спомогнат за привличане на повече инвестиции в ЕС и за укрепване на водещата му роля в световен мащаб в областта на устойчивата растителна защита;</w:t>
      </w:r>
    </w:p>
    <w:p w14:paraId="4459C710" w14:textId="77777777" w:rsidR="00553D2F" w:rsidRPr="00FB00CE" w:rsidRDefault="00553D2F" w:rsidP="00553D2F">
      <w:pPr>
        <w:pStyle w:val="NormalHanging12a"/>
      </w:pPr>
      <w:r w:rsidRPr="00FB00CE">
        <w:t>Л.</w:t>
      </w:r>
      <w:r w:rsidRPr="00FB00CE">
        <w:tab/>
        <w:t>като има предвид, че ефективното внедряване на продукти за биологичен контрол често зависи от пригодени за целта практики, което подчертава необходимостта от продължаващи инвестиции в обучение, инфраструктура и консултантска подкрепа, за да се гарантира успешното им внедряване;</w:t>
      </w:r>
    </w:p>
    <w:p w14:paraId="433697D7" w14:textId="77777777" w:rsidR="00553D2F" w:rsidRPr="00FB00CE" w:rsidRDefault="00553D2F" w:rsidP="00553D2F">
      <w:pPr>
        <w:pStyle w:val="NormalHanging12a"/>
      </w:pPr>
      <w:r w:rsidRPr="00FB00CE">
        <w:t>М.</w:t>
      </w:r>
      <w:r w:rsidRPr="00FB00CE">
        <w:tab/>
        <w:t>като има предвид, че установените в ЕС малки и средни предприятия за биологичен контрол съставляват приблизително 70% от сектора на ЕС за биологичен контрол; като има предвид, че тези дружества са ключови двигатели на устойчивите иновации; като има предвид, че в ЕС одобряването на активни вещества за продукти за растителна защита, включително за агенти за биологичен контрол, е свързано със значителни разходи, като общите инвестиции, включително генерирането на данни, регулаторните такси и националните разрешения, се оценяват на между 1,5 и 4 милиона евро на вещество;</w:t>
      </w:r>
    </w:p>
    <w:p w14:paraId="206BE395" w14:textId="77777777" w:rsidR="00553D2F" w:rsidRPr="00FB00CE" w:rsidRDefault="00553D2F" w:rsidP="00553D2F">
      <w:pPr>
        <w:pStyle w:val="NormalHanging12a"/>
        <w:ind w:left="0" w:firstLine="0"/>
        <w:rPr>
          <w:b/>
          <w:bCs/>
          <w:i/>
          <w:iCs/>
        </w:rPr>
      </w:pPr>
      <w:r w:rsidRPr="00FB00CE">
        <w:rPr>
          <w:b/>
          <w:i/>
        </w:rPr>
        <w:t>Правни определения, обхват и принципи</w:t>
      </w:r>
    </w:p>
    <w:p w14:paraId="660681C0" w14:textId="77777777" w:rsidR="00553D2F" w:rsidRPr="00FB00CE" w:rsidRDefault="00553D2F" w:rsidP="00553D2F">
      <w:pPr>
        <w:pStyle w:val="NormalHanging12a"/>
      </w:pPr>
      <w:r w:rsidRPr="00FB00CE">
        <w:t>1.</w:t>
      </w:r>
      <w:r w:rsidRPr="00FB00CE">
        <w:tab/>
        <w:t>призовава Комисията да установи на равнището на ЕС ясно правно определение на решенията за биологичен контрол, както и рамка за ускорено одобрение на равнището на ЕС на активни вещества за биологичен контрол и за разрешаване на равнището на държавите членки на продукти за биологичен контрол; счита, че тази рамка следва да бъде придружена от ясни изисквания за данни и актуализирани документи с насоки с цел повишаване на правната сигурност, насърчаване на усилията на ЕС в областта на иновациите и насърчаване на инвестициите в устойчиви алтернативи; освен това настоява, че Комисията следва да се стреми да предотвратява разпокъсаността на пазара и да намалява административната тежест;</w:t>
      </w:r>
    </w:p>
    <w:p w14:paraId="22AC8C8D" w14:textId="77777777" w:rsidR="00553D2F" w:rsidRPr="00FB00CE" w:rsidRDefault="00553D2F" w:rsidP="00553D2F">
      <w:pPr>
        <w:pStyle w:val="NormalHanging12a"/>
      </w:pPr>
      <w:r w:rsidRPr="00FB00CE">
        <w:t>2.</w:t>
      </w:r>
      <w:r w:rsidRPr="00FB00CE">
        <w:tab/>
        <w:t xml:space="preserve">отбелязва, че регулаторната сигурност ще улесни иновациите, особено сред МСП и ще стимулира развитието на един конкурентоспособен сектор на ЕС за биологичен контрол; подчертава освен това значението на законодателната съгласуваност и последователност със съответните законодателни актове на ЕС, </w:t>
      </w:r>
      <w:r w:rsidRPr="00FB00CE">
        <w:lastRenderedPageBreak/>
        <w:t>включително Регламент (ЕС) 2018/848</w:t>
      </w:r>
      <w:r w:rsidRPr="00FB00CE">
        <w:rPr>
          <w:rStyle w:val="FootnoteReference"/>
        </w:rPr>
        <w:footnoteReference w:id="9"/>
      </w:r>
      <w:r w:rsidRPr="00FB00CE">
        <w:t>, и стратегии, както и на предвиждането, когато е целесъобразно, на специални разпоредби относно агентите за биологичен контрол;</w:t>
      </w:r>
    </w:p>
    <w:p w14:paraId="5098C2FB" w14:textId="77777777" w:rsidR="00553D2F" w:rsidRPr="00FB00CE" w:rsidRDefault="00553D2F" w:rsidP="00553D2F">
      <w:pPr>
        <w:pStyle w:val="NormalHanging12a"/>
      </w:pPr>
      <w:r w:rsidRPr="00FB00CE">
        <w:t>3.</w:t>
      </w:r>
      <w:r w:rsidRPr="00FB00CE">
        <w:tab/>
        <w:t>подчертава, че агентите за биологичен контрол обикновено имат различни рискови профили в сравнение с конвенционалните химични ПРЗ, тъй като нямат същите свойства, начини на действие, нито екологични въздействия; подчертава обаче, че те не са без рискове и следователно изискват подходяща научно обоснована оценка на риска; подчертава, че методите за оценка на риска следва да бъдат адаптирани към специфичните характеристики на агентите за биологичен контрол, като същевременно се гарантира, че регионалните агрономически особености са надлежно взети предвид, както и високото равнище на защита на здравето, нецелевите организми, биологичното разнообразие и околната среда, в съответствие с подхода „Едно здраве“ и принципа на предпазливост; припомня по-специално необходимостта от оценка на потенциалното им въздействие върху полезните видове, екосистемите и биологичното разнообразие, включително когато живи организми като микроорганизми, естествени врагове или стерилни насекоми или техни съставни части се въвеждат в околната среда;</w:t>
      </w:r>
    </w:p>
    <w:p w14:paraId="0F7CF526" w14:textId="77777777" w:rsidR="00553D2F" w:rsidRPr="00FB00CE" w:rsidRDefault="00553D2F" w:rsidP="00553D2F">
      <w:pPr>
        <w:pStyle w:val="NormalHanging12a"/>
      </w:pPr>
      <w:r w:rsidRPr="00FB00CE">
        <w:t>4.</w:t>
      </w:r>
      <w:r w:rsidRPr="00FB00CE">
        <w:tab/>
        <w:t>призовава Комисията в оценката на въздействието, придружаваща законодателното предложение, да оцени пригодността на настоящите оценки на риска по време на одобряването на активни вещества, упражняващи биологичен контрол, и разрешаването на продукти за биологичен контрол и, ако е необходимо, да разработи специални протоколи за оценка на риска за всяко решение за биологичен контрол; подчертава, че оценките на риска за агентите за биологичен контрол трябва винаги да гарантират целенасочено, подходящо и правилно управление на риска и високо равнище на защита на здравето и околната среда; подчертава, че процедурите за издаване на разрешения трябва да включват хармонизирани на равнището на ЕС критерии по отношение на въздействието върху околната среда и биологичното разнообразие, за да се предотвратят различията между държавите членки; подчертава, че такива продукти за биологичен контрол трябва да бъдат одобрени само ако отговарят на съответните критерии за одобрение</w:t>
      </w:r>
      <w:r w:rsidRPr="00FB00CE">
        <w:rPr>
          <w:rStyle w:val="FootnoteReference"/>
        </w:rPr>
        <w:footnoteReference w:id="10"/>
      </w:r>
      <w:r w:rsidRPr="00FB00CE">
        <w:t>, които гарантират безопасна и ефективна употреба, и че ефективността е научно проверена и резултатите са налични, като същевременно се запазва чувствителната търговска информация; припомня, че процедурите трябва да бъдат опростени, за да се избегнат забавяния, които биха поставили в неизгодно положение новаторите и земеделските стопани в ЕС; отбелязва, че процедурите за оценка на риска следва да бъдат прозрачни и ясни;</w:t>
      </w:r>
    </w:p>
    <w:p w14:paraId="47D55DBD" w14:textId="77777777" w:rsidR="00553D2F" w:rsidRPr="00FB00CE" w:rsidRDefault="00553D2F" w:rsidP="00553D2F">
      <w:pPr>
        <w:pStyle w:val="NormalHanging12a"/>
        <w:rPr>
          <w:b/>
          <w:bCs/>
          <w:i/>
          <w:iCs/>
        </w:rPr>
      </w:pPr>
      <w:r w:rsidRPr="00FB00CE">
        <w:rPr>
          <w:b/>
          <w:i/>
        </w:rPr>
        <w:t>Целенасочено изменение на Регламент (ЕО) № 1107/2009</w:t>
      </w:r>
    </w:p>
    <w:p w14:paraId="5F79F892" w14:textId="77777777" w:rsidR="00553D2F" w:rsidRPr="00FB00CE" w:rsidRDefault="00553D2F" w:rsidP="00553D2F">
      <w:pPr>
        <w:pStyle w:val="NormalHanging12a"/>
        <w:tabs>
          <w:tab w:val="left" w:pos="709"/>
        </w:tabs>
        <w:ind w:hanging="501"/>
      </w:pPr>
      <w:r w:rsidRPr="00FB00CE">
        <w:t>5.</w:t>
      </w:r>
      <w:r w:rsidRPr="00FB00CE">
        <w:tab/>
        <w:t>призовава Комисията да адаптира в краткосрочен план настоящия Регламент (ЕО) № 1107/2009, за да се обърне специално внимание на активните вещества, упражняващи биологичен контрол, и на продуктите за биологичен контрол;</w:t>
      </w:r>
    </w:p>
    <w:p w14:paraId="6541DBDE" w14:textId="77777777" w:rsidR="00553D2F" w:rsidRPr="00FB00CE" w:rsidRDefault="00553D2F" w:rsidP="00553D2F">
      <w:pPr>
        <w:pStyle w:val="NormalHanging12a"/>
        <w:rPr>
          <w:szCs w:val="24"/>
        </w:rPr>
      </w:pPr>
      <w:r w:rsidRPr="00FB00CE">
        <w:lastRenderedPageBreak/>
        <w:t>6.</w:t>
      </w:r>
      <w:r w:rsidRPr="00FB00CE">
        <w:tab/>
        <w:t>приветства предстоящото представяне от страна на Комисията на целенасочено преразглеждане на Регламент (ЕО) № 1107/2009 като част от обявения пакет за опростяване, съсредоточено върху одобряването и разрешаването на активни вещества, упражняващи биологичен контрол, и продукти, съдържащи единствено тях, за да се даде възможност за ускорена оценка на заявленията за продукти за биологичен контрол и да се улесни процесът на подновяване на вече одобрените активни вещества за биологичен контрол, за да се увеличи предлагането на налични ПРЗ в краткосрочен план и да се подкрепи преминаването към производствени системи, използващи по-малко вредни активни вещества;</w:t>
      </w:r>
    </w:p>
    <w:p w14:paraId="2A9CC3E5" w14:textId="77777777" w:rsidR="00553D2F" w:rsidRPr="00FB00CE" w:rsidRDefault="00553D2F" w:rsidP="00553D2F">
      <w:pPr>
        <w:pStyle w:val="NormalHanging12a"/>
        <w:rPr>
          <w:b/>
          <w:bCs/>
          <w:i/>
          <w:iCs/>
        </w:rPr>
      </w:pPr>
      <w:r w:rsidRPr="00FB00CE">
        <w:rPr>
          <w:b/>
          <w:i/>
        </w:rPr>
        <w:t>Взаимно признаване</w:t>
      </w:r>
    </w:p>
    <w:p w14:paraId="5B13DF6A" w14:textId="77777777" w:rsidR="00553D2F" w:rsidRPr="00FB00CE" w:rsidRDefault="00553D2F" w:rsidP="00553D2F">
      <w:pPr>
        <w:pStyle w:val="NormalHanging12a"/>
        <w:rPr>
          <w:szCs w:val="24"/>
        </w:rPr>
      </w:pPr>
      <w:r w:rsidRPr="00FB00CE">
        <w:t>7.</w:t>
      </w:r>
      <w:r w:rsidRPr="00FB00CE">
        <w:tab/>
        <w:t>насърчава държавите членки да използват настоящата процедура за взаимно признаване съгласно член 40 от Регламент (ЕО) № 1107/2009, с цел ускоряване на разрешаването на продукти за биологичен контрол и увеличаване на внедряването и наличността на продукти за биологичен контрол в ЕС; призовава Комисията да обърне специално внимание на прилагането на член 40 и да създаде последващи инициативи, за да гарантира пълното му прилагане, когато е целесъобразно;</w:t>
      </w:r>
    </w:p>
    <w:p w14:paraId="246EBA54" w14:textId="77777777" w:rsidR="00553D2F" w:rsidRPr="00FB00CE" w:rsidRDefault="00553D2F" w:rsidP="00553D2F">
      <w:pPr>
        <w:pStyle w:val="NormalHanging12a"/>
        <w:rPr>
          <w:szCs w:val="24"/>
        </w:rPr>
      </w:pPr>
      <w:r w:rsidRPr="00FB00CE">
        <w:t>8.</w:t>
      </w:r>
      <w:r w:rsidRPr="00FB00CE">
        <w:tab/>
        <w:t>отбелязва, че целенасоченото изменение на Регламент (ЕО) № 1107/2009 следва да укрепи, улесни и приведе в действие принципа на взаимно признаване по отношение на процедурите на ЕС за издаване на разрешения за биологичен контрол, като по този начин се намали дублирането на националните оценки и същевременно се зачитат принципът на предпазните мерки и различията между местните условия;</w:t>
      </w:r>
    </w:p>
    <w:p w14:paraId="46EEF3AB" w14:textId="77777777" w:rsidR="00553D2F" w:rsidRPr="00FB00CE" w:rsidRDefault="00553D2F" w:rsidP="00553D2F">
      <w:pPr>
        <w:pStyle w:val="NormalHanging12a"/>
        <w:rPr>
          <w:rStyle w:val="Strong"/>
          <w:b w:val="0"/>
          <w:bCs w:val="0"/>
          <w:szCs w:val="24"/>
        </w:rPr>
      </w:pPr>
      <w:r w:rsidRPr="00FB00CE">
        <w:t>9.</w:t>
      </w:r>
      <w:r w:rsidRPr="00FB00CE">
        <w:tab/>
        <w:t>призовава Комисията да работи по пътна карта, насочена към автоматично взаимно признаване единствено на продуктите за биологичен контрол и възможността заявителите да кандидатстват едновременно с едно досие за продукт за биологичен контрол в няколко държави членки, като същевременно се гарантира високо равнище на защита на здравето и околната среда, и да обмисли създаването на единна зона за издаване на разрешения в целия ЕС, която да гарантира, че едни и същи научни стандарти, критерии за ефикасност и равнища на безопасност са доказуемо изпълнени в целия ЕС; подчертава, че тази пътна карта следва да работи в посока създаването на потенциална законодателна рамка, която да подлежи на солидна и строга оценка на въздействието и да бъде установена само след извършването ѝ, и която би могла да бъде разработена поетапно, като се започне със засилено сътрудничество и обмен на данни между компетентните органи, след това се рационализират процедурите за оценка по зони на продуктите за биологичен контрол съгласно Регламент (ЕО) № 1107/2009, като например се възложи на докладващите държави членки да оценят, в сътрудничество с държавите членки от всяка от другите географски зони, условията за издаване на разрешения във всички географски зони, за да се изгради взаимно доверие между компетентните национални органи, да се избегне бюрократичното дублиране, да се улесни възприемането от земеделските стопани на по-устойчиви решения и да се подобри равномерният достъп до пазара, като същевременно се поддържат строги стандарти за опазване на здравето и околната среда;</w:t>
      </w:r>
    </w:p>
    <w:p w14:paraId="5806C814" w14:textId="77777777" w:rsidR="00553D2F" w:rsidRPr="00FB00CE" w:rsidRDefault="00553D2F" w:rsidP="00553D2F">
      <w:pPr>
        <w:pStyle w:val="NormalHanging12a"/>
        <w:rPr>
          <w:b/>
          <w:bCs/>
          <w:i/>
          <w:iCs/>
        </w:rPr>
      </w:pPr>
      <w:r w:rsidRPr="00FB00CE">
        <w:rPr>
          <w:b/>
          <w:i/>
        </w:rPr>
        <w:t>Минимална употреба</w:t>
      </w:r>
    </w:p>
    <w:p w14:paraId="173682C2" w14:textId="77777777" w:rsidR="00553D2F" w:rsidRPr="00FB00CE" w:rsidRDefault="00553D2F" w:rsidP="00553D2F">
      <w:pPr>
        <w:pStyle w:val="NormalHanging12a"/>
      </w:pPr>
      <w:r w:rsidRPr="00FB00CE">
        <w:t>10.</w:t>
      </w:r>
      <w:r w:rsidRPr="00FB00CE">
        <w:tab/>
        <w:t xml:space="preserve">призовава държавите членки да улеснят и ускорят, когато е целесъобразно, </w:t>
      </w:r>
      <w:r w:rsidRPr="00FB00CE">
        <w:lastRenderedPageBreak/>
        <w:t>единствено разширяването на обхвата на разрешението за ПРЗ, които вече са разрешени и съдържат активни вещества, упражняващи биологичен контрол, за да се обхванат минималните употреби, включително, но не само, по отношение на повечето отглеждани в контролирана среда земеделски култури, освен ако компетентният орган не установи специфичен и научно обоснован риск;</w:t>
      </w:r>
    </w:p>
    <w:p w14:paraId="2142F7A3" w14:textId="77777777" w:rsidR="00553D2F" w:rsidRPr="00FB00CE" w:rsidRDefault="00553D2F" w:rsidP="00553D2F">
      <w:pPr>
        <w:pStyle w:val="NormalHanging12a"/>
      </w:pPr>
      <w:r w:rsidRPr="00FB00CE">
        <w:t>11.</w:t>
      </w:r>
      <w:r w:rsidRPr="00FB00CE">
        <w:tab/>
        <w:t>призовава Комисията да направи оценка на въздействието, включително рисковете и ползите за всеки отделен случай, на автоматичното разширяване единствено на обхвата на ПРЗ, които вече са разрешени и съдържат продукти за биологичен контрол, за да се обхванат минималните употреби в съответствие с гаранциите, посочени в член 51 от Регламент (ЕО) № 1107/2009;</w:t>
      </w:r>
    </w:p>
    <w:p w14:paraId="2122F3AB" w14:textId="77777777" w:rsidR="00553D2F" w:rsidRPr="00FB00CE" w:rsidRDefault="00553D2F" w:rsidP="00553D2F">
      <w:pPr>
        <w:pStyle w:val="NormalHanging12a"/>
      </w:pPr>
      <w:r w:rsidRPr="00FB00CE">
        <w:t>12.</w:t>
      </w:r>
      <w:r w:rsidRPr="00FB00CE">
        <w:tab/>
        <w:t>призовава Комисията да разгледа възможността за удължаване на максималния срок за първото одобрение и подновяване на активните вещества, упражняващи биологичен контрол, до 25 години; призовава Комисията да създаде и поддържа списък на продуктите за биологичен контрол, които въз основа на техния профил, естество и начин на действие могат да отговарят на условията за получаване на разрешение с удължен срок до 25 години за първото разрешение; подчертава, че този списък не трябва да се затваря и трябва да отразява най-новите научни стандарти и да остане динамичен, което означава, че включването в списъка не трябва да се счита за постоянно; призовава Комисията периодично да преразглежда и актуализира списъка с оглед на новите данни или научното развитие; призовава Комисията да направи оценка на потенциалните условия, при които активните вещества и продуктите за биологичен контрол, за които е доказано, че нямат никакъв или имат незначителен рисков профил, биха могли да получат безсрочно одобрение и разрешение;</w:t>
      </w:r>
    </w:p>
    <w:p w14:paraId="54EABD96" w14:textId="77777777" w:rsidR="00553D2F" w:rsidRPr="00FB00CE" w:rsidRDefault="00553D2F" w:rsidP="00553D2F">
      <w:pPr>
        <w:pStyle w:val="NormalHanging12a"/>
        <w:rPr>
          <w:szCs w:val="24"/>
        </w:rPr>
      </w:pPr>
      <w:r w:rsidRPr="00FB00CE">
        <w:t>13.</w:t>
      </w:r>
      <w:r w:rsidRPr="00FB00CE">
        <w:tab/>
        <w:t>освен това призовава Комисията да обмисли създаването на механизъм на равнището на ЕС за одобрение на специфични категории продукти за биологичен контрол с нисък риск;</w:t>
      </w:r>
    </w:p>
    <w:p w14:paraId="4C7814DC" w14:textId="77777777" w:rsidR="00553D2F" w:rsidRPr="00FB00CE" w:rsidRDefault="00553D2F" w:rsidP="00553D2F">
      <w:pPr>
        <w:pStyle w:val="NormalWeb"/>
        <w:rPr>
          <w:b/>
          <w:bCs/>
          <w:i/>
          <w:iCs/>
        </w:rPr>
      </w:pPr>
      <w:r w:rsidRPr="00FB00CE">
        <w:rPr>
          <w:b/>
          <w:i/>
        </w:rPr>
        <w:t xml:space="preserve">Ускорени процедури </w:t>
      </w:r>
    </w:p>
    <w:p w14:paraId="35C50EF2" w14:textId="77777777" w:rsidR="00553D2F" w:rsidRPr="00FB00CE" w:rsidRDefault="00553D2F" w:rsidP="00553D2F">
      <w:pPr>
        <w:pStyle w:val="NormalHanging12a"/>
      </w:pPr>
      <w:r w:rsidRPr="00FB00CE">
        <w:t>14.</w:t>
      </w:r>
      <w:r w:rsidRPr="00FB00CE">
        <w:tab/>
        <w:t>препоръчва рационализиране, оптимизиране и ускоряване на процедурата за издаване на разрешения, както и на процедурите за повторно издаване на разрешение, одобрение и повторно одобрение за решения за биологичен контрол, включително чрез създаването на ускорени процедури, за да се намали ненужната бюрократична тежест с цел по-добро спазване на правните срокове за оценка при правилно оценяване и управление на свързания риск;</w:t>
      </w:r>
    </w:p>
    <w:p w14:paraId="63DB1747" w14:textId="77777777" w:rsidR="00553D2F" w:rsidRPr="00FB00CE" w:rsidRDefault="00553D2F" w:rsidP="00553D2F">
      <w:pPr>
        <w:pStyle w:val="NormalHanging12a"/>
      </w:pPr>
      <w:r w:rsidRPr="00FB00CE">
        <w:t>15.</w:t>
      </w:r>
      <w:r w:rsidRPr="00FB00CE">
        <w:tab/>
        <w:t>подчертава обаче, че всяко ускоряване на процедурите за пускане на пазара на продукти за биологичен контрол все пак трябва да подлежи на строга научна оценка, включително анализ на риска, обхващащ и нецелевите организми и ефикасността при редица съответни климатични условия;</w:t>
      </w:r>
    </w:p>
    <w:p w14:paraId="6718F5ED" w14:textId="77777777" w:rsidR="00553D2F" w:rsidRPr="00FB00CE" w:rsidRDefault="00553D2F" w:rsidP="00553D2F">
      <w:pPr>
        <w:rPr>
          <w:b/>
          <w:bCs/>
          <w:i/>
          <w:iCs/>
        </w:rPr>
      </w:pPr>
      <w:r w:rsidRPr="00FB00CE">
        <w:rPr>
          <w:b/>
          <w:i/>
        </w:rPr>
        <w:t>Временно разрешение</w:t>
      </w:r>
    </w:p>
    <w:p w14:paraId="439F7DF5" w14:textId="77777777" w:rsidR="00553D2F" w:rsidRPr="00FB00CE" w:rsidRDefault="00553D2F" w:rsidP="00553D2F">
      <w:pPr>
        <w:pStyle w:val="NormalHanging12a"/>
      </w:pPr>
      <w:r w:rsidRPr="00FB00CE">
        <w:t>16.</w:t>
      </w:r>
      <w:r w:rsidRPr="00FB00CE">
        <w:tab/>
        <w:t xml:space="preserve">призовава Комисията при преразглеждането на Регламент (ЕО) № 1107/2009 да измени член 30, за да разгледа възможността за допускане на временно разрешение единствено за ПРЗ за биологичен контрол, които отговарят на съответните посочени в него критерии за безопасност; счита, че временните и предоставяни при определени условия разрешения следва да бъдат съчетани с необходимото наблюдение; припомня установения принцип, че ако нови данни </w:t>
      </w:r>
      <w:r w:rsidRPr="00FB00CE">
        <w:lastRenderedPageBreak/>
        <w:t>показват неприемлив риск за здравето или околната среда, включително за нецелеви видове, тогава временното разрешение следва да бъде преразгледано и оттеглено;</w:t>
      </w:r>
    </w:p>
    <w:p w14:paraId="58AFF951" w14:textId="77777777" w:rsidR="00553D2F" w:rsidRPr="00FB00CE" w:rsidRDefault="00553D2F" w:rsidP="005E15F7">
      <w:pPr>
        <w:pStyle w:val="NormalHanging12a"/>
        <w:ind w:left="0" w:firstLine="0"/>
        <w:rPr>
          <w:b/>
          <w:bCs/>
          <w:i/>
          <w:iCs/>
          <w:szCs w:val="24"/>
        </w:rPr>
      </w:pPr>
      <w:r w:rsidRPr="00FB00CE">
        <w:rPr>
          <w:b/>
          <w:i/>
        </w:rPr>
        <w:t>Поглед напред: стратегия, анализ на пропуските и по-дългосрочна законодателна перспектива</w:t>
      </w:r>
    </w:p>
    <w:p w14:paraId="71FC860B" w14:textId="77777777" w:rsidR="00553D2F" w:rsidRPr="00FB00CE" w:rsidRDefault="00553D2F" w:rsidP="00553D2F">
      <w:pPr>
        <w:pStyle w:val="NormalHanging12a"/>
        <w:rPr>
          <w:szCs w:val="24"/>
        </w:rPr>
      </w:pPr>
      <w:r w:rsidRPr="00FB00CE">
        <w:t>17.</w:t>
      </w:r>
      <w:r w:rsidRPr="00FB00CE">
        <w:tab/>
        <w:t>призовава оценката на въздействието на Комисията, придружаваща нейното законодателно предложение, да оцени целесъобразността на настоящата законодателна рамка и оценките на риска по време на одобряването на активни вещества, упражняващи биологичен контрол, и разрешаването на продукти за биологичен контрол, наред с другото, по отношение на изискванията за данни, критериите за одобрение и взаимното признаване; призовава в придружаващата оценка на въздействието да се определят областите, в които настоящият регламент би могъл да бъде адаптиран, за да бъде по-подходящ за пускането на пазара на решения за биологичен контрол, както се призовава в стратегическия диалог, и да се отговори на необходимостта на земеделските стопани от по-усъвършенстван и всеобхватен набор от инструменти;</w:t>
      </w:r>
    </w:p>
    <w:p w14:paraId="7FAF4A3B" w14:textId="77777777" w:rsidR="00553D2F" w:rsidRPr="00FB00CE" w:rsidRDefault="00553D2F" w:rsidP="00553D2F">
      <w:pPr>
        <w:pStyle w:val="NormalHanging12a"/>
      </w:pPr>
      <w:r w:rsidRPr="00FB00CE">
        <w:t>18.</w:t>
      </w:r>
      <w:r w:rsidRPr="00FB00CE">
        <w:tab/>
        <w:t>призовава Комисията да предостави всеобхватна стратегия за биологичен контрол и оценка на инструментариума по отношение на очакваните предизвикателства в областта на защитата на културите през следващите 10 години за конкретни култури, вредители и болести, с цел да се подкрепи разработването на алтернативни продукти за растителна защита и мерки за интегрирано управление на вредителите, особено като се използват ефективни и финансово достъпни алтернативи за установяване на пропуски в растителната защита и за предвиждане на изтегляния от пазара, за да се даде възможност на потребителите да планират достатъчно преходни периоди по време на постепенното премахване с цел създаване на ориентирана към бъдещето и адаптирана към нуждите рамка;</w:t>
      </w:r>
    </w:p>
    <w:p w14:paraId="02BFAB8E" w14:textId="77777777" w:rsidR="00553D2F" w:rsidRPr="00FB00CE" w:rsidRDefault="00553D2F" w:rsidP="00553D2F">
      <w:pPr>
        <w:pStyle w:val="NormalHanging12a"/>
        <w:rPr>
          <w:szCs w:val="24"/>
        </w:rPr>
      </w:pPr>
      <w:r w:rsidRPr="00FB00CE">
        <w:t>19.</w:t>
      </w:r>
      <w:r w:rsidRPr="00FB00CE">
        <w:tab/>
        <w:t>призовава Комисията да разгледа възможността в дългосрочен план за нов самостоятелен регламент за биологичен контрол, включително условията, при които може да се прилага централизиран подход, за да се адаптират по-добре процедурите за оценка, одобрение и издаване на разрешения за решения за биологичен контрол;</w:t>
      </w:r>
    </w:p>
    <w:p w14:paraId="0E250C47" w14:textId="77777777" w:rsidR="00553D2F" w:rsidRPr="00FB00CE" w:rsidRDefault="00553D2F" w:rsidP="00553D2F">
      <w:pPr>
        <w:pStyle w:val="NormalHanging12a"/>
        <w:rPr>
          <w:b/>
          <w:bCs/>
          <w:i/>
          <w:iCs/>
          <w:szCs w:val="24"/>
        </w:rPr>
      </w:pPr>
      <w:r w:rsidRPr="00FB00CE">
        <w:rPr>
          <w:b/>
          <w:i/>
        </w:rPr>
        <w:t xml:space="preserve">Наваксване на изоставането при разглеждането на забавените заявления </w:t>
      </w:r>
    </w:p>
    <w:p w14:paraId="3E54C148" w14:textId="77777777" w:rsidR="00553D2F" w:rsidRPr="00FB00CE" w:rsidRDefault="00553D2F" w:rsidP="00553D2F">
      <w:pPr>
        <w:pStyle w:val="NormalHanging12a"/>
        <w:rPr>
          <w:szCs w:val="24"/>
        </w:rPr>
      </w:pPr>
      <w:r w:rsidRPr="00FB00CE">
        <w:t>20.</w:t>
      </w:r>
      <w:r w:rsidRPr="00FB00CE">
        <w:tab/>
        <w:t>Призовава, по целесъобразност, за достатъчно ресурси за наваксване на изоставането по отношение обработката на забавените заявления за биологичен контрол чрез създаването на приоритетна пътека, при условие че за целта е получено специално допълнително финансиране за одобряването на агенти за биологичен контрол в рамките на процедурите за одобряване и разрешаване на активни вещества и продукти съгласно Регламент (ЕО) № 1107/2009, като същевременно се оценяват и актуализират процедурите за одобряване и разрешаване въз основа на научното и техническото развитие; подчертава, че ускоряването на оценката и разрешаването на решения за биологичен контрол не следва да води до допълнително забавяне на оценката на риска и разрешаването на конвенционални вещества и ПРЗ или до забавяне на прегледите на тези, които са били на пазара повече от 10 години, за да се гарантира високо равнище на защита;</w:t>
      </w:r>
    </w:p>
    <w:p w14:paraId="5487CE8E" w14:textId="77777777" w:rsidR="00553D2F" w:rsidRPr="00FB00CE" w:rsidRDefault="00553D2F" w:rsidP="00553D2F">
      <w:pPr>
        <w:pStyle w:val="NormalHanging12a"/>
        <w:rPr>
          <w:b/>
          <w:bCs/>
          <w:i/>
          <w:iCs/>
        </w:rPr>
      </w:pPr>
      <w:r w:rsidRPr="00FB00CE">
        <w:rPr>
          <w:b/>
          <w:i/>
        </w:rPr>
        <w:lastRenderedPageBreak/>
        <w:t>Подпомагане на заявителите</w:t>
      </w:r>
    </w:p>
    <w:p w14:paraId="790C10E6" w14:textId="77777777" w:rsidR="00553D2F" w:rsidRPr="00FB00CE" w:rsidRDefault="00553D2F" w:rsidP="00553D2F">
      <w:pPr>
        <w:pStyle w:val="NormalHanging12a"/>
      </w:pPr>
      <w:r w:rsidRPr="00FB00CE">
        <w:t>21.</w:t>
      </w:r>
      <w:r w:rsidRPr="00FB00CE">
        <w:tab/>
        <w:t>Отбелязва настоящите разпоредби относно подпомагането на заявителите от Европейската агенция по химикали и Европейската агенция по лекарствата; призовава държавите членки и ЕОБХ да предоставят техническа подкрепа за заявленията от малки и средни предприятия, особено по време на процеса на подготовка на заявленията, като същевременно прилагат ясни предпазни мерки за избягване на конфликти на интереси; призовава ЕОБХ, при спазване на горепосоченото, да създаде режим за обслужване на едно гише за МСП, произвеждащи агенти за биологичен контрол, и да предостави ясни насоки и подкрепа за заявителите относно изготвянето на досиетата, като предостави обяснения относно изискванията за данни и процедурите за подаване на заявления, с цел подобряване на качеството на заявленията, като по този начин се намалят забавянията в процеса на оценка и разрешаване и се улесни пускането на пазара на ЕС на одобрени агенти за биологичен контрол;</w:t>
      </w:r>
    </w:p>
    <w:p w14:paraId="5EF1364C" w14:textId="77777777" w:rsidR="00553D2F" w:rsidRPr="00FB00CE" w:rsidRDefault="00553D2F" w:rsidP="00553D2F">
      <w:pPr>
        <w:pStyle w:val="NormalHanging12a"/>
        <w:rPr>
          <w:szCs w:val="24"/>
        </w:rPr>
      </w:pPr>
      <w:r w:rsidRPr="00FB00CE">
        <w:t>22.</w:t>
      </w:r>
      <w:r w:rsidRPr="00FB00CE">
        <w:tab/>
        <w:t>призовава държавите членки да създадат ефективни по отношение на времето, ясни и лесни за разбиране административни процедури, адаптирани към продуктите за биологичен контрол, и оценки на риска, подходящи за начина им на действие и естеството на продуктите, както и да създадат специални звена за оказване на помощ;</w:t>
      </w:r>
    </w:p>
    <w:p w14:paraId="66BCED6E" w14:textId="77777777" w:rsidR="00553D2F" w:rsidRPr="00FB00CE" w:rsidRDefault="00553D2F" w:rsidP="00553D2F">
      <w:pPr>
        <w:pStyle w:val="NormalHanging12a"/>
      </w:pPr>
      <w:r w:rsidRPr="00FB00CE">
        <w:t>23.</w:t>
      </w:r>
      <w:r w:rsidRPr="00FB00CE">
        <w:tab/>
        <w:t>призовава Комисията по спешност да приеме актуализирани документи с насоки, специфични за продуктите за биологичен контрол, да насърчи тяхното навлизане и да засили съгласуваността между държавите членки;</w:t>
      </w:r>
    </w:p>
    <w:p w14:paraId="78ED7D68" w14:textId="77777777" w:rsidR="00553D2F" w:rsidRPr="00FB00CE" w:rsidRDefault="00553D2F" w:rsidP="005E15F7">
      <w:pPr>
        <w:pStyle w:val="NormalHanging12a"/>
        <w:ind w:left="0" w:firstLine="0"/>
        <w:rPr>
          <w:b/>
          <w:bCs/>
          <w:i/>
          <w:iCs/>
          <w:szCs w:val="24"/>
        </w:rPr>
      </w:pPr>
      <w:r w:rsidRPr="00FB00CE">
        <w:rPr>
          <w:b/>
          <w:i/>
        </w:rPr>
        <w:t>Прилагането на Директива 2009/128/ЕО за насърчаване на биологичния контрол, включително чрез интегрирано управление на вредителите</w:t>
      </w:r>
    </w:p>
    <w:p w14:paraId="49F106ED" w14:textId="77777777" w:rsidR="00553D2F" w:rsidRPr="00FB00CE" w:rsidRDefault="00553D2F" w:rsidP="00553D2F">
      <w:pPr>
        <w:pStyle w:val="NormalHanging12a"/>
      </w:pPr>
      <w:r w:rsidRPr="00FB00CE">
        <w:t>24.</w:t>
      </w:r>
      <w:r w:rsidRPr="00FB00CE">
        <w:tab/>
        <w:t>призовава държавите членки да включат в своите национални планове за действие (НПД), по-специално съгласно Директива 2009/128/ЕО, планирани и приети мерки за подобряване на процедурите за издаване на разрешения за продукти за биологичен контрол и други продукти с нисък риск;</w:t>
      </w:r>
    </w:p>
    <w:p w14:paraId="3EA38D96" w14:textId="77777777" w:rsidR="00553D2F" w:rsidRPr="00FB00CE" w:rsidRDefault="00553D2F" w:rsidP="00553D2F">
      <w:pPr>
        <w:pStyle w:val="NormalHanging12a"/>
      </w:pPr>
      <w:r w:rsidRPr="00FB00CE">
        <w:t>25.</w:t>
      </w:r>
      <w:r w:rsidRPr="00FB00CE">
        <w:tab/>
        <w:t>призовава също така Комисията и държавите членки, в координация със земеделските стопани, да гарантират ефективното прилагане на Директива 2009/128/ЕО, като установят по-лесен достъп до продукти за биологичен контрол, както и да съдействат на земеделските стопани, които възприемат по-устойчиви практики;</w:t>
      </w:r>
    </w:p>
    <w:p w14:paraId="237B8504" w14:textId="77777777" w:rsidR="00553D2F" w:rsidRPr="00FB00CE" w:rsidRDefault="00553D2F" w:rsidP="00553D2F">
      <w:pPr>
        <w:pStyle w:val="NormalHanging12a"/>
        <w:rPr>
          <w:i/>
          <w:iCs/>
        </w:rPr>
      </w:pPr>
      <w:r w:rsidRPr="00FB00CE">
        <w:rPr>
          <w:i/>
        </w:rPr>
        <w:t>Потенциал на решенията за биологичен контрол</w:t>
      </w:r>
    </w:p>
    <w:p w14:paraId="54AAB5E8" w14:textId="77777777" w:rsidR="00553D2F" w:rsidRPr="00FB00CE" w:rsidRDefault="00553D2F" w:rsidP="00553D2F">
      <w:pPr>
        <w:pStyle w:val="NormalHanging12a"/>
        <w:rPr>
          <w:szCs w:val="24"/>
        </w:rPr>
      </w:pPr>
      <w:r w:rsidRPr="00FB00CE">
        <w:t>26.</w:t>
      </w:r>
      <w:r w:rsidRPr="00FB00CE">
        <w:tab/>
        <w:t xml:space="preserve">признава големия потенциал на подходите за биологичен контрол за намаляване на зависимостта от конвенционалните ПРЗ; отбелязва, че решенията за биологичен контрол могат да допълват конвенционалните ПРЗ, ако се обърне необходимото внимание, което ги прави полезно допълнение към широк и балансиран набор от инструменти за земеделските стопани, наред с други методи за растителна защита; подчертава, че специфичните характеристики на агентите за биологичен контрол им дават различен рисков профил, така че да могат да предлагат целенасочени действия с по-малки нецелеви или остатъчни ефекти, което ги прави по-съвместими с ИУВ и особено с практиките за биологично земеделие; настоява, че по-широкото използване на биологичен контрол може по </w:t>
      </w:r>
      <w:r w:rsidRPr="00FB00CE">
        <w:lastRenderedPageBreak/>
        <w:t xml:space="preserve">този начин да допринесе значително за постигането на целите на ЕС в областта на околната среда, продоволствената сигурност и здравето, като същевременно се запази селскостопанската производителност и се гарантира, че земеделските стопани не остават без ефективни и финансово достъпни алтернативи за защита на своите култури; </w:t>
      </w:r>
    </w:p>
    <w:p w14:paraId="34115BC0" w14:textId="77777777" w:rsidR="00553D2F" w:rsidRPr="00FB00CE" w:rsidRDefault="00553D2F" w:rsidP="00553D2F">
      <w:pPr>
        <w:pStyle w:val="NormalHanging12a"/>
      </w:pPr>
      <w:r w:rsidRPr="00FB00CE">
        <w:t>27.</w:t>
      </w:r>
      <w:r w:rsidRPr="00FB00CE">
        <w:tab/>
        <w:t>отбелязва, че улесняването на разрешаването и въвеждането на биологичен контрол следва да бъде съчетано с увеличаване на използването на ИУВ и намаляване на рисковете, свързани с конвенционалните ПРЗ, както и на зависимостта от тях;</w:t>
      </w:r>
    </w:p>
    <w:p w14:paraId="18F99FC2" w14:textId="4D94D380" w:rsidR="00553D2F" w:rsidRPr="00FB00CE" w:rsidRDefault="00D01F2D" w:rsidP="00553D2F">
      <w:pPr>
        <w:pStyle w:val="NormalHanging12a"/>
        <w:rPr>
          <w:szCs w:val="24"/>
        </w:rPr>
      </w:pPr>
      <w:r w:rsidRPr="00101ACF">
        <w:rPr>
          <w:lang w:val="ru-RU"/>
        </w:rPr>
        <w:t>28</w:t>
      </w:r>
      <w:r w:rsidR="00553D2F" w:rsidRPr="00FB00CE">
        <w:t>.</w:t>
      </w:r>
      <w:r w:rsidR="00553D2F" w:rsidRPr="00FB00CE">
        <w:tab/>
        <w:t>призовава Комисията да гарантира ефективното изпълнение и прилагане на устойчивата употреба на пестициди съгласно Директива 2009/128/ЕО и Регламент (ЕО) № 1107/2009, по-специално във връзка със своевременната обработка на исканията за разрешение и интегрираното управление на вредителите; отбелязва, че интегрираният подход за ИУВ, при който се използват разрешени конвенционални продукти, за които са изпълнени всички изисквания за безопасност за здравето и околната среда, винаги остава възможност за земеделските стопани;</w:t>
      </w:r>
    </w:p>
    <w:p w14:paraId="3B728222" w14:textId="77777777" w:rsidR="00553D2F" w:rsidRPr="00FB00CE" w:rsidRDefault="00553D2F" w:rsidP="00553D2F">
      <w:pPr>
        <w:spacing w:before="240" w:after="240"/>
        <w:rPr>
          <w:b/>
          <w:bCs/>
          <w:i/>
          <w:iCs/>
        </w:rPr>
      </w:pPr>
      <w:r w:rsidRPr="00FB00CE">
        <w:rPr>
          <w:b/>
          <w:i/>
        </w:rPr>
        <w:t xml:space="preserve">Оценка на капацитета и ресурсите за изпълнение </w:t>
      </w:r>
    </w:p>
    <w:p w14:paraId="32F73615" w14:textId="6182AAD7" w:rsidR="00553D2F" w:rsidRPr="00FB00CE" w:rsidRDefault="00D01F2D" w:rsidP="00553D2F">
      <w:pPr>
        <w:pStyle w:val="NormalHanging12a"/>
      </w:pPr>
      <w:r>
        <w:t>29</w:t>
      </w:r>
      <w:r w:rsidR="00553D2F" w:rsidRPr="00FB00CE">
        <w:t>.</w:t>
      </w:r>
      <w:r w:rsidR="00553D2F" w:rsidRPr="00FB00CE">
        <w:tab/>
        <w:t>Призовава Комисията и държавите членки да направят оценка на своите административни резултати и институционален капацитет, както и на целесъобразността на ресурсите, разпределени съответно на ЕОБХ и съответните национални компетентни органи, за да им се даде възможност да изпълняват своите задачи; подчертава, че са необходими инвестиции в капацитета за (повторно) оценяване в държавите членки и ЕОБХ;</w:t>
      </w:r>
    </w:p>
    <w:p w14:paraId="50E29467" w14:textId="6CE0F609" w:rsidR="00553D2F" w:rsidRPr="00FB00CE" w:rsidRDefault="00D01F2D" w:rsidP="00553D2F">
      <w:pPr>
        <w:pStyle w:val="NormalHanging12a"/>
      </w:pPr>
      <w:r>
        <w:t>30</w:t>
      </w:r>
      <w:r w:rsidR="00553D2F" w:rsidRPr="00FB00CE">
        <w:t>.</w:t>
      </w:r>
      <w:r w:rsidR="00553D2F" w:rsidRPr="00FB00CE">
        <w:tab/>
        <w:t>призовава Комисията да разпредели необходимото допълнително финансиране за обучение и наемане на допълнителен персонал, включително с подходящ и специализиран експертен опит, в рамките на ЕОБХ, и да създаде специални и достатъчни ресурси в рамките на организационната структура на ЕОБХ за биологичен контрол, за да се предотвратят неоправдани забавяния в процеса на одобрение на активни вещества, упражняващи биологичен контрол, да се гарантират адаптирани оценки и да се намалят пречките; призовава Комисията да предприеме подходящи последващи действия, за да се даде възможност за ускоряване на процедурата за одобрение и увеличаване на използването на биологичен контрол;</w:t>
      </w:r>
    </w:p>
    <w:p w14:paraId="1F6405EB" w14:textId="77777777" w:rsidR="00553D2F" w:rsidRPr="00FB00CE" w:rsidRDefault="00553D2F" w:rsidP="00553D2F">
      <w:pPr>
        <w:pStyle w:val="NormalHanging12a"/>
      </w:pPr>
      <w:r w:rsidRPr="00FB00CE">
        <w:rPr>
          <w:b/>
          <w:i/>
        </w:rPr>
        <w:t>Стабилно финансиране от страна на държавите членки</w:t>
      </w:r>
    </w:p>
    <w:p w14:paraId="5B43BB52" w14:textId="0D4BA1BF" w:rsidR="00553D2F" w:rsidRPr="00FB00CE" w:rsidRDefault="00D01F2D" w:rsidP="00553D2F">
      <w:pPr>
        <w:pStyle w:val="NormalHanging12a"/>
      </w:pPr>
      <w:r>
        <w:t>31</w:t>
      </w:r>
      <w:r w:rsidR="00553D2F" w:rsidRPr="00FB00CE">
        <w:t>.</w:t>
      </w:r>
      <w:r w:rsidR="00553D2F" w:rsidRPr="00FB00CE">
        <w:tab/>
        <w:t>призовава държавите членки да гарантират, че е заделен достатъчен бюджет за съответните национални компетентни органи, което е от съществено значение за предотвратяване на неоправдани забавяния в процедурите за издаване на разрешения за биологичен контрол и за ускоряване на въвеждането на биологичен контрол; настоява, че държавите членки следва да гарантират, че съответните национални компетентни органи разполагат с достатъчен бюджет, персонал и експертен опит, за да извършват (повторни) оценки своевременно и ефективно; подчертава ползите от обмена на най-добри практики между държавите членки;</w:t>
      </w:r>
    </w:p>
    <w:p w14:paraId="50762669" w14:textId="2988D436" w:rsidR="00553D2F" w:rsidRPr="00FB00CE" w:rsidRDefault="00D01F2D" w:rsidP="00553D2F">
      <w:pPr>
        <w:pStyle w:val="NormalHanging12a"/>
      </w:pPr>
      <w:r>
        <w:t>32</w:t>
      </w:r>
      <w:r w:rsidR="00553D2F" w:rsidRPr="00FB00CE">
        <w:t>.</w:t>
      </w:r>
      <w:r w:rsidR="00553D2F" w:rsidRPr="00FB00CE">
        <w:tab/>
        <w:t xml:space="preserve">призовава също така Комисията да предложи мерки и да определи механизми и </w:t>
      </w:r>
      <w:r w:rsidR="00553D2F" w:rsidRPr="00FB00CE">
        <w:lastRenderedPageBreak/>
        <w:t>ресурси за подпомагане на държавите членки при ускоряването на техните процедури за издаване на разрешения; във връзка с това предлага Комисията да разработи насоки относно необходимите и минималните ресурси и капацитет, приложими във всички държави — членки на ЕС, което е необходимо за оценка на продуктите за биологичен контрол;</w:t>
      </w:r>
    </w:p>
    <w:p w14:paraId="5FAC5A04" w14:textId="77777777" w:rsidR="00553D2F" w:rsidRPr="00FB00CE" w:rsidRDefault="00553D2F" w:rsidP="00553D2F">
      <w:pPr>
        <w:pStyle w:val="NormalHanging12a"/>
        <w:rPr>
          <w:b/>
          <w:bCs/>
          <w:i/>
          <w:iCs/>
          <w:szCs w:val="24"/>
        </w:rPr>
      </w:pPr>
      <w:r w:rsidRPr="00FB00CE">
        <w:rPr>
          <w:b/>
          <w:i/>
        </w:rPr>
        <w:t>Научни изследвания и инвестиции</w:t>
      </w:r>
    </w:p>
    <w:p w14:paraId="72063D6B" w14:textId="0141DB76" w:rsidR="00553D2F" w:rsidRPr="00FB00CE" w:rsidRDefault="00D01F2D" w:rsidP="00553D2F">
      <w:pPr>
        <w:pStyle w:val="NormalHanging12a"/>
      </w:pPr>
      <w:r>
        <w:t>33</w:t>
      </w:r>
      <w:r w:rsidR="00553D2F" w:rsidRPr="00FB00CE">
        <w:t>.</w:t>
      </w:r>
      <w:r w:rsidR="00553D2F" w:rsidRPr="00FB00CE">
        <w:tab/>
        <w:t>Призовава Комисията и държавите членки да насърчават инвестициите в публични и частни научни изследвания и партньорства за разработване на стратегии за биологичен контрол и ИУВ, включително чрез научноизследователски центрове, университети и регионални иновационни центрове, партньорства на ЕС за иновации и водещи проекти, със специален акцент върху МСП чрез целенасочени програми, както и за насърчаване на конкурентна среда, която дава възможност и насърчава иновациите в ЕС и намалява зависимостите на селското стопанство на ЕС;</w:t>
      </w:r>
    </w:p>
    <w:p w14:paraId="746F1646" w14:textId="568CE80D" w:rsidR="00553D2F" w:rsidRPr="00AF052B" w:rsidRDefault="00D01F2D" w:rsidP="00553D2F">
      <w:pPr>
        <w:pStyle w:val="NormalHanging12a"/>
        <w:rPr>
          <w:rStyle w:val="Strong"/>
          <w:b w:val="0"/>
          <w:bCs w:val="0"/>
        </w:rPr>
      </w:pPr>
      <w:r>
        <w:t>34</w:t>
      </w:r>
      <w:r w:rsidR="00553D2F" w:rsidRPr="00FB00CE">
        <w:t>.</w:t>
      </w:r>
      <w:r w:rsidR="00553D2F" w:rsidRPr="00FB00CE">
        <w:rPr>
          <w:rStyle w:val="Strong"/>
        </w:rPr>
        <w:tab/>
      </w:r>
      <w:r w:rsidR="00553D2F" w:rsidRPr="005E15F7">
        <w:rPr>
          <w:rStyle w:val="Strong"/>
          <w:b w:val="0"/>
          <w:bCs w:val="0"/>
        </w:rPr>
        <w:t>подчертава значението на научноизследователската и развойната дейност в областта на технологиите за биологичен контрол през следващите десетилетия, по-специално научните изследвания за преодоляване на пропуските в защитата при конкретни комбинации от култури, вредители и болести, за които съществуват малко или никакви алтернативни решения за контрол на вредителите, за да се насочат иновациите и регулаторните усилия там, където те са най-спешно необходими;</w:t>
      </w:r>
    </w:p>
    <w:p w14:paraId="64B6648D" w14:textId="77777777" w:rsidR="00553D2F" w:rsidRPr="00FB00CE" w:rsidRDefault="00553D2F" w:rsidP="00553D2F">
      <w:pPr>
        <w:spacing w:before="240" w:after="240"/>
        <w:rPr>
          <w:b/>
          <w:bCs/>
          <w:i/>
          <w:iCs/>
        </w:rPr>
      </w:pPr>
      <w:r w:rsidRPr="00FB00CE">
        <w:rPr>
          <w:b/>
          <w:i/>
        </w:rPr>
        <w:t xml:space="preserve">Достъп до знания за земеделските стопани </w:t>
      </w:r>
    </w:p>
    <w:p w14:paraId="443C6F6E" w14:textId="76AF1EAD" w:rsidR="00553D2F" w:rsidRPr="00FB00CE" w:rsidRDefault="00D01F2D" w:rsidP="00553D2F">
      <w:pPr>
        <w:pStyle w:val="NormalHanging12a"/>
      </w:pPr>
      <w:r>
        <w:t>35</w:t>
      </w:r>
      <w:r w:rsidR="00553D2F" w:rsidRPr="00FB00CE">
        <w:t>.</w:t>
      </w:r>
      <w:r w:rsidR="00553D2F" w:rsidRPr="00FB00CE">
        <w:tab/>
        <w:t>Отбелязва, че използването на биологичен контрол изисква различни подходи, бази от знания и набори от умения, особено по отношение на грижите за полезни видове, които действат за защита на културите; отбелязва, че това вече отчасти е включено в ИУВ и други производствени системи; подчертава обаче, че са необходими допълнителни знания, обучение, информация и практически насоки относно ефективното използване на продукти за биологичен контрол в сътрудничество със земеделските стопани;</w:t>
      </w:r>
    </w:p>
    <w:p w14:paraId="5D8BB29D" w14:textId="3738C3FE" w:rsidR="00553D2F" w:rsidRPr="00FB00CE" w:rsidRDefault="00D01F2D" w:rsidP="00553D2F">
      <w:pPr>
        <w:pStyle w:val="NormalHanging12a"/>
      </w:pPr>
      <w:r>
        <w:t>36</w:t>
      </w:r>
      <w:r w:rsidR="00553D2F" w:rsidRPr="00FB00CE">
        <w:t>.</w:t>
      </w:r>
      <w:r w:rsidR="00553D2F" w:rsidRPr="00FB00CE">
        <w:tab/>
        <w:t>отбелязва, че продължават да съществуват големи различия между достъпа на държавите членки до знания и консултантски услуги; призовава за предоставяне на съвети относно използването и прилагането на възможностите за биологичен контрол като част от подходящо обезпечени с ресурси, непрекъснати и независими системи за консултации, които следва да бъдат достъпни за всички земеделски стопани;</w:t>
      </w:r>
    </w:p>
    <w:p w14:paraId="53502134" w14:textId="17C3A58B" w:rsidR="00553D2F" w:rsidRPr="00FB00CE" w:rsidRDefault="00D01F2D" w:rsidP="00553D2F">
      <w:pPr>
        <w:pStyle w:val="NormalHanging12a"/>
      </w:pPr>
      <w:r>
        <w:t>37</w:t>
      </w:r>
      <w:r w:rsidR="00553D2F" w:rsidRPr="00FB00CE">
        <w:t>.</w:t>
      </w:r>
      <w:r w:rsidR="00553D2F" w:rsidRPr="00FB00CE">
        <w:tab/>
        <w:t xml:space="preserve">призовава Комисията и държавите членки, в сътрудничество с крайните ползватели, да предоставят цифрова платформа на ЕС въз основа на пилотния проект INSIGNIA, включително дългосрочен мониторинг на </w:t>
      </w:r>
      <w:proofErr w:type="spellStart"/>
      <w:r w:rsidR="00553D2F" w:rsidRPr="00FB00CE">
        <w:t>опрашителите</w:t>
      </w:r>
      <w:proofErr w:type="spellEnd"/>
      <w:r w:rsidR="00553D2F" w:rsidRPr="00FB00CE">
        <w:t xml:space="preserve">, и на успешния пилотен проект IPM </w:t>
      </w:r>
      <w:proofErr w:type="spellStart"/>
      <w:r w:rsidR="00553D2F" w:rsidRPr="00FB00CE">
        <w:t>toolbox</w:t>
      </w:r>
      <w:proofErr w:type="spellEnd"/>
      <w:r w:rsidR="00553D2F" w:rsidRPr="00FB00CE">
        <w:t xml:space="preserve"> </w:t>
      </w:r>
      <w:proofErr w:type="spellStart"/>
      <w:r w:rsidR="00553D2F" w:rsidRPr="00FB00CE">
        <w:t>for</w:t>
      </w:r>
      <w:proofErr w:type="spellEnd"/>
      <w:r w:rsidR="00553D2F" w:rsidRPr="00FB00CE">
        <w:t xml:space="preserve"> </w:t>
      </w:r>
      <w:proofErr w:type="spellStart"/>
      <w:r w:rsidR="00553D2F" w:rsidRPr="00FB00CE">
        <w:t>farmers</w:t>
      </w:r>
      <w:proofErr w:type="spellEnd"/>
      <w:r w:rsidR="00553D2F" w:rsidRPr="00FB00CE">
        <w:t xml:space="preserve"> (Инструментариум за интегрирано управление на вредителите за земеделските стопани), иницииран от Парламента, за разпространение на добри практики и доказани решения за биологичен контрол, насочени към подпомагане на земеделските стопани да вземат информирани решения относно най-ефективния вид биологичен контрол за структурата на популацията от вредители и почвено-климатичните условия в съответното стопанство; освен това призовава Комисията да насърчава по-широк </w:t>
      </w:r>
      <w:r w:rsidR="00553D2F" w:rsidRPr="00FB00CE">
        <w:lastRenderedPageBreak/>
        <w:t>набор от инструменти, включително чрез превръщането на тази цифрова платформа в постоянна, по-достъпна и постоянна инициатива, на разположение на всички езици на ЕС, както и да гарантира участието на всички съответни заинтересовани страни;</w:t>
      </w:r>
    </w:p>
    <w:p w14:paraId="44169E82" w14:textId="47B276CC" w:rsidR="00553D2F" w:rsidRPr="00FB00CE" w:rsidRDefault="00D01F2D" w:rsidP="00553D2F">
      <w:pPr>
        <w:pStyle w:val="NormalHanging12a"/>
      </w:pPr>
      <w:r>
        <w:t>38</w:t>
      </w:r>
      <w:r w:rsidR="00553D2F" w:rsidRPr="00FB00CE">
        <w:t>.</w:t>
      </w:r>
      <w:r w:rsidR="00553D2F" w:rsidRPr="00FB00CE">
        <w:tab/>
        <w:t>подчертава необходимостта от увеличаване на достъпа до знания чрез обучение на земеделските стопани с цел изграждане на технически капацитет чрез използване на демонстрационни мрежи, партньорски обмен и местна техническа подкрепа и стимули, включително финансови, с оглед насърчаване на безопасното, ефективно и широко използване на биологичния контрол; признава ползата от наблюдението на достъпа до знания и разпространението на най-добри практики по отношение на използването на биологичен контрол; отбелязва настоящите възможности на държавите членки и на ЕС за съфинансиране и насърчаване на обучението на земеделските стопани чрез инвестиции или консултантски услуги в рамките на системите за съвети в селското стопанство на общата селскостопанска политика; призовава Комисията и държавите членки да предоставят подходяща подкрепа за обучение в областта на биологичния контрол, техническа подкрепа и практически насоки и да обмислят как най-добре да улеснят такова доброволно обучение, за да стимулират повече земеделски стопани да възприемат биологичен контрол и ИУВ;</w:t>
      </w:r>
    </w:p>
    <w:p w14:paraId="32CBBA2B" w14:textId="77777777" w:rsidR="00553D2F" w:rsidRPr="00FB00CE" w:rsidRDefault="00553D2F" w:rsidP="00553D2F">
      <w:pPr>
        <w:pStyle w:val="NormalHanging12a"/>
        <w:rPr>
          <w:b/>
          <w:bCs/>
          <w:i/>
          <w:iCs/>
        </w:rPr>
      </w:pPr>
      <w:r w:rsidRPr="00FB00CE">
        <w:rPr>
          <w:b/>
          <w:i/>
        </w:rPr>
        <w:t>Сътрудничество между всички участници</w:t>
      </w:r>
    </w:p>
    <w:p w14:paraId="4CB1CE66" w14:textId="24845DE2" w:rsidR="00553D2F" w:rsidRPr="00FB00CE" w:rsidRDefault="00D01F2D" w:rsidP="00553D2F">
      <w:pPr>
        <w:pStyle w:val="NormalHanging12a"/>
      </w:pPr>
      <w:r>
        <w:t>39</w:t>
      </w:r>
      <w:r w:rsidR="00553D2F" w:rsidRPr="00FB00CE">
        <w:t>.</w:t>
      </w:r>
      <w:r w:rsidR="00553D2F" w:rsidRPr="00FB00CE">
        <w:tab/>
        <w:t>призовава за повече научни изследвания, обмен на знания, сътрудничество и изграждане на капацитет между всички съответни участници в процеса на разработване, одобряване, разрешаване, въвеждане и разпространение на биологичен контрол и най-добри практики при прилагането на ИУВ в целия ЕС, както и в процеса на обмен на знания и най-добри практики с партньори в държави извън ЕС;</w:t>
      </w:r>
    </w:p>
    <w:p w14:paraId="5C480388" w14:textId="77777777" w:rsidR="00553D2F" w:rsidRPr="00FB00CE" w:rsidRDefault="00553D2F" w:rsidP="00553D2F">
      <w:pPr>
        <w:pStyle w:val="NormalHanging12a"/>
        <w:rPr>
          <w:b/>
          <w:bCs/>
          <w:i/>
          <w:iCs/>
        </w:rPr>
      </w:pPr>
      <w:r w:rsidRPr="00FB00CE">
        <w:rPr>
          <w:b/>
          <w:i/>
        </w:rPr>
        <w:t>Финансиране на системи за консултации</w:t>
      </w:r>
    </w:p>
    <w:p w14:paraId="51BC6880" w14:textId="05125E8D" w:rsidR="00553D2F" w:rsidRPr="00FB00CE" w:rsidRDefault="00D01F2D" w:rsidP="00553D2F">
      <w:pPr>
        <w:pStyle w:val="NormalHanging12a"/>
      </w:pPr>
      <w:r>
        <w:t>40</w:t>
      </w:r>
      <w:r w:rsidR="00553D2F" w:rsidRPr="00FB00CE">
        <w:t>.</w:t>
      </w:r>
      <w:r w:rsidR="00553D2F" w:rsidRPr="00FB00CE">
        <w:tab/>
        <w:t>призовава в националните планове за действие на държавите членки да бъдат включени подробности относно финансирането на системата за консултации, както и относно обучението и капацитета в областта на биологичния контрол и ИУВ; подчертава, че разработването и наличието на специфични за отделните култури и вредители насоки във връзка с ИУВ продължава да бъде непоследователно между отделните държави членки; насърчава държавите членки да преразгледат своите национални планове за действие с цел подобряване на достъпа на земеделските стопани до специфични за отделните култури и вредители насоки, които отразяват реалността в съответните региони и включват възможности за биологичен контрол, евентуалното им интегриране в програмите за ИУВ и съвместимост с други ПРЗ, когато са налични и подходящи;</w:t>
      </w:r>
    </w:p>
    <w:p w14:paraId="4401C626" w14:textId="77777777" w:rsidR="00553D2F" w:rsidRPr="00FB00CE" w:rsidRDefault="00553D2F" w:rsidP="00553D2F">
      <w:pPr>
        <w:pStyle w:val="NormalHanging12a"/>
        <w:rPr>
          <w:b/>
          <w:bCs/>
          <w:i/>
          <w:iCs/>
        </w:rPr>
      </w:pPr>
      <w:r w:rsidRPr="00FB00CE">
        <w:rPr>
          <w:b/>
          <w:i/>
        </w:rPr>
        <w:t>Проследяване на напредъка</w:t>
      </w:r>
    </w:p>
    <w:p w14:paraId="131B7CDE" w14:textId="2CC20A96" w:rsidR="00553D2F" w:rsidRPr="00FB00CE" w:rsidRDefault="00D01F2D" w:rsidP="00553D2F">
      <w:pPr>
        <w:pStyle w:val="NormalHanging12a"/>
      </w:pPr>
      <w:r>
        <w:t>41</w:t>
      </w:r>
      <w:r w:rsidR="00553D2F" w:rsidRPr="00FB00CE">
        <w:t>.</w:t>
      </w:r>
      <w:r w:rsidR="00553D2F" w:rsidRPr="00FB00CE">
        <w:tab/>
        <w:t>призовава Комисията редовно да наблюдава навлизането на пазара, наличността и финансовата достъпност на решенията за биологичен контрол;</w:t>
      </w:r>
    </w:p>
    <w:p w14:paraId="20921B0E" w14:textId="2B1CDB49" w:rsidR="00553D2F" w:rsidRPr="00FB00CE" w:rsidRDefault="00D01F2D" w:rsidP="00553D2F">
      <w:pPr>
        <w:pStyle w:val="NormalHanging12a"/>
      </w:pPr>
      <w:r>
        <w:t>42</w:t>
      </w:r>
      <w:r w:rsidR="00553D2F" w:rsidRPr="00FB00CE">
        <w:t>.</w:t>
      </w:r>
      <w:r w:rsidR="00553D2F" w:rsidRPr="00FB00CE">
        <w:tab/>
        <w:t xml:space="preserve">призовава Комисията да наблюдава напредъка на ЕС и на държавите членки по отношение на одобряването и разрешаването на решения за биологичен контрол, като разглежда броя на заявленията, свързания с тях административен капацитет, </w:t>
      </w:r>
      <w:r w:rsidR="00553D2F" w:rsidRPr="00FB00CE">
        <w:lastRenderedPageBreak/>
        <w:t>числеността на персонала и специалните бюджети, и по-специално прилагането на приоритетна пътека със специални допълнителни ресурси за разрешаване на продукти за биологичен контрол, след като тя бъде създадена; призовава Комисията да публикува доклад с констатациите и да го представи на Парламента и на Съвета;</w:t>
      </w:r>
    </w:p>
    <w:p w14:paraId="2024A9BA" w14:textId="77777777" w:rsidR="00553D2F" w:rsidRPr="00FB00CE" w:rsidRDefault="00553D2F" w:rsidP="00553D2F">
      <w:pPr>
        <w:pStyle w:val="NormalHanging12a"/>
        <w:rPr>
          <w:b/>
          <w:bCs/>
          <w:i/>
          <w:iCs/>
        </w:rPr>
      </w:pPr>
      <w:r w:rsidRPr="00FB00CE">
        <w:rPr>
          <w:b/>
          <w:i/>
        </w:rPr>
        <w:t>Най-отдалечени региони</w:t>
      </w:r>
    </w:p>
    <w:p w14:paraId="398FFC8B" w14:textId="0D153B3E" w:rsidR="00553D2F" w:rsidRPr="00FB00CE" w:rsidRDefault="00D01F2D" w:rsidP="00553D2F">
      <w:pPr>
        <w:pStyle w:val="NormalHanging12a"/>
      </w:pPr>
      <w:r>
        <w:t>43</w:t>
      </w:r>
      <w:r w:rsidR="00553D2F" w:rsidRPr="00FB00CE">
        <w:t>.</w:t>
      </w:r>
      <w:r w:rsidR="00553D2F" w:rsidRPr="00FB00CE">
        <w:tab/>
        <w:t xml:space="preserve">призовава Комисията и държавите членки да гарантират, че най-отдалечените региони на ЕС могат да се възползват от навлизането на биологичния контрол, като гарантират, че процесите на издаване на разрешения отчитат техните уникални агроекологични условия и профилите на вредителите, както и като осигуряват целево обучение, консултантски услуги и финансова подкрепа за земеделските стопани и МСП в тези региони; настоятелно призовава за разработването на специфични за отделните култури и вредители платформи за предоставяне на насоки и знания, които да отразяват реалностите в най-отдалечените региони, за да се подобри техният достъп до безопасни, ефективни и устойчиви решения за биологичен контрол; </w:t>
      </w:r>
    </w:p>
    <w:p w14:paraId="63D82E45" w14:textId="77777777" w:rsidR="00553D2F" w:rsidRPr="00FB00CE" w:rsidRDefault="00553D2F" w:rsidP="00553D2F">
      <w:pPr>
        <w:pStyle w:val="NormalHanging12a"/>
        <w:jc w:val="center"/>
      </w:pPr>
      <w:r w:rsidRPr="00FB00CE">
        <w:t>°</w:t>
      </w:r>
    </w:p>
    <w:p w14:paraId="7773FBBC" w14:textId="77777777" w:rsidR="00553D2F" w:rsidRPr="00FB00CE" w:rsidRDefault="00553D2F" w:rsidP="00553D2F">
      <w:pPr>
        <w:pStyle w:val="NormalHanging12a"/>
        <w:jc w:val="center"/>
      </w:pPr>
      <w:r w:rsidRPr="00FB00CE">
        <w:t>°</w:t>
      </w:r>
      <w:r w:rsidRPr="00FB00CE">
        <w:tab/>
        <w:t>°</w:t>
      </w:r>
    </w:p>
    <w:p w14:paraId="378D4000" w14:textId="028E6416" w:rsidR="00FB00CE" w:rsidRPr="00FB00CE" w:rsidRDefault="00D01F2D" w:rsidP="00FB00CE">
      <w:pPr>
        <w:pStyle w:val="NormalHanging12a"/>
      </w:pPr>
      <w:r>
        <w:t>44</w:t>
      </w:r>
      <w:r w:rsidR="00553D2F" w:rsidRPr="00FB00CE">
        <w:t>.</w:t>
      </w:r>
      <w:r w:rsidR="00553D2F" w:rsidRPr="00FB00CE">
        <w:tab/>
        <w:t>възлага на своя председател да предаде настоящата резолюция на Съвета, на Комисията и на правителствата и парламентите на държавите членки.</w:t>
      </w:r>
    </w:p>
    <w:p w14:paraId="1E9C2DA4" w14:textId="238ABA0A" w:rsidR="00E365E1" w:rsidRPr="00FB00CE" w:rsidRDefault="00E365E1" w:rsidP="00434193"/>
    <w:sectPr w:rsidR="00E365E1" w:rsidRPr="00FB00CE" w:rsidSect="00FB00C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A0C15" w14:textId="77777777" w:rsidR="00434193" w:rsidRPr="00FB00CE" w:rsidRDefault="00434193">
      <w:r w:rsidRPr="00FB00CE">
        <w:separator/>
      </w:r>
    </w:p>
  </w:endnote>
  <w:endnote w:type="continuationSeparator" w:id="0">
    <w:p w14:paraId="6BD428FE" w14:textId="77777777" w:rsidR="00434193" w:rsidRPr="00FB00CE" w:rsidRDefault="00434193">
      <w:r w:rsidRPr="00FB00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46BB9" w14:textId="77777777" w:rsidR="00434193" w:rsidRPr="00FB00CE" w:rsidRDefault="00434193">
      <w:r w:rsidRPr="00FB00CE">
        <w:separator/>
      </w:r>
    </w:p>
  </w:footnote>
  <w:footnote w:type="continuationSeparator" w:id="0">
    <w:p w14:paraId="5AC7F874" w14:textId="77777777" w:rsidR="00434193" w:rsidRPr="00FB00CE" w:rsidRDefault="00434193">
      <w:r w:rsidRPr="00FB00CE">
        <w:continuationSeparator/>
      </w:r>
    </w:p>
  </w:footnote>
  <w:footnote w:id="1">
    <w:p w14:paraId="0B850AB0" w14:textId="69325FFC" w:rsidR="00553D2F" w:rsidRPr="00FB00CE" w:rsidRDefault="00553D2F" w:rsidP="00FB00CE">
      <w:pPr>
        <w:pStyle w:val="FootnoteText"/>
        <w:ind w:left="567" w:hanging="567"/>
        <w:rPr>
          <w:iCs/>
          <w:sz w:val="24"/>
          <w:lang w:val="bg-BG"/>
        </w:rPr>
      </w:pPr>
      <w:r w:rsidRPr="00FB00CE">
        <w:rPr>
          <w:rStyle w:val="FootnoteReference"/>
          <w:sz w:val="24"/>
          <w:lang w:val="bg-BG"/>
        </w:rPr>
        <w:footnoteRef/>
      </w:r>
      <w:r w:rsidR="00FB00CE" w:rsidRPr="00FB00CE">
        <w:rPr>
          <w:sz w:val="24"/>
          <w:lang w:val="bg-BG"/>
        </w:rPr>
        <w:t xml:space="preserve"> </w:t>
      </w:r>
      <w:r w:rsidR="00FB00CE" w:rsidRPr="00FB00CE">
        <w:rPr>
          <w:sz w:val="24"/>
          <w:lang w:val="bg-BG"/>
        </w:rPr>
        <w:tab/>
      </w:r>
      <w:r w:rsidRPr="00FB00CE">
        <w:rPr>
          <w:sz w:val="24"/>
          <w:lang w:val="bg-BG"/>
        </w:rPr>
        <w:t xml:space="preserve">ОВ L 309, 24.11.2009 г., стр. 1, ELI: </w:t>
      </w:r>
      <w:r w:rsidR="00101ACF">
        <w:fldChar w:fldCharType="begin"/>
      </w:r>
      <w:r w:rsidR="00101ACF">
        <w:instrText>HYPERLINK</w:instrText>
      </w:r>
      <w:r w:rsidR="00101ACF" w:rsidRPr="00101ACF">
        <w:rPr>
          <w:lang w:val="ru-RU"/>
        </w:rPr>
        <w:instrText xml:space="preserve"> "</w:instrText>
      </w:r>
      <w:r w:rsidR="00101ACF">
        <w:instrText>http</w:instrText>
      </w:r>
      <w:r w:rsidR="00101ACF" w:rsidRPr="00101ACF">
        <w:rPr>
          <w:lang w:val="ru-RU"/>
        </w:rPr>
        <w:instrText>://</w:instrText>
      </w:r>
      <w:r w:rsidR="00101ACF">
        <w:instrText>data</w:instrText>
      </w:r>
      <w:r w:rsidR="00101ACF" w:rsidRPr="00101ACF">
        <w:rPr>
          <w:lang w:val="ru-RU"/>
        </w:rPr>
        <w:instrText>.</w:instrText>
      </w:r>
      <w:r w:rsidR="00101ACF">
        <w:instrText>europa</w:instrText>
      </w:r>
      <w:r w:rsidR="00101ACF" w:rsidRPr="00101ACF">
        <w:rPr>
          <w:lang w:val="ru-RU"/>
        </w:rPr>
        <w:instrText>.</w:instrText>
      </w:r>
      <w:r w:rsidR="00101ACF">
        <w:instrText>eu</w:instrText>
      </w:r>
      <w:r w:rsidR="00101ACF" w:rsidRPr="00101ACF">
        <w:rPr>
          <w:lang w:val="ru-RU"/>
        </w:rPr>
        <w:instrText>/</w:instrText>
      </w:r>
      <w:r w:rsidR="00101ACF">
        <w:instrText>eli</w:instrText>
      </w:r>
      <w:r w:rsidR="00101ACF" w:rsidRPr="00101ACF">
        <w:rPr>
          <w:lang w:val="ru-RU"/>
        </w:rPr>
        <w:instrText>/</w:instrText>
      </w:r>
      <w:r w:rsidR="00101ACF">
        <w:instrText>reg</w:instrText>
      </w:r>
      <w:r w:rsidR="00101ACF" w:rsidRPr="00101ACF">
        <w:rPr>
          <w:lang w:val="ru-RU"/>
        </w:rPr>
        <w:instrText>/2009/1107/</w:instrText>
      </w:r>
      <w:r w:rsidR="00101ACF">
        <w:instrText>oj</w:instrText>
      </w:r>
      <w:r w:rsidR="00101ACF" w:rsidRPr="00101ACF">
        <w:rPr>
          <w:lang w:val="ru-RU"/>
        </w:rPr>
        <w:instrText>" \</w:instrText>
      </w:r>
      <w:r w:rsidR="00101ACF">
        <w:instrText>o</w:instrText>
      </w:r>
      <w:r w:rsidR="00101ACF" w:rsidRPr="00101ACF">
        <w:rPr>
          <w:lang w:val="ru-RU"/>
        </w:rPr>
        <w:instrText xml:space="preserve"> "Предоставя достъп до този документ чрез неговия унифициран идентификатор на ресурс (</w:instrText>
      </w:r>
      <w:r w:rsidR="00101ACF">
        <w:instrText>URI</w:instrText>
      </w:r>
      <w:r w:rsidR="00101ACF" w:rsidRPr="00101ACF">
        <w:rPr>
          <w:lang w:val="ru-RU"/>
        </w:rPr>
        <w:instrText>) на европейския идентификатор на законодателството (</w:instrText>
      </w:r>
      <w:r w:rsidR="00101ACF">
        <w:instrText>ELI</w:instrText>
      </w:r>
      <w:r w:rsidR="00101ACF" w:rsidRPr="00101ACF">
        <w:rPr>
          <w:lang w:val="ru-RU"/>
        </w:rPr>
        <w:instrText>)."</w:instrText>
      </w:r>
      <w:r w:rsidR="00101ACF">
        <w:fldChar w:fldCharType="separate"/>
      </w:r>
      <w:r w:rsidRPr="00FB00CE">
        <w:rPr>
          <w:rStyle w:val="Hyperlink"/>
          <w:sz w:val="24"/>
          <w:lang w:val="bg-BG"/>
        </w:rPr>
        <w:t>http://data.europa.eu/eli/reg/2009/1107/oj</w:t>
      </w:r>
      <w:r w:rsidR="00101ACF">
        <w:rPr>
          <w:rStyle w:val="Hyperlink"/>
          <w:sz w:val="24"/>
          <w:lang w:val="bg-BG"/>
        </w:rPr>
        <w:fldChar w:fldCharType="end"/>
      </w:r>
      <w:r w:rsidRPr="00FB00CE">
        <w:rPr>
          <w:sz w:val="24"/>
          <w:lang w:val="bg-BG"/>
        </w:rPr>
        <w:t>.</w:t>
      </w:r>
    </w:p>
  </w:footnote>
  <w:footnote w:id="2">
    <w:p w14:paraId="09F7C1DB" w14:textId="2B81B05C" w:rsidR="00553D2F" w:rsidRPr="00FB00CE" w:rsidRDefault="00553D2F" w:rsidP="00FB00CE">
      <w:pPr>
        <w:pStyle w:val="FootnoteText"/>
        <w:ind w:left="567" w:hanging="567"/>
        <w:rPr>
          <w:sz w:val="24"/>
          <w:lang w:val="bg-BG"/>
        </w:rPr>
      </w:pPr>
      <w:r w:rsidRPr="00FB00CE">
        <w:rPr>
          <w:rStyle w:val="FootnoteReference"/>
          <w:sz w:val="24"/>
          <w:lang w:val="bg-BG"/>
        </w:rPr>
        <w:footnoteRef/>
      </w:r>
      <w:r w:rsidR="00FB00CE" w:rsidRPr="00FB00CE">
        <w:rPr>
          <w:sz w:val="24"/>
          <w:lang w:val="bg-BG"/>
        </w:rPr>
        <w:t xml:space="preserve"> </w:t>
      </w:r>
      <w:r w:rsidR="00FB00CE" w:rsidRPr="00FB00CE">
        <w:rPr>
          <w:sz w:val="24"/>
          <w:lang w:val="bg-BG"/>
        </w:rPr>
        <w:tab/>
      </w:r>
      <w:r w:rsidRPr="00FB00CE">
        <w:rPr>
          <w:sz w:val="24"/>
          <w:lang w:val="bg-BG"/>
        </w:rPr>
        <w:t>ОВ L 331, 27.12.2022 г., стр. 6, ELI: </w:t>
      </w:r>
      <w:r w:rsidR="00101ACF">
        <w:fldChar w:fldCharType="begin"/>
      </w:r>
      <w:r w:rsidR="00101ACF">
        <w:instrText>HYPERLINK</w:instrText>
      </w:r>
      <w:r w:rsidR="00101ACF" w:rsidRPr="00101ACF">
        <w:rPr>
          <w:lang w:val="ru-RU"/>
        </w:rPr>
        <w:instrText xml:space="preserve"> "</w:instrText>
      </w:r>
      <w:r w:rsidR="00101ACF">
        <w:instrText>http</w:instrText>
      </w:r>
      <w:r w:rsidR="00101ACF" w:rsidRPr="00101ACF">
        <w:rPr>
          <w:lang w:val="ru-RU"/>
        </w:rPr>
        <w:instrText>://</w:instrText>
      </w:r>
      <w:r w:rsidR="00101ACF">
        <w:instrText>data</w:instrText>
      </w:r>
      <w:r w:rsidR="00101ACF" w:rsidRPr="00101ACF">
        <w:rPr>
          <w:lang w:val="ru-RU"/>
        </w:rPr>
        <w:instrText>.</w:instrText>
      </w:r>
      <w:r w:rsidR="00101ACF">
        <w:instrText>europa</w:instrText>
      </w:r>
      <w:r w:rsidR="00101ACF" w:rsidRPr="00101ACF">
        <w:rPr>
          <w:lang w:val="ru-RU"/>
        </w:rPr>
        <w:instrText>.</w:instrText>
      </w:r>
      <w:r w:rsidR="00101ACF">
        <w:instrText>eu</w:instrText>
      </w:r>
      <w:r w:rsidR="00101ACF" w:rsidRPr="00101ACF">
        <w:rPr>
          <w:lang w:val="ru-RU"/>
        </w:rPr>
        <w:instrText>/</w:instrText>
      </w:r>
      <w:r w:rsidR="00101ACF">
        <w:instrText>eli</w:instrText>
      </w:r>
      <w:r w:rsidR="00101ACF" w:rsidRPr="00101ACF">
        <w:rPr>
          <w:lang w:val="ru-RU"/>
        </w:rPr>
        <w:instrText>/</w:instrText>
      </w:r>
      <w:r w:rsidR="00101ACF">
        <w:instrText>dec</w:instrText>
      </w:r>
      <w:r w:rsidR="00101ACF" w:rsidRPr="00101ACF">
        <w:rPr>
          <w:lang w:val="ru-RU"/>
        </w:rPr>
        <w:instrText>/2022/2572/</w:instrText>
      </w:r>
      <w:r w:rsidR="00101ACF">
        <w:instrText>oj</w:instrText>
      </w:r>
      <w:r w:rsidR="00101ACF" w:rsidRPr="00101ACF">
        <w:rPr>
          <w:lang w:val="ru-RU"/>
        </w:rPr>
        <w:instrText>" \</w:instrText>
      </w:r>
      <w:r w:rsidR="00101ACF">
        <w:instrText>o</w:instrText>
      </w:r>
      <w:r w:rsidR="00101ACF" w:rsidRPr="00101ACF">
        <w:rPr>
          <w:lang w:val="ru-RU"/>
        </w:rPr>
        <w:instrText xml:space="preserve"> "Предоставя достъп до този документ чрез неговия унифициран идентификатор на ресурс (</w:instrText>
      </w:r>
      <w:r w:rsidR="00101ACF">
        <w:instrText>URI</w:instrText>
      </w:r>
      <w:r w:rsidR="00101ACF" w:rsidRPr="00101ACF">
        <w:rPr>
          <w:lang w:val="ru-RU"/>
        </w:rPr>
        <w:instrText>) на европейския идентификатор на законодателството (</w:instrText>
      </w:r>
      <w:r w:rsidR="00101ACF">
        <w:instrText>ELI</w:instrText>
      </w:r>
      <w:r w:rsidR="00101ACF" w:rsidRPr="00101ACF">
        <w:rPr>
          <w:lang w:val="ru-RU"/>
        </w:rPr>
        <w:instrText>)."</w:instrText>
      </w:r>
      <w:r w:rsidR="00101ACF">
        <w:fldChar w:fldCharType="separate"/>
      </w:r>
      <w:r w:rsidRPr="00FB00CE">
        <w:rPr>
          <w:rStyle w:val="Hyperlink"/>
          <w:sz w:val="24"/>
          <w:lang w:val="bg-BG"/>
        </w:rPr>
        <w:t>http://data.europa.eu/eli/dec/2022/2572/oj</w:t>
      </w:r>
      <w:r w:rsidR="00101ACF">
        <w:rPr>
          <w:rStyle w:val="Hyperlink"/>
          <w:sz w:val="24"/>
          <w:lang w:val="bg-BG"/>
        </w:rPr>
        <w:fldChar w:fldCharType="end"/>
      </w:r>
      <w:r w:rsidRPr="00FB00CE">
        <w:rPr>
          <w:sz w:val="24"/>
          <w:lang w:val="bg-BG"/>
        </w:rPr>
        <w:t>.</w:t>
      </w:r>
    </w:p>
  </w:footnote>
  <w:footnote w:id="3">
    <w:p w14:paraId="00D49FB7" w14:textId="1DB99A09" w:rsidR="00553D2F" w:rsidRPr="00FB00CE" w:rsidRDefault="00553D2F" w:rsidP="00FB00CE">
      <w:pPr>
        <w:pStyle w:val="FootnoteText"/>
        <w:ind w:left="567" w:hanging="567"/>
        <w:rPr>
          <w:sz w:val="24"/>
          <w:lang w:val="bg-BG"/>
        </w:rPr>
      </w:pPr>
      <w:r w:rsidRPr="00FB00CE">
        <w:rPr>
          <w:rStyle w:val="FootnoteReference"/>
          <w:sz w:val="24"/>
          <w:lang w:val="bg-BG"/>
        </w:rPr>
        <w:footnoteRef/>
      </w:r>
      <w:r w:rsidR="00FB00CE" w:rsidRPr="00FB00CE">
        <w:rPr>
          <w:sz w:val="24"/>
          <w:lang w:val="bg-BG"/>
        </w:rPr>
        <w:t xml:space="preserve"> </w:t>
      </w:r>
      <w:r w:rsidR="00FB00CE" w:rsidRPr="00FB00CE">
        <w:rPr>
          <w:sz w:val="24"/>
          <w:lang w:val="bg-BG"/>
        </w:rPr>
        <w:tab/>
      </w:r>
      <w:r w:rsidRPr="00FB00CE">
        <w:rPr>
          <w:sz w:val="24"/>
          <w:lang w:val="bg-BG"/>
        </w:rPr>
        <w:t>ОВ L 309, 24.11.2009 г., стр. 71, ELI: </w:t>
      </w:r>
      <w:r w:rsidR="00101ACF">
        <w:fldChar w:fldCharType="begin"/>
      </w:r>
      <w:r w:rsidR="00101ACF">
        <w:instrText>HYPERLINK</w:instrText>
      </w:r>
      <w:r w:rsidR="00101ACF" w:rsidRPr="00101ACF">
        <w:rPr>
          <w:lang w:val="ru-RU"/>
        </w:rPr>
        <w:instrText xml:space="preserve"> "</w:instrText>
      </w:r>
      <w:r w:rsidR="00101ACF">
        <w:instrText>http</w:instrText>
      </w:r>
      <w:r w:rsidR="00101ACF" w:rsidRPr="00101ACF">
        <w:rPr>
          <w:lang w:val="ru-RU"/>
        </w:rPr>
        <w:instrText>://</w:instrText>
      </w:r>
      <w:r w:rsidR="00101ACF">
        <w:instrText>data</w:instrText>
      </w:r>
      <w:r w:rsidR="00101ACF" w:rsidRPr="00101ACF">
        <w:rPr>
          <w:lang w:val="ru-RU"/>
        </w:rPr>
        <w:instrText>.</w:instrText>
      </w:r>
      <w:r w:rsidR="00101ACF">
        <w:instrText>europa</w:instrText>
      </w:r>
      <w:r w:rsidR="00101ACF" w:rsidRPr="00101ACF">
        <w:rPr>
          <w:lang w:val="ru-RU"/>
        </w:rPr>
        <w:instrText>.</w:instrText>
      </w:r>
      <w:r w:rsidR="00101ACF">
        <w:instrText>eu</w:instrText>
      </w:r>
      <w:r w:rsidR="00101ACF" w:rsidRPr="00101ACF">
        <w:rPr>
          <w:lang w:val="ru-RU"/>
        </w:rPr>
        <w:instrText>/</w:instrText>
      </w:r>
      <w:r w:rsidR="00101ACF">
        <w:instrText>eli</w:instrText>
      </w:r>
      <w:r w:rsidR="00101ACF" w:rsidRPr="00101ACF">
        <w:rPr>
          <w:lang w:val="ru-RU"/>
        </w:rPr>
        <w:instrText>/</w:instrText>
      </w:r>
      <w:r w:rsidR="00101ACF">
        <w:instrText>dir</w:instrText>
      </w:r>
      <w:r w:rsidR="00101ACF" w:rsidRPr="00101ACF">
        <w:rPr>
          <w:lang w:val="ru-RU"/>
        </w:rPr>
        <w:instrText>/2009/128/</w:instrText>
      </w:r>
      <w:r w:rsidR="00101ACF">
        <w:instrText>oj</w:instrText>
      </w:r>
      <w:r w:rsidR="00101ACF" w:rsidRPr="00101ACF">
        <w:rPr>
          <w:lang w:val="ru-RU"/>
        </w:rPr>
        <w:instrText>" \</w:instrText>
      </w:r>
      <w:r w:rsidR="00101ACF">
        <w:instrText>o</w:instrText>
      </w:r>
      <w:r w:rsidR="00101ACF" w:rsidRPr="00101ACF">
        <w:rPr>
          <w:lang w:val="ru-RU"/>
        </w:rPr>
        <w:instrText xml:space="preserve"> "Предоставя достъп до този документ чрез неговия унифициран идентификатор на ресурс (</w:instrText>
      </w:r>
      <w:r w:rsidR="00101ACF">
        <w:instrText>URI</w:instrText>
      </w:r>
      <w:r w:rsidR="00101ACF" w:rsidRPr="00101ACF">
        <w:rPr>
          <w:lang w:val="ru-RU"/>
        </w:rPr>
        <w:instrText>) на европейския идентификатор на законодателството (</w:instrText>
      </w:r>
      <w:r w:rsidR="00101ACF">
        <w:instrText>ELI</w:instrText>
      </w:r>
      <w:r w:rsidR="00101ACF" w:rsidRPr="00101ACF">
        <w:rPr>
          <w:lang w:val="ru-RU"/>
        </w:rPr>
        <w:instrText>)."</w:instrText>
      </w:r>
      <w:r w:rsidR="00101ACF">
        <w:fldChar w:fldCharType="separate"/>
      </w:r>
      <w:r w:rsidRPr="00FB00CE">
        <w:rPr>
          <w:rStyle w:val="Hyperlink"/>
          <w:sz w:val="24"/>
          <w:lang w:val="bg-BG"/>
        </w:rPr>
        <w:t>http://data.europa.eu/eli/dir/2009/128/oj</w:t>
      </w:r>
      <w:r w:rsidR="00101ACF">
        <w:rPr>
          <w:rStyle w:val="Hyperlink"/>
          <w:sz w:val="24"/>
          <w:lang w:val="bg-BG"/>
        </w:rPr>
        <w:fldChar w:fldCharType="end"/>
      </w:r>
      <w:r w:rsidRPr="00FB00CE">
        <w:rPr>
          <w:sz w:val="24"/>
          <w:lang w:val="bg-BG"/>
        </w:rPr>
        <w:t>.</w:t>
      </w:r>
    </w:p>
  </w:footnote>
  <w:footnote w:id="4">
    <w:p w14:paraId="77FFE8F3" w14:textId="4918AFD1" w:rsidR="00553D2F" w:rsidRPr="00FB00CE" w:rsidRDefault="00553D2F" w:rsidP="00FB00CE">
      <w:pPr>
        <w:pStyle w:val="FootnoteText"/>
        <w:ind w:left="567" w:hanging="567"/>
        <w:rPr>
          <w:sz w:val="24"/>
          <w:lang w:val="bg-BG"/>
        </w:rPr>
      </w:pPr>
      <w:r w:rsidRPr="00FB00CE">
        <w:rPr>
          <w:rStyle w:val="FootnoteReference"/>
          <w:sz w:val="24"/>
          <w:lang w:val="bg-BG"/>
        </w:rPr>
        <w:footnoteRef/>
      </w:r>
      <w:r w:rsidR="00FB00CE" w:rsidRPr="00FB00CE">
        <w:rPr>
          <w:sz w:val="24"/>
          <w:lang w:val="bg-BG"/>
        </w:rPr>
        <w:t xml:space="preserve"> </w:t>
      </w:r>
      <w:r w:rsidR="00FB00CE" w:rsidRPr="00FB00CE">
        <w:rPr>
          <w:sz w:val="24"/>
          <w:lang w:val="bg-BG"/>
        </w:rPr>
        <w:tab/>
      </w:r>
      <w:r w:rsidRPr="00FB00CE">
        <w:rPr>
          <w:sz w:val="24"/>
          <w:lang w:val="bg-BG"/>
        </w:rPr>
        <w:t>ОВ C, C/2024/4227, 24.7.2024 г., ELI: </w:t>
      </w:r>
      <w:r w:rsidR="00101ACF">
        <w:fldChar w:fldCharType="begin"/>
      </w:r>
      <w:r w:rsidR="00101ACF">
        <w:instrText>HYPERLINK</w:instrText>
      </w:r>
      <w:r w:rsidR="00101ACF" w:rsidRPr="00101ACF">
        <w:rPr>
          <w:lang w:val="ru-RU"/>
        </w:rPr>
        <w:instrText xml:space="preserve"> "</w:instrText>
      </w:r>
      <w:r w:rsidR="00101ACF">
        <w:instrText>http</w:instrText>
      </w:r>
      <w:r w:rsidR="00101ACF" w:rsidRPr="00101ACF">
        <w:rPr>
          <w:lang w:val="ru-RU"/>
        </w:rPr>
        <w:instrText>://</w:instrText>
      </w:r>
      <w:r w:rsidR="00101ACF">
        <w:instrText>data</w:instrText>
      </w:r>
      <w:r w:rsidR="00101ACF" w:rsidRPr="00101ACF">
        <w:rPr>
          <w:lang w:val="ru-RU"/>
        </w:rPr>
        <w:instrText>.</w:instrText>
      </w:r>
      <w:r w:rsidR="00101ACF">
        <w:instrText>europa</w:instrText>
      </w:r>
      <w:r w:rsidR="00101ACF" w:rsidRPr="00101ACF">
        <w:rPr>
          <w:lang w:val="ru-RU"/>
        </w:rPr>
        <w:instrText>.</w:instrText>
      </w:r>
      <w:r w:rsidR="00101ACF">
        <w:instrText>eu</w:instrText>
      </w:r>
      <w:r w:rsidR="00101ACF" w:rsidRPr="00101ACF">
        <w:rPr>
          <w:lang w:val="ru-RU"/>
        </w:rPr>
        <w:instrText>/</w:instrText>
      </w:r>
      <w:r w:rsidR="00101ACF">
        <w:instrText>eli</w:instrText>
      </w:r>
      <w:r w:rsidR="00101ACF" w:rsidRPr="00101ACF">
        <w:rPr>
          <w:lang w:val="ru-RU"/>
        </w:rPr>
        <w:instrText>/</w:instrText>
      </w:r>
      <w:r w:rsidR="00101ACF">
        <w:instrText>C</w:instrText>
      </w:r>
      <w:r w:rsidR="00101ACF" w:rsidRPr="00101ACF">
        <w:rPr>
          <w:lang w:val="ru-RU"/>
        </w:rPr>
        <w:instrText>/2024/4227/</w:instrText>
      </w:r>
      <w:r w:rsidR="00101ACF">
        <w:instrText>oj</w:instrText>
      </w:r>
      <w:r w:rsidR="00101ACF" w:rsidRPr="00101ACF">
        <w:rPr>
          <w:lang w:val="ru-RU"/>
        </w:rPr>
        <w:instrText>" \</w:instrText>
      </w:r>
      <w:r w:rsidR="00101ACF">
        <w:instrText>t</w:instrText>
      </w:r>
      <w:r w:rsidR="00101ACF" w:rsidRPr="00101ACF">
        <w:rPr>
          <w:lang w:val="ru-RU"/>
        </w:rPr>
        <w:instrText xml:space="preserve"> "_</w:instrText>
      </w:r>
      <w:r w:rsidR="00101ACF">
        <w:instrText>blank</w:instrText>
      </w:r>
      <w:r w:rsidR="00101ACF" w:rsidRPr="00101ACF">
        <w:rPr>
          <w:lang w:val="ru-RU"/>
        </w:rPr>
        <w:instrText>" \</w:instrText>
      </w:r>
      <w:r w:rsidR="00101ACF">
        <w:instrText>o</w:instrText>
      </w:r>
      <w:r w:rsidR="00101ACF" w:rsidRPr="00101ACF">
        <w:rPr>
          <w:lang w:val="ru-RU"/>
        </w:rPr>
        <w:instrText xml:space="preserve"> "Предоставя достъп до този документ чрез неговия унифициран идентификатор на ресурс (</w:instrText>
      </w:r>
      <w:r w:rsidR="00101ACF">
        <w:instrText>URI</w:instrText>
      </w:r>
      <w:r w:rsidR="00101ACF" w:rsidRPr="00101ACF">
        <w:rPr>
          <w:lang w:val="ru-RU"/>
        </w:rPr>
        <w:instrText>) на европейския идентификатор на законодателството (</w:instrText>
      </w:r>
      <w:r w:rsidR="00101ACF">
        <w:instrText>ELI</w:instrText>
      </w:r>
      <w:r w:rsidR="00101ACF" w:rsidRPr="00101ACF">
        <w:rPr>
          <w:lang w:val="ru-RU"/>
        </w:rPr>
        <w:instrText>)."</w:instrText>
      </w:r>
      <w:r w:rsidR="00101ACF">
        <w:fldChar w:fldCharType="separate"/>
      </w:r>
      <w:r w:rsidRPr="00FB00CE">
        <w:rPr>
          <w:rStyle w:val="Hyperlink"/>
          <w:sz w:val="24"/>
          <w:lang w:val="bg-BG"/>
        </w:rPr>
        <w:t>http://data.europa.eu/eli/C/2024/4227/oj</w:t>
      </w:r>
      <w:r w:rsidR="00101ACF">
        <w:rPr>
          <w:rStyle w:val="Hyperlink"/>
          <w:sz w:val="24"/>
          <w:lang w:val="bg-BG"/>
        </w:rPr>
        <w:fldChar w:fldCharType="end"/>
      </w:r>
      <w:r w:rsidRPr="00FB00CE">
        <w:rPr>
          <w:sz w:val="24"/>
          <w:lang w:val="bg-BG"/>
        </w:rPr>
        <w:t>.</w:t>
      </w:r>
    </w:p>
  </w:footnote>
  <w:footnote w:id="5">
    <w:p w14:paraId="2F989855" w14:textId="7E0B5B20" w:rsidR="00553D2F" w:rsidRPr="00FB00CE" w:rsidRDefault="00553D2F" w:rsidP="00FB00CE">
      <w:pPr>
        <w:pStyle w:val="FootnoteText"/>
        <w:ind w:left="567" w:hanging="567"/>
        <w:rPr>
          <w:sz w:val="24"/>
          <w:lang w:val="bg-BG"/>
        </w:rPr>
      </w:pPr>
      <w:r w:rsidRPr="00FB00CE">
        <w:rPr>
          <w:rStyle w:val="FootnoteReference"/>
          <w:sz w:val="24"/>
          <w:lang w:val="bg-BG"/>
        </w:rPr>
        <w:footnoteRef/>
      </w:r>
      <w:r w:rsidR="00FB00CE" w:rsidRPr="00FB00CE">
        <w:rPr>
          <w:sz w:val="24"/>
          <w:lang w:val="bg-BG"/>
        </w:rPr>
        <w:t xml:space="preserve"> </w:t>
      </w:r>
      <w:r w:rsidR="00FB00CE" w:rsidRPr="00FB00CE">
        <w:rPr>
          <w:sz w:val="24"/>
          <w:lang w:val="bg-BG"/>
        </w:rPr>
        <w:tab/>
      </w:r>
      <w:r w:rsidRPr="00FB00CE">
        <w:rPr>
          <w:sz w:val="24"/>
          <w:lang w:val="bg-BG"/>
        </w:rPr>
        <w:t>ОВ С 411, 27.11.2020 </w:t>
      </w:r>
      <w:r w:rsidRPr="00FB00CE">
        <w:rPr>
          <w:sz w:val="24"/>
          <w:lang w:val="bg-BG"/>
        </w:rPr>
        <w:t>г</w:t>
      </w:r>
      <w:r w:rsidR="00101ACF">
        <w:rPr>
          <w:sz w:val="24"/>
          <w:lang w:val="bg-BG"/>
        </w:rPr>
        <w:t>.</w:t>
      </w:r>
      <w:r w:rsidRPr="00FB00CE">
        <w:rPr>
          <w:sz w:val="24"/>
          <w:lang w:val="bg-BG"/>
        </w:rPr>
        <w:t>, стр. 48.</w:t>
      </w:r>
    </w:p>
  </w:footnote>
  <w:footnote w:id="6">
    <w:p w14:paraId="0C18C308" w14:textId="10BC65F5" w:rsidR="00553D2F" w:rsidRPr="00FB00CE" w:rsidRDefault="00553D2F" w:rsidP="00FB00CE">
      <w:pPr>
        <w:pStyle w:val="FootnoteText"/>
        <w:ind w:left="567" w:hanging="567"/>
        <w:rPr>
          <w:sz w:val="24"/>
          <w:lang w:val="bg-BG"/>
        </w:rPr>
      </w:pPr>
      <w:r w:rsidRPr="00FB00CE">
        <w:rPr>
          <w:rStyle w:val="FootnoteReference"/>
          <w:sz w:val="24"/>
          <w:lang w:val="bg-BG"/>
        </w:rPr>
        <w:footnoteRef/>
      </w:r>
      <w:r w:rsidR="00FB00CE" w:rsidRPr="00FB00CE">
        <w:rPr>
          <w:sz w:val="24"/>
          <w:lang w:val="bg-BG"/>
        </w:rPr>
        <w:t xml:space="preserve"> </w:t>
      </w:r>
      <w:r w:rsidR="00FB00CE" w:rsidRPr="00FB00CE">
        <w:rPr>
          <w:sz w:val="24"/>
          <w:lang w:val="bg-BG"/>
        </w:rPr>
        <w:tab/>
      </w:r>
      <w:r w:rsidR="00101ACF">
        <w:fldChar w:fldCharType="begin"/>
      </w:r>
      <w:r w:rsidR="00101ACF">
        <w:instrText>HYPERLINK</w:instrText>
      </w:r>
      <w:r w:rsidR="00101ACF" w:rsidRPr="00101ACF">
        <w:rPr>
          <w:lang w:val="ru-RU"/>
        </w:rPr>
        <w:instrText xml:space="preserve"> "</w:instrText>
      </w:r>
      <w:r w:rsidR="00101ACF">
        <w:instrText>https</w:instrText>
      </w:r>
      <w:r w:rsidR="00101ACF" w:rsidRPr="00101ACF">
        <w:rPr>
          <w:lang w:val="ru-RU"/>
        </w:rPr>
        <w:instrText>://</w:instrText>
      </w:r>
      <w:r w:rsidR="00101ACF">
        <w:instrText>food</w:instrText>
      </w:r>
      <w:r w:rsidR="00101ACF" w:rsidRPr="00101ACF">
        <w:rPr>
          <w:lang w:val="ru-RU"/>
        </w:rPr>
        <w:instrText>.</w:instrText>
      </w:r>
      <w:r w:rsidR="00101ACF">
        <w:instrText>ec</w:instrText>
      </w:r>
      <w:r w:rsidR="00101ACF" w:rsidRPr="00101ACF">
        <w:rPr>
          <w:lang w:val="ru-RU"/>
        </w:rPr>
        <w:instrText>.</w:instrText>
      </w:r>
      <w:r w:rsidR="00101ACF">
        <w:instrText>europa</w:instrText>
      </w:r>
      <w:r w:rsidR="00101ACF" w:rsidRPr="00101ACF">
        <w:rPr>
          <w:lang w:val="ru-RU"/>
        </w:rPr>
        <w:instrText>.</w:instrText>
      </w:r>
      <w:r w:rsidR="00101ACF">
        <w:instrText>eu</w:instrText>
      </w:r>
      <w:r w:rsidR="00101ACF" w:rsidRPr="00101ACF">
        <w:rPr>
          <w:lang w:val="ru-RU"/>
        </w:rPr>
        <w:instrText>/</w:instrText>
      </w:r>
      <w:r w:rsidR="00101ACF">
        <w:instrText>plants</w:instrText>
      </w:r>
      <w:r w:rsidR="00101ACF" w:rsidRPr="00101ACF">
        <w:rPr>
          <w:lang w:val="ru-RU"/>
        </w:rPr>
        <w:instrText>/</w:instrText>
      </w:r>
      <w:r w:rsidR="00101ACF">
        <w:instrText>pesticides</w:instrText>
      </w:r>
      <w:r w:rsidR="00101ACF" w:rsidRPr="00101ACF">
        <w:rPr>
          <w:lang w:val="ru-RU"/>
        </w:rPr>
        <w:instrText>/</w:instrText>
      </w:r>
      <w:r w:rsidR="00101ACF">
        <w:instrText>eu</w:instrText>
      </w:r>
      <w:r w:rsidR="00101ACF" w:rsidRPr="00101ACF">
        <w:rPr>
          <w:lang w:val="ru-RU"/>
        </w:rPr>
        <w:instrText>-</w:instrText>
      </w:r>
      <w:r w:rsidR="00101ACF">
        <w:instrText>pesticides</w:instrText>
      </w:r>
      <w:r w:rsidR="00101ACF" w:rsidRPr="00101ACF">
        <w:rPr>
          <w:lang w:val="ru-RU"/>
        </w:rPr>
        <w:instrText>-</w:instrText>
      </w:r>
      <w:r w:rsidR="00101ACF">
        <w:instrText>database</w:instrText>
      </w:r>
      <w:r w:rsidR="00101ACF" w:rsidRPr="00101ACF">
        <w:rPr>
          <w:lang w:val="ru-RU"/>
        </w:rPr>
        <w:instrText>_</w:instrText>
      </w:r>
      <w:r w:rsidR="00101ACF">
        <w:instrText>en</w:instrText>
      </w:r>
      <w:r w:rsidR="00101ACF" w:rsidRPr="00101ACF">
        <w:rPr>
          <w:lang w:val="ru-RU"/>
        </w:rPr>
        <w:instrText>"</w:instrText>
      </w:r>
      <w:r w:rsidR="00101ACF">
        <w:fldChar w:fldCharType="separate"/>
      </w:r>
      <w:r w:rsidRPr="00AF052B">
        <w:rPr>
          <w:rStyle w:val="Hyperlink"/>
          <w:sz w:val="24"/>
          <w:lang w:val="bg-BG"/>
        </w:rPr>
        <w:t>https://food.ec.europa.eu/plants/pesticides/eu-pesticides-database_en</w:t>
      </w:r>
      <w:r w:rsidR="00101ACF">
        <w:rPr>
          <w:rStyle w:val="Hyperlink"/>
          <w:sz w:val="24"/>
          <w:lang w:val="bg-BG"/>
        </w:rPr>
        <w:fldChar w:fldCharType="end"/>
      </w:r>
      <w:r w:rsidRPr="00FB00CE">
        <w:rPr>
          <w:sz w:val="24"/>
          <w:lang w:val="bg-BG"/>
        </w:rPr>
        <w:t>.</w:t>
      </w:r>
    </w:p>
  </w:footnote>
  <w:footnote w:id="7">
    <w:p w14:paraId="2CFECEB1" w14:textId="306A5DA8" w:rsidR="00553D2F" w:rsidRPr="00FB00CE" w:rsidRDefault="00553D2F" w:rsidP="00FB00CE">
      <w:pPr>
        <w:pStyle w:val="FootnoteText"/>
        <w:ind w:left="567" w:hanging="567"/>
        <w:rPr>
          <w:sz w:val="24"/>
          <w:lang w:val="bg-BG"/>
        </w:rPr>
      </w:pPr>
      <w:r w:rsidRPr="00FB00CE">
        <w:rPr>
          <w:rStyle w:val="FootnoteReference"/>
          <w:sz w:val="24"/>
          <w:lang w:val="bg-BG"/>
        </w:rPr>
        <w:footnoteRef/>
      </w:r>
      <w:r w:rsidR="00FB00CE" w:rsidRPr="00FB00CE">
        <w:rPr>
          <w:sz w:val="24"/>
          <w:lang w:val="bg-BG"/>
        </w:rPr>
        <w:t xml:space="preserve"> </w:t>
      </w:r>
      <w:r w:rsidR="00FB00CE" w:rsidRPr="00FB00CE">
        <w:rPr>
          <w:sz w:val="24"/>
          <w:lang w:val="bg-BG"/>
        </w:rPr>
        <w:tab/>
      </w:r>
      <w:r w:rsidRPr="00FB00CE">
        <w:rPr>
          <w:sz w:val="24"/>
          <w:lang w:val="bg-BG"/>
        </w:rPr>
        <w:t xml:space="preserve">Например инвазивен характер или </w:t>
      </w:r>
      <w:proofErr w:type="spellStart"/>
      <w:r w:rsidRPr="00FB00CE">
        <w:rPr>
          <w:sz w:val="24"/>
          <w:lang w:val="bg-BG"/>
        </w:rPr>
        <w:t>алергенност</w:t>
      </w:r>
      <w:proofErr w:type="spellEnd"/>
      <w:r w:rsidRPr="00FB00CE">
        <w:rPr>
          <w:sz w:val="24"/>
          <w:lang w:val="bg-BG"/>
        </w:rPr>
        <w:t xml:space="preserve"> и др.</w:t>
      </w:r>
    </w:p>
  </w:footnote>
  <w:footnote w:id="8">
    <w:p w14:paraId="464C2C66" w14:textId="08C99E4D" w:rsidR="00553D2F" w:rsidRPr="00FB00CE" w:rsidRDefault="00553D2F" w:rsidP="00FB00CE">
      <w:pPr>
        <w:pStyle w:val="FootnoteText"/>
        <w:ind w:left="567" w:hanging="567"/>
        <w:rPr>
          <w:sz w:val="24"/>
          <w:lang w:val="bg-BG"/>
        </w:rPr>
      </w:pPr>
      <w:r w:rsidRPr="00FB00CE">
        <w:rPr>
          <w:rStyle w:val="FootnoteReference"/>
          <w:color w:val="000000" w:themeColor="text1"/>
          <w:sz w:val="24"/>
          <w:lang w:val="bg-BG"/>
        </w:rPr>
        <w:footnoteRef/>
      </w:r>
      <w:r w:rsidR="00FB00CE" w:rsidRPr="00FB00CE">
        <w:rPr>
          <w:sz w:val="24"/>
          <w:lang w:val="bg-BG"/>
        </w:rPr>
        <w:t xml:space="preserve"> </w:t>
      </w:r>
      <w:r w:rsidR="00FB00CE" w:rsidRPr="00FB00CE">
        <w:rPr>
          <w:sz w:val="24"/>
          <w:lang w:val="bg-BG"/>
        </w:rPr>
        <w:tab/>
      </w:r>
      <w:r w:rsidRPr="00FB00CE">
        <w:rPr>
          <w:sz w:val="24"/>
          <w:lang w:val="bg-BG"/>
        </w:rPr>
        <w:t>Съобщение на Комисията от 19 февруари 2025 г., озаглавено „Визия за селското стопанство и храните – Да изградим заедно привлекателен селскостопански и агрохранителен сектор за бъдещите поколения“ (COM(2025)0075),</w:t>
      </w:r>
    </w:p>
  </w:footnote>
  <w:footnote w:id="9">
    <w:p w14:paraId="7350258F" w14:textId="2BA25A10" w:rsidR="00553D2F" w:rsidRPr="00FB00CE" w:rsidRDefault="00553D2F" w:rsidP="00FB00CE">
      <w:pPr>
        <w:pStyle w:val="FootnoteText"/>
        <w:ind w:left="567" w:hanging="567"/>
        <w:rPr>
          <w:sz w:val="24"/>
          <w:lang w:val="bg-BG"/>
        </w:rPr>
      </w:pPr>
      <w:r w:rsidRPr="00FB00CE">
        <w:rPr>
          <w:rStyle w:val="FootnoteReference"/>
          <w:color w:val="000000" w:themeColor="text1"/>
          <w:sz w:val="24"/>
          <w:lang w:val="bg-BG"/>
        </w:rPr>
        <w:footnoteRef/>
      </w:r>
      <w:r w:rsidR="00FB00CE" w:rsidRPr="00FB00CE">
        <w:rPr>
          <w:sz w:val="24"/>
          <w:lang w:val="bg-BG"/>
        </w:rPr>
        <w:t xml:space="preserve"> </w:t>
      </w:r>
      <w:r w:rsidR="00FB00CE" w:rsidRPr="00FB00CE">
        <w:rPr>
          <w:sz w:val="24"/>
          <w:lang w:val="bg-BG"/>
        </w:rPr>
        <w:tab/>
      </w:r>
      <w:r w:rsidRPr="00FB00CE">
        <w:rPr>
          <w:sz w:val="24"/>
          <w:lang w:val="bg-BG"/>
        </w:rPr>
        <w:t>Регламент (ЕС) 2018/848 на Европейския парламент и на Съвета от 30 май 2018 г. относно биологичното производство и етикетирането на биологични продукти и за отмяна на Регламент (ЕО) № 834/2007 на Съвета (ОВ L 150, 14.6.2018 г., стр. 1, ELI:</w:t>
      </w:r>
      <w:r w:rsidRPr="00FB00CE">
        <w:rPr>
          <w:color w:val="000000" w:themeColor="text1"/>
          <w:sz w:val="24"/>
          <w:lang w:val="bg-BG"/>
        </w:rPr>
        <w:t> </w:t>
      </w:r>
      <w:r w:rsidR="00101ACF">
        <w:fldChar w:fldCharType="begin"/>
      </w:r>
      <w:r w:rsidR="00101ACF">
        <w:instrText>HYPERLINK</w:instrText>
      </w:r>
      <w:r w:rsidR="00101ACF" w:rsidRPr="00101ACF">
        <w:rPr>
          <w:lang w:val="ru-RU"/>
        </w:rPr>
        <w:instrText xml:space="preserve"> "</w:instrText>
      </w:r>
      <w:r w:rsidR="00101ACF">
        <w:instrText>http</w:instrText>
      </w:r>
      <w:r w:rsidR="00101ACF" w:rsidRPr="00101ACF">
        <w:rPr>
          <w:lang w:val="ru-RU"/>
        </w:rPr>
        <w:instrText>://</w:instrText>
      </w:r>
      <w:r w:rsidR="00101ACF">
        <w:instrText>data</w:instrText>
      </w:r>
      <w:r w:rsidR="00101ACF" w:rsidRPr="00101ACF">
        <w:rPr>
          <w:lang w:val="ru-RU"/>
        </w:rPr>
        <w:instrText>.</w:instrText>
      </w:r>
      <w:r w:rsidR="00101ACF">
        <w:instrText>europa</w:instrText>
      </w:r>
      <w:r w:rsidR="00101ACF" w:rsidRPr="00101ACF">
        <w:rPr>
          <w:lang w:val="ru-RU"/>
        </w:rPr>
        <w:instrText>.</w:instrText>
      </w:r>
      <w:r w:rsidR="00101ACF">
        <w:instrText>eu</w:instrText>
      </w:r>
      <w:r w:rsidR="00101ACF" w:rsidRPr="00101ACF">
        <w:rPr>
          <w:lang w:val="ru-RU"/>
        </w:rPr>
        <w:instrText>/</w:instrText>
      </w:r>
      <w:r w:rsidR="00101ACF">
        <w:instrText>eli</w:instrText>
      </w:r>
      <w:r w:rsidR="00101ACF" w:rsidRPr="00101ACF">
        <w:rPr>
          <w:lang w:val="ru-RU"/>
        </w:rPr>
        <w:instrText>/</w:instrText>
      </w:r>
      <w:r w:rsidR="00101ACF">
        <w:instrText>reg</w:instrText>
      </w:r>
      <w:r w:rsidR="00101ACF" w:rsidRPr="00101ACF">
        <w:rPr>
          <w:lang w:val="ru-RU"/>
        </w:rPr>
        <w:instrText>/2018/848/</w:instrText>
      </w:r>
      <w:r w:rsidR="00101ACF">
        <w:instrText>oj</w:instrText>
      </w:r>
      <w:r w:rsidR="00101ACF" w:rsidRPr="00101ACF">
        <w:rPr>
          <w:lang w:val="ru-RU"/>
        </w:rPr>
        <w:instrText>" \</w:instrText>
      </w:r>
      <w:r w:rsidR="00101ACF">
        <w:instrText>o</w:instrText>
      </w:r>
      <w:r w:rsidR="00101ACF" w:rsidRPr="00101ACF">
        <w:rPr>
          <w:lang w:val="ru-RU"/>
        </w:rPr>
        <w:instrText xml:space="preserve"> "Предоставя достъп до този документ чрез неговия унифициран идентификатор на ресурс (</w:instrText>
      </w:r>
      <w:r w:rsidR="00101ACF">
        <w:instrText>URI</w:instrText>
      </w:r>
      <w:r w:rsidR="00101ACF" w:rsidRPr="00101ACF">
        <w:rPr>
          <w:lang w:val="ru-RU"/>
        </w:rPr>
        <w:instrText>) на европейския идентификатор на законодателството (</w:instrText>
      </w:r>
      <w:r w:rsidR="00101ACF">
        <w:instrText>ELI</w:instrText>
      </w:r>
      <w:r w:rsidR="00101ACF" w:rsidRPr="00101ACF">
        <w:rPr>
          <w:lang w:val="ru-RU"/>
        </w:rPr>
        <w:instrText>)."</w:instrText>
      </w:r>
      <w:r w:rsidR="00101ACF">
        <w:fldChar w:fldCharType="separate"/>
      </w:r>
      <w:r w:rsidRPr="005E15F7">
        <w:rPr>
          <w:rStyle w:val="Hyperlink"/>
          <w:color w:val="0070C0"/>
          <w:sz w:val="24"/>
          <w:u w:val="none"/>
          <w:lang w:val="bg-BG"/>
        </w:rPr>
        <w:t>http://data.europa.eu/eli/reg/2018/848/oj</w:t>
      </w:r>
      <w:r w:rsidR="00101ACF">
        <w:rPr>
          <w:rStyle w:val="Hyperlink"/>
          <w:color w:val="0070C0"/>
          <w:sz w:val="24"/>
          <w:u w:val="none"/>
          <w:lang w:val="bg-BG"/>
        </w:rPr>
        <w:fldChar w:fldCharType="end"/>
      </w:r>
      <w:r w:rsidRPr="00FB00CE">
        <w:rPr>
          <w:color w:val="000000" w:themeColor="text1"/>
          <w:sz w:val="24"/>
          <w:lang w:val="bg-BG"/>
        </w:rPr>
        <w:t>).</w:t>
      </w:r>
    </w:p>
  </w:footnote>
  <w:footnote w:id="10">
    <w:p w14:paraId="64BDDD5A" w14:textId="708F15F3" w:rsidR="00553D2F" w:rsidRPr="00FB00CE" w:rsidRDefault="00553D2F" w:rsidP="00FB00CE">
      <w:pPr>
        <w:pStyle w:val="FootnoteText"/>
        <w:ind w:left="567" w:hanging="567"/>
        <w:rPr>
          <w:sz w:val="24"/>
          <w:lang w:val="bg-BG"/>
        </w:rPr>
      </w:pPr>
      <w:r w:rsidRPr="00FB00CE">
        <w:rPr>
          <w:rStyle w:val="FootnoteReference"/>
          <w:sz w:val="24"/>
          <w:lang w:val="bg-BG"/>
        </w:rPr>
        <w:footnoteRef/>
      </w:r>
      <w:r w:rsidR="00FB00CE" w:rsidRPr="00FB00CE">
        <w:rPr>
          <w:sz w:val="24"/>
          <w:lang w:val="bg-BG"/>
        </w:rPr>
        <w:t xml:space="preserve"> </w:t>
      </w:r>
      <w:r w:rsidR="00FB00CE" w:rsidRPr="00FB00CE">
        <w:rPr>
          <w:sz w:val="24"/>
          <w:lang w:val="bg-BG"/>
        </w:rPr>
        <w:tab/>
      </w:r>
      <w:r w:rsidRPr="00FB00CE">
        <w:rPr>
          <w:sz w:val="24"/>
          <w:lang w:val="bg-BG"/>
        </w:rPr>
        <w:t>Например съгласно член 4, параграфи 1 — 4 и приложение II, точки 3.6 — 10 от Регламент (ЕО) № 1107/2009.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6504384">
    <w:abstractNumId w:val="9"/>
  </w:num>
  <w:num w:numId="2" w16cid:durableId="349796734">
    <w:abstractNumId w:val="9"/>
  </w:num>
  <w:num w:numId="3" w16cid:durableId="1180923180">
    <w:abstractNumId w:val="7"/>
  </w:num>
  <w:num w:numId="4" w16cid:durableId="1166245496">
    <w:abstractNumId w:val="7"/>
  </w:num>
  <w:num w:numId="5" w16cid:durableId="729037842">
    <w:abstractNumId w:val="6"/>
  </w:num>
  <w:num w:numId="6" w16cid:durableId="810366409">
    <w:abstractNumId w:val="6"/>
  </w:num>
  <w:num w:numId="7" w16cid:durableId="52311037">
    <w:abstractNumId w:val="5"/>
  </w:num>
  <w:num w:numId="8" w16cid:durableId="1259023664">
    <w:abstractNumId w:val="5"/>
  </w:num>
  <w:num w:numId="9" w16cid:durableId="643391833">
    <w:abstractNumId w:val="4"/>
  </w:num>
  <w:num w:numId="10" w16cid:durableId="88239969">
    <w:abstractNumId w:val="4"/>
  </w:num>
  <w:num w:numId="11" w16cid:durableId="713117236">
    <w:abstractNumId w:val="8"/>
  </w:num>
  <w:num w:numId="12" w16cid:durableId="1711564158">
    <w:abstractNumId w:val="8"/>
  </w:num>
  <w:num w:numId="13" w16cid:durableId="48111519">
    <w:abstractNumId w:val="3"/>
  </w:num>
  <w:num w:numId="14" w16cid:durableId="1344168313">
    <w:abstractNumId w:val="3"/>
  </w:num>
  <w:num w:numId="15" w16cid:durableId="1589847061">
    <w:abstractNumId w:val="2"/>
  </w:num>
  <w:num w:numId="16" w16cid:durableId="1273125506">
    <w:abstractNumId w:val="2"/>
  </w:num>
  <w:num w:numId="17" w16cid:durableId="960720744">
    <w:abstractNumId w:val="1"/>
  </w:num>
  <w:num w:numId="18" w16cid:durableId="1621842057">
    <w:abstractNumId w:val="1"/>
  </w:num>
  <w:num w:numId="19" w16cid:durableId="977228055">
    <w:abstractNumId w:val="0"/>
  </w:num>
  <w:num w:numId="20" w16cid:durableId="192235794">
    <w:abstractNumId w:val="0"/>
  </w:num>
  <w:num w:numId="21" w16cid:durableId="817956483">
    <w:abstractNumId w:val="9"/>
  </w:num>
  <w:num w:numId="22" w16cid:durableId="515657657">
    <w:abstractNumId w:val="7"/>
  </w:num>
  <w:num w:numId="23" w16cid:durableId="1014528585">
    <w:abstractNumId w:val="6"/>
  </w:num>
  <w:num w:numId="24" w16cid:durableId="268584732">
    <w:abstractNumId w:val="5"/>
  </w:num>
  <w:num w:numId="25" w16cid:durableId="1933008223">
    <w:abstractNumId w:val="4"/>
  </w:num>
  <w:num w:numId="26" w16cid:durableId="999575259">
    <w:abstractNumId w:val="8"/>
  </w:num>
  <w:num w:numId="27" w16cid:durableId="1985157498">
    <w:abstractNumId w:val="3"/>
  </w:num>
  <w:num w:numId="28" w16cid:durableId="18900266">
    <w:abstractNumId w:val="2"/>
  </w:num>
  <w:num w:numId="29" w16cid:durableId="1015157994">
    <w:abstractNumId w:val="1"/>
  </w:num>
  <w:num w:numId="30" w16cid:durableId="498891862">
    <w:abstractNumId w:val="0"/>
  </w:num>
  <w:num w:numId="31" w16cid:durableId="1939830909">
    <w:abstractNumId w:val="9"/>
  </w:num>
  <w:num w:numId="32" w16cid:durableId="1825319949">
    <w:abstractNumId w:val="7"/>
  </w:num>
  <w:num w:numId="33" w16cid:durableId="925067773">
    <w:abstractNumId w:val="6"/>
  </w:num>
  <w:num w:numId="34" w16cid:durableId="166557698">
    <w:abstractNumId w:val="5"/>
  </w:num>
  <w:num w:numId="35" w16cid:durableId="1434739682">
    <w:abstractNumId w:val="4"/>
  </w:num>
  <w:num w:numId="36" w16cid:durableId="918099266">
    <w:abstractNumId w:val="8"/>
  </w:num>
  <w:num w:numId="37" w16cid:durableId="78212081">
    <w:abstractNumId w:val="3"/>
  </w:num>
  <w:num w:numId="38" w16cid:durableId="1840659978">
    <w:abstractNumId w:val="2"/>
  </w:num>
  <w:num w:numId="39" w16cid:durableId="836072867">
    <w:abstractNumId w:val="1"/>
  </w:num>
  <w:num w:numId="40" w16cid:durableId="1874532484">
    <w:abstractNumId w:val="0"/>
  </w:num>
  <w:num w:numId="41" w16cid:durableId="1232161545">
    <w:abstractNumId w:val="10"/>
  </w:num>
  <w:num w:numId="42" w16cid:durableId="523903797">
    <w:abstractNumId w:val="10"/>
  </w:num>
  <w:num w:numId="43" w16cid:durableId="121577063">
    <w:abstractNumId w:val="10"/>
  </w:num>
  <w:num w:numId="44" w16cid:durableId="6353793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BG"/>
    <w:docVar w:name="dvnumam" w:val="0"/>
    <w:docVar w:name="dvpe" w:val="774.306"/>
    <w:docVar w:name="dvrapporteur" w:val="Докладчик: "/>
    <w:docVar w:name="dvtitre" w:val="Резолюция на Европейския парламент от ... 2025 г. относно осигуряването на по-бързо регистриране и внедряване на агенти за биологичен контрол(2025/2086(INI))"/>
  </w:docVars>
  <w:rsids>
    <w:rsidRoot w:val="00434193"/>
    <w:rsid w:val="00002272"/>
    <w:rsid w:val="00064002"/>
    <w:rsid w:val="000677B9"/>
    <w:rsid w:val="000831BA"/>
    <w:rsid w:val="000A42CC"/>
    <w:rsid w:val="000E7DD9"/>
    <w:rsid w:val="0010095E"/>
    <w:rsid w:val="00101ACF"/>
    <w:rsid w:val="00125B37"/>
    <w:rsid w:val="00187494"/>
    <w:rsid w:val="001E24DF"/>
    <w:rsid w:val="001F32AE"/>
    <w:rsid w:val="002767FF"/>
    <w:rsid w:val="002B18FE"/>
    <w:rsid w:val="002B5493"/>
    <w:rsid w:val="00343214"/>
    <w:rsid w:val="00361C00"/>
    <w:rsid w:val="00395FA1"/>
    <w:rsid w:val="003E15D4"/>
    <w:rsid w:val="00411CCE"/>
    <w:rsid w:val="0041666E"/>
    <w:rsid w:val="00421060"/>
    <w:rsid w:val="00434193"/>
    <w:rsid w:val="00471C19"/>
    <w:rsid w:val="004867E3"/>
    <w:rsid w:val="00494A28"/>
    <w:rsid w:val="004A0F48"/>
    <w:rsid w:val="004C0004"/>
    <w:rsid w:val="004C5D52"/>
    <w:rsid w:val="0050519A"/>
    <w:rsid w:val="005072A1"/>
    <w:rsid w:val="00514517"/>
    <w:rsid w:val="00545827"/>
    <w:rsid w:val="00553D2F"/>
    <w:rsid w:val="00560270"/>
    <w:rsid w:val="005C2568"/>
    <w:rsid w:val="005E15F7"/>
    <w:rsid w:val="005F1B17"/>
    <w:rsid w:val="006037C0"/>
    <w:rsid w:val="006631B6"/>
    <w:rsid w:val="00680577"/>
    <w:rsid w:val="006D6BE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052B"/>
    <w:rsid w:val="00AF3B82"/>
    <w:rsid w:val="00B12E95"/>
    <w:rsid w:val="00B22876"/>
    <w:rsid w:val="00B558F0"/>
    <w:rsid w:val="00BD48FE"/>
    <w:rsid w:val="00BD7BD8"/>
    <w:rsid w:val="00BE6ADC"/>
    <w:rsid w:val="00C05BFE"/>
    <w:rsid w:val="00C23CD4"/>
    <w:rsid w:val="00C61C0C"/>
    <w:rsid w:val="00C941CB"/>
    <w:rsid w:val="00CC2357"/>
    <w:rsid w:val="00CF071A"/>
    <w:rsid w:val="00D01F2D"/>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DF2"/>
    <w:rsid w:val="00F5134D"/>
    <w:rsid w:val="00F74202"/>
    <w:rsid w:val="00F87713"/>
    <w:rsid w:val="00FB00C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5590B"/>
  <w15:chartTrackingRefBased/>
  <w15:docId w15:val="{99BC30A2-22F2-4C5F-87AF-93FE560F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53D2F"/>
    <w:pPr>
      <w:spacing w:after="240"/>
      <w:ind w:left="567" w:hanging="567"/>
    </w:pPr>
  </w:style>
  <w:style w:type="paragraph" w:customStyle="1" w:styleId="EPComma">
    <w:name w:val="EPComma"/>
    <w:basedOn w:val="Normal"/>
    <w:rsid w:val="00553D2F"/>
    <w:pPr>
      <w:spacing w:before="480" w:after="240"/>
    </w:pPr>
  </w:style>
  <w:style w:type="character" w:styleId="Hyperlink">
    <w:name w:val="Hyperlink"/>
    <w:basedOn w:val="DefaultParagraphFont"/>
    <w:unhideWhenUsed/>
    <w:rsid w:val="00553D2F"/>
    <w:rPr>
      <w:color w:val="0000FF"/>
      <w:u w:val="single"/>
    </w:rPr>
  </w:style>
  <w:style w:type="paragraph" w:styleId="NormalWeb">
    <w:name w:val="Normal (Web)"/>
    <w:basedOn w:val="Normal"/>
    <w:uiPriority w:val="99"/>
    <w:unhideWhenUsed/>
    <w:rsid w:val="00553D2F"/>
    <w:pPr>
      <w:widowControl/>
      <w:spacing w:before="100" w:beforeAutospacing="1" w:after="100" w:afterAutospacing="1"/>
    </w:pPr>
    <w:rPr>
      <w:szCs w:val="24"/>
    </w:rPr>
  </w:style>
  <w:style w:type="character" w:styleId="Strong">
    <w:name w:val="Strong"/>
    <w:basedOn w:val="DefaultParagraphFont"/>
    <w:uiPriority w:val="22"/>
    <w:qFormat/>
    <w:rsid w:val="00553D2F"/>
    <w:rPr>
      <w:b/>
      <w:bCs/>
    </w:rPr>
  </w:style>
  <w:style w:type="character" w:customStyle="1" w:styleId="NormalHanging12aChar">
    <w:name w:val="NormalHanging12a Char"/>
    <w:basedOn w:val="DefaultParagraphFont"/>
    <w:link w:val="NormalHanging12a"/>
    <w:rsid w:val="00553D2F"/>
    <w:rPr>
      <w:sz w:val="24"/>
      <w:lang w:val="bg-BG"/>
    </w:rPr>
  </w:style>
  <w:style w:type="paragraph" w:styleId="Revision">
    <w:name w:val="Revision"/>
    <w:hidden/>
    <w:uiPriority w:val="99"/>
    <w:semiHidden/>
    <w:rsid w:val="00AF052B"/>
    <w:rPr>
      <w:sz w:val="24"/>
      <w:lang w:val="bg-BG"/>
    </w:rPr>
  </w:style>
  <w:style w:type="character" w:styleId="FollowedHyperlink">
    <w:name w:val="FollowedHyperlink"/>
    <w:basedOn w:val="DefaultParagraphFont"/>
    <w:rsid w:val="00AF052B"/>
    <w:rPr>
      <w:color w:val="954F72" w:themeColor="followedHyperlink"/>
      <w:u w:val="single"/>
    </w:rPr>
  </w:style>
  <w:style w:type="character" w:styleId="UnresolvedMention">
    <w:name w:val="Unresolved Mention"/>
    <w:basedOn w:val="DefaultParagraphFont"/>
    <w:uiPriority w:val="99"/>
    <w:semiHidden/>
    <w:unhideWhenUsed/>
    <w:rsid w:val="00AF0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5539</Words>
  <Characters>33751</Characters>
  <Application>Microsoft Office Word</Application>
  <DocSecurity>0</DocSecurity>
  <Lines>1875</Lines>
  <Paragraphs>1061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2026-01-20T10:37:00Z</dcterms:created>
  <dcterms:modified xsi:type="dcterms:W3CDTF">2026-01-20T10:37:00Z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A10-0234/2025</vt:lpwstr>
  </property>
  <property fmtid="{D5CDD505-2E9C-101B-9397-08002B2CF9AE}" pid="4" name="&lt;Type&gt;">
    <vt:lpwstr>RR</vt:lpwstr>
  </property>
</Properties>
</file>