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E557B" w14:paraId="6D1FEA1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3D774D" w14:textId="77777777" w:rsidR="00751A4A" w:rsidRPr="001E557B" w:rsidRDefault="000B4B20" w:rsidP="0010095E">
            <w:pPr>
              <w:pStyle w:val="EPName"/>
            </w:pPr>
            <w:r w:rsidRPr="001E557B">
              <w:t>Evropský parlament</w:t>
            </w:r>
          </w:p>
          <w:p w14:paraId="0F169C1E" w14:textId="77777777" w:rsidR="00751A4A" w:rsidRPr="001E557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E557B">
              <w:t>2024</w:t>
            </w:r>
            <w:r w:rsidR="00817416" w:rsidRPr="001E557B">
              <w:t>-202</w:t>
            </w:r>
            <w:r w:rsidRPr="001E557B">
              <w:t>9</w:t>
            </w:r>
          </w:p>
        </w:tc>
        <w:tc>
          <w:tcPr>
            <w:tcW w:w="2268" w:type="dxa"/>
            <w:shd w:val="clear" w:color="auto" w:fill="auto"/>
          </w:tcPr>
          <w:p w14:paraId="716FE7E3" w14:textId="77777777" w:rsidR="00751A4A" w:rsidRPr="001E557B" w:rsidRDefault="00187494" w:rsidP="0010095E">
            <w:pPr>
              <w:pStyle w:val="EPLogo"/>
            </w:pPr>
            <w:r w:rsidRPr="001E557B">
              <w:rPr>
                <w:noProof/>
                <w:lang w:eastAsia="ja-JP"/>
              </w:rPr>
              <w:drawing>
                <wp:inline distT="0" distB="0" distL="0" distR="0" wp14:anchorId="22A2C614" wp14:editId="5995B97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658E6F" w14:textId="77777777" w:rsidR="00D058B8" w:rsidRPr="001E557B" w:rsidRDefault="00D058B8" w:rsidP="004C5D52">
      <w:pPr>
        <w:pStyle w:val="LineTop"/>
      </w:pPr>
    </w:p>
    <w:p w14:paraId="5F163D2C" w14:textId="77777777" w:rsidR="00680577" w:rsidRPr="001E557B" w:rsidRDefault="000B4B20" w:rsidP="00680577">
      <w:pPr>
        <w:pStyle w:val="EPBodyTA1"/>
      </w:pPr>
      <w:r w:rsidRPr="001E557B">
        <w:t>PŘIJATÉ TEXTY</w:t>
      </w:r>
    </w:p>
    <w:p w14:paraId="73359CC5" w14:textId="77777777" w:rsidR="00D058B8" w:rsidRPr="001E557B" w:rsidRDefault="00D058B8" w:rsidP="00D058B8">
      <w:pPr>
        <w:pStyle w:val="LineBottom"/>
      </w:pPr>
    </w:p>
    <w:p w14:paraId="63DDAABA" w14:textId="4A122583" w:rsidR="000B4B20" w:rsidRPr="001E557B" w:rsidRDefault="000B4B20" w:rsidP="000B4B20">
      <w:pPr>
        <w:pStyle w:val="ATHeading1"/>
      </w:pPr>
      <w:bookmarkStart w:id="0" w:name="TANumber"/>
      <w:r w:rsidRPr="001E557B">
        <w:t>P10_TA(2025)0</w:t>
      </w:r>
      <w:r w:rsidR="00B67789">
        <w:t>284</w:t>
      </w:r>
      <w:bookmarkEnd w:id="0"/>
    </w:p>
    <w:p w14:paraId="403B3F6B" w14:textId="77777777" w:rsidR="000B4B20" w:rsidRPr="001E557B" w:rsidRDefault="000B4B20" w:rsidP="000B4B20">
      <w:pPr>
        <w:pStyle w:val="ATHeading2"/>
      </w:pPr>
      <w:bookmarkStart w:id="1" w:name="title"/>
      <w:r w:rsidRPr="001E557B">
        <w:t>Zajištění rychlejší registrace a využívání činitelů biologické kontroly</w:t>
      </w:r>
      <w:bookmarkEnd w:id="1"/>
    </w:p>
    <w:p w14:paraId="54369B92" w14:textId="77777777" w:rsidR="000B4B20" w:rsidRPr="001E557B" w:rsidRDefault="000B4B20" w:rsidP="000B4B20">
      <w:pPr>
        <w:rPr>
          <w:i/>
          <w:vanish/>
        </w:rPr>
      </w:pPr>
      <w:r w:rsidRPr="001E557B">
        <w:rPr>
          <w:i/>
        </w:rPr>
        <w:fldChar w:fldCharType="begin"/>
      </w:r>
      <w:r w:rsidRPr="001E557B">
        <w:rPr>
          <w:i/>
        </w:rPr>
        <w:instrText xml:space="preserve"> TC"(</w:instrText>
      </w:r>
      <w:bookmarkStart w:id="2" w:name="DocNumber"/>
      <w:r w:rsidRPr="001E557B">
        <w:rPr>
          <w:i/>
        </w:rPr>
        <w:instrText>A10-0234/2025</w:instrText>
      </w:r>
      <w:bookmarkEnd w:id="2"/>
      <w:r w:rsidRPr="001E557B">
        <w:rPr>
          <w:i/>
        </w:rPr>
        <w:instrText xml:space="preserve"> - Zpravodajové: Alexander Bernhuber, Anna Strolenberg)"\l3 \n&gt; \* MERGEFORMAT </w:instrText>
      </w:r>
      <w:r w:rsidRPr="001E557B">
        <w:rPr>
          <w:i/>
        </w:rPr>
        <w:fldChar w:fldCharType="end"/>
      </w:r>
    </w:p>
    <w:p w14:paraId="1066EDDA" w14:textId="77777777" w:rsidR="000B4B20" w:rsidRPr="001E557B" w:rsidRDefault="000B4B20" w:rsidP="000B4B20">
      <w:pPr>
        <w:rPr>
          <w:vanish/>
        </w:rPr>
      </w:pPr>
      <w:bookmarkStart w:id="3" w:name="Commission"/>
      <w:r w:rsidRPr="001E557B">
        <w:rPr>
          <w:vanish/>
        </w:rPr>
        <w:t>Výbor pro životní prostředí, klima a bezpečnost potravin, Výbor pro zemědělství a rozvoj venkova</w:t>
      </w:r>
      <w:bookmarkEnd w:id="3"/>
    </w:p>
    <w:p w14:paraId="76B8ED70" w14:textId="77777777" w:rsidR="000B4B20" w:rsidRPr="001E557B" w:rsidRDefault="000B4B20" w:rsidP="000B4B20">
      <w:pPr>
        <w:rPr>
          <w:vanish/>
        </w:rPr>
      </w:pPr>
      <w:bookmarkStart w:id="4" w:name="PE"/>
      <w:r w:rsidRPr="001E557B">
        <w:rPr>
          <w:vanish/>
        </w:rPr>
        <w:t>PE774.306</w:t>
      </w:r>
      <w:bookmarkEnd w:id="4"/>
    </w:p>
    <w:p w14:paraId="514D4FA5" w14:textId="77777777" w:rsidR="000B4B20" w:rsidRPr="001E557B" w:rsidRDefault="000B4B20" w:rsidP="000B4B20">
      <w:pPr>
        <w:pStyle w:val="ATHeading3"/>
      </w:pPr>
      <w:bookmarkStart w:id="5" w:name="Sujet"/>
      <w:r w:rsidRPr="001E557B">
        <w:t>Usnesení Evropského parlamentu ze dne 25. listopadu 2025 o zajištění rychlejší registrace a využívání organismů pro biologickou ochranu</w:t>
      </w:r>
      <w:bookmarkEnd w:id="5"/>
      <w:r w:rsidRPr="001E557B">
        <w:t xml:space="preserve"> </w:t>
      </w:r>
      <w:bookmarkStart w:id="6" w:name="References"/>
      <w:r w:rsidRPr="001E557B">
        <w:t>(2025/2086(INI))</w:t>
      </w:r>
      <w:bookmarkEnd w:id="6"/>
    </w:p>
    <w:p w14:paraId="14301A37" w14:textId="77777777" w:rsidR="00434B29" w:rsidRPr="001E557B" w:rsidRDefault="00434B29" w:rsidP="00434B29">
      <w:pPr>
        <w:pStyle w:val="EPComma"/>
      </w:pPr>
      <w:r w:rsidRPr="001E557B">
        <w:rPr>
          <w:i/>
        </w:rPr>
        <w:t>Evropský parlament</w:t>
      </w:r>
      <w:r w:rsidRPr="001E557B">
        <w:t>,</w:t>
      </w:r>
    </w:p>
    <w:p w14:paraId="146A61E3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t>–</w:t>
      </w:r>
      <w:r w:rsidRPr="001E557B">
        <w:tab/>
        <w:t>s ohledem na články 114 a 191 Smlouvy o</w:t>
      </w:r>
      <w:r w:rsidRPr="001E557B">
        <w:rPr>
          <w:szCs w:val="24"/>
        </w:rPr>
        <w:t> fungování Evropské unie,</w:t>
      </w:r>
    </w:p>
    <w:p w14:paraId="5039F3E4" w14:textId="7ED7B792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–</w:t>
      </w:r>
      <w:r w:rsidRPr="001E557B">
        <w:rPr>
          <w:szCs w:val="24"/>
        </w:rPr>
        <w:tab/>
        <w:t>s ohledem na nařízení Evropského parlamentu a Rady (ES) č. 1107/2009 ze dne 21. října 2009 o uvádění přípravků na ochranu rostlin na trh a o zrušení směrnic Rady 79/117/EHS a 91/414/EHS</w:t>
      </w:r>
      <w:r w:rsidRPr="001E557B">
        <w:rPr>
          <w:rStyle w:val="FootnoteReference"/>
          <w:szCs w:val="24"/>
        </w:rPr>
        <w:footnoteReference w:id="1"/>
      </w:r>
      <w:r w:rsidRPr="001E557B">
        <w:rPr>
          <w:szCs w:val="24"/>
        </w:rPr>
        <w:t>,</w:t>
      </w:r>
    </w:p>
    <w:p w14:paraId="5A4E5508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–</w:t>
      </w:r>
      <w:r w:rsidRPr="001E557B">
        <w:rPr>
          <w:szCs w:val="24"/>
        </w:rPr>
        <w:tab/>
        <w:t>s ohledem na návrh nařízení Evropského parlamentu a Rady o udržitelném používání přípravků na ochranu rostlin a změně nařízení (EU) 2021/2115, který předložila Komise dne 22. června 2022 (COM(2022)0305),</w:t>
      </w:r>
    </w:p>
    <w:p w14:paraId="0A2100A1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–</w:t>
      </w:r>
      <w:r w:rsidRPr="001E557B">
        <w:rPr>
          <w:szCs w:val="24"/>
        </w:rPr>
        <w:tab/>
        <w:t>s ohledem na svůj návrh usnesení, kterým se stanoví právní definice a kategorizace látek biologické ochrany v rámci udržitelného používání přípravků na ochranu rostlin,</w:t>
      </w:r>
    </w:p>
    <w:p w14:paraId="2F21E978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–</w:t>
      </w:r>
      <w:r w:rsidRPr="001E557B">
        <w:rPr>
          <w:szCs w:val="24"/>
        </w:rPr>
        <w:tab/>
        <w:t>s ohledem na sdělení Komise ze dne 20. května 2020 nazvané „Strategie ‚od zemědělce ke spotřebiteli‘ pro spravedlivé, zdravé a ekologické potravinové systémy“ (COM(2020)0381) a sdělení Komise ze dne 20. května 2020 nazvané „Strategie EU v oblasti biologické rozmanitosti do roku 2030 – Navrácení přírody do našeho života“ (COM(2020)0380),</w:t>
      </w:r>
    </w:p>
    <w:p w14:paraId="43067749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–</w:t>
      </w:r>
      <w:r w:rsidRPr="001E557B">
        <w:rPr>
          <w:szCs w:val="24"/>
        </w:rPr>
        <w:tab/>
        <w:t>s ohledem na společná jednání Výboru pro životní prostředí, klima a bezpečnost potravin a Výboru pro zemědělství a rozvoj venkova podle článku 59 jednacího řádu,</w:t>
      </w:r>
    </w:p>
    <w:p w14:paraId="6A1B0B6D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–</w:t>
      </w:r>
      <w:r w:rsidRPr="001E557B">
        <w:rPr>
          <w:b/>
          <w:i/>
          <w:szCs w:val="24"/>
        </w:rPr>
        <w:tab/>
      </w:r>
      <w:r w:rsidRPr="001E557B">
        <w:rPr>
          <w:szCs w:val="24"/>
        </w:rPr>
        <w:t xml:space="preserve">s ohledem na reakci Komise na rozhodnutí Rady (EU) 2022/2572 ze dne 19. prosince 2022, kterým se Komise žádá, aby předložila studii doplňující posouzení dopadů návrhu nařízení Evropského parlamentu a Rady o udržitelném používání přípravků na ochranu rostlin a změně nařízení Evropského parlamentu a Rady (EU) 2021/2115 a aby případně </w:t>
      </w:r>
      <w:r w:rsidRPr="001E557B">
        <w:rPr>
          <w:szCs w:val="24"/>
        </w:rPr>
        <w:lastRenderedPageBreak/>
        <w:t>navrhla následná opatření s ohledem na výsledky studie</w:t>
      </w:r>
      <w:r w:rsidRPr="001E557B">
        <w:rPr>
          <w:rStyle w:val="FootnoteReference"/>
          <w:szCs w:val="24"/>
        </w:rPr>
        <w:footnoteReference w:id="2"/>
      </w:r>
      <w:r w:rsidRPr="001E557B">
        <w:rPr>
          <w:szCs w:val="24"/>
        </w:rPr>
        <w:t>,</w:t>
      </w:r>
    </w:p>
    <w:p w14:paraId="2A92419F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–</w:t>
      </w:r>
      <w:r w:rsidRPr="001E557B">
        <w:rPr>
          <w:szCs w:val="24"/>
        </w:rPr>
        <w:tab/>
        <w:t>s ohledem na sdělení Komise ze dne 19. února 2025 s názvem „Vize pro zemědělství a potraviny – Společné utváření atraktivního zemědělského a potravinářského odvětví EU pro budoucí generace“ (COM(2025)0075),</w:t>
      </w:r>
    </w:p>
    <w:p w14:paraId="47EC2F40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–</w:t>
      </w:r>
      <w:r w:rsidRPr="001E557B">
        <w:rPr>
          <w:szCs w:val="24"/>
        </w:rPr>
        <w:tab/>
        <w:t>s ohledem na směrnici Evropského parlamentu a Rady 2009/128/ES ze dne 21. října 2009, kterou se stanoví rámec pro činnost Společenství za účelem dosažení udržitelného používání pesticidů</w:t>
      </w:r>
      <w:r w:rsidRPr="001E557B">
        <w:rPr>
          <w:rStyle w:val="FootnoteReference"/>
          <w:szCs w:val="24"/>
        </w:rPr>
        <w:footnoteReference w:id="3"/>
      </w:r>
      <w:r w:rsidRPr="001E557B">
        <w:rPr>
          <w:szCs w:val="24"/>
        </w:rPr>
        <w:t>,</w:t>
      </w:r>
    </w:p>
    <w:p w14:paraId="4ADD96D2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–</w:t>
      </w:r>
      <w:r w:rsidRPr="001E557B">
        <w:rPr>
          <w:szCs w:val="24"/>
        </w:rPr>
        <w:tab/>
        <w:t>s ohledem na své usnesení ze dne 23. listopadu 2023 o revizi Iniciativy EU týkající se opylovačů – Nové dohodě pro opylovače</w:t>
      </w:r>
      <w:r w:rsidRPr="001E557B">
        <w:rPr>
          <w:rStyle w:val="FootnoteReference"/>
          <w:szCs w:val="24"/>
        </w:rPr>
        <w:footnoteReference w:id="4"/>
      </w:r>
      <w:r w:rsidRPr="001E557B">
        <w:rPr>
          <w:szCs w:val="24"/>
        </w:rPr>
        <w:t>,</w:t>
      </w:r>
    </w:p>
    <w:p w14:paraId="31EFD7B2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–</w:t>
      </w:r>
      <w:r w:rsidRPr="001E557B">
        <w:rPr>
          <w:szCs w:val="24"/>
        </w:rPr>
        <w:tab/>
        <w:t>s ohledem na rozhodnutí 15/4 konference smluvních stran Úmluvy o biologické rozmanitosti při OSN ze dne 19. prosince 2022 nazvané „Celosvětový rámec pro biologickou rozmanitost z Kchun-mingu a Montrealu“,</w:t>
      </w:r>
    </w:p>
    <w:p w14:paraId="5932A699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–</w:t>
      </w:r>
      <w:r w:rsidRPr="001E557B">
        <w:rPr>
          <w:szCs w:val="24"/>
        </w:rPr>
        <w:tab/>
        <w:t>s ohledem na sdělení Komise ze dne 12. května 2021 nazvané „Cesta ke zdravé planetě pro všechny – Akční plán EU: Vstříc nulovému znečištění ovzduší, vod a půdy“ (COM(2021)0400),</w:t>
      </w:r>
    </w:p>
    <w:p w14:paraId="072E1ABF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–</w:t>
      </w:r>
      <w:r w:rsidRPr="001E557B">
        <w:rPr>
          <w:szCs w:val="24"/>
        </w:rPr>
        <w:tab/>
        <w:t>s ohledem na své usnesení ze dne 16. ledna 2019 o postupu Unie pro povolování pesticidů</w:t>
      </w:r>
      <w:r w:rsidRPr="001E557B">
        <w:rPr>
          <w:rStyle w:val="FootnoteReference"/>
          <w:szCs w:val="24"/>
        </w:rPr>
        <w:footnoteReference w:id="5"/>
      </w:r>
      <w:r w:rsidRPr="001E557B">
        <w:rPr>
          <w:szCs w:val="24"/>
        </w:rPr>
        <w:t>,</w:t>
      </w:r>
    </w:p>
    <w:p w14:paraId="0EC4B8BA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–</w:t>
      </w:r>
      <w:r w:rsidRPr="001E557B">
        <w:rPr>
          <w:szCs w:val="24"/>
        </w:rPr>
        <w:tab/>
        <w:t>s ohledem na článek 55 jednacího řádu,</w:t>
      </w:r>
    </w:p>
    <w:p w14:paraId="2BEF78E9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b/>
          <w:i/>
          <w:szCs w:val="24"/>
        </w:rPr>
        <w:t>–</w:t>
      </w:r>
      <w:r w:rsidRPr="001E557B">
        <w:rPr>
          <w:szCs w:val="24"/>
        </w:rPr>
        <w:tab/>
        <w:t>s ohledem na zprávu Výboru pro životní prostředí, klima a bezpečnost potravin a Výboru pro zemědělství a rozvoj venkova (A10-0234/2025),</w:t>
      </w:r>
    </w:p>
    <w:p w14:paraId="1CFE451C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A.</w:t>
      </w:r>
      <w:r w:rsidRPr="001E557B">
        <w:rPr>
          <w:szCs w:val="24"/>
        </w:rPr>
        <w:tab/>
        <w:t>vzhledem k tomu, že přípravek na ochranu rostlin je přípravek obsahující látku, která ničí nebo kontroluje škodlivý organismus nebo působí jako jeho prevence; vzhledem k tomu, že biologická ochrana získávaná z přírody nebo identická s přírodou, je-li získávána synteticky, je metodou kontroly škodlivých organismů a chorob za použití jiných organismů nebo jejich částí, často v kombinaci s fyzickými technikami, jejímž cílem je narušit jejich reprodukční cykly nebo omezit náchylnost plodin vůči těmto organismům;</w:t>
      </w:r>
    </w:p>
    <w:p w14:paraId="61ADFB11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B.</w:t>
      </w:r>
      <w:r w:rsidRPr="001E557B">
        <w:rPr>
          <w:szCs w:val="24"/>
        </w:rPr>
        <w:tab/>
        <w:t>vzhledem k tomu, že podle nařízení (ES) č. 1107/2009 musí být účinné látky schváleny na úrovni EU dříve, než členské státy mohou povolit přípravky na ochranu rostlin, které tyto účinné látky obsahují; vzhledem k tomu, že současný seznam přibližně 420 schválených účinných látek zahrnuje jak konvenční účinné látky, tak rostoucí počet účinných látek biologické ochrany</w:t>
      </w:r>
      <w:r w:rsidRPr="001E557B">
        <w:rPr>
          <w:rStyle w:val="FootnoteReference"/>
          <w:szCs w:val="24"/>
        </w:rPr>
        <w:footnoteReference w:id="6"/>
      </w:r>
      <w:r w:rsidRPr="001E557B">
        <w:rPr>
          <w:szCs w:val="24"/>
        </w:rPr>
        <w:t xml:space="preserve">; vzhledem k tomu, že povolování přípravků pro biologickou ochranu rovněž spadá do oblasti působnosti nařízení (ES) č. 1107/2009; vzhledem k tomu, že do roku 2028 se očekává, že bude podáno více než 100 žádostí o schválení organismů pro biologickou ochranu na trhu EU a že tyto žádosti nemusí být schváleny dříve než v letech 2031 až 2037; vzhledem k tomu, že doba mezi podáním </w:t>
      </w:r>
      <w:r w:rsidRPr="001E557B">
        <w:rPr>
          <w:szCs w:val="24"/>
        </w:rPr>
        <w:lastRenderedPageBreak/>
        <w:t>žádosti o povolení a uvedením organismu pro biologickou ochranu na trh může trvat až 10 či 15 let, v závislosti na její klasifikaci; vzhledem k tomu, že zdlouhavý schvalovací postup má dopad na dostupnost řešení v oblasti ochrany rostlin; vzhledem k tomu, že ačkoli tyto přípravky pro biologickou ochranu nemají stejný rizikový profil jako konvenční přípravky na ochranu rostlin, mohou v některých případech představovat rizika</w:t>
      </w:r>
      <w:r w:rsidRPr="001E557B">
        <w:rPr>
          <w:rStyle w:val="FootnoteReference"/>
          <w:szCs w:val="24"/>
        </w:rPr>
        <w:footnoteReference w:id="7"/>
      </w:r>
      <w:r w:rsidRPr="001E557B">
        <w:rPr>
          <w:szCs w:val="24"/>
        </w:rPr>
        <w:t xml:space="preserve"> a vyžadovat metody posuzování rizik přizpůsobené způsobu účinku a povaze přípravku, aby bylo možné vyhodnotit jejich bezpečnost a účinnost; vzhledem k tomu, že tento požadavek by měl být přiměřený danému riziku a že konkurenceschopné, vědecky podložené regulační prostředí příznivé pro inovace má zásadní význam pro udržitelnost i produktivitu v zemědělsko-potravinářském odvětví EU;</w:t>
      </w:r>
    </w:p>
    <w:p w14:paraId="6A85A858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C.</w:t>
      </w:r>
      <w:r w:rsidRPr="001E557B">
        <w:rPr>
          <w:szCs w:val="24"/>
        </w:rPr>
        <w:tab/>
        <w:t>vzhledem k tomu, že v současné době neexistuje harmonizovaná právní definice biologické ochrany, která by platila v celé EU;</w:t>
      </w:r>
    </w:p>
    <w:p w14:paraId="24982AC3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D.</w:t>
      </w:r>
      <w:r w:rsidRPr="001E557B">
        <w:rPr>
          <w:szCs w:val="24"/>
        </w:rPr>
        <w:tab/>
        <w:t>vzhledem k tomu, že k řešením biologické ochrany mohou patřit účinné látky a činitelé, bezobratlé organismy pro biologickou ochranu chránící proti škůdcům a chorobám, i přípravky obsahující jednu nebo více účinných látek biologické ochrany; vzhledem k tomu, že řešení biologické ochrany se používají jako součást ucelených strategií v oblasti zdraví rostlin, které mohou rovněž kombinovat preventivní agronomická opatření s dalšími přístupy, s cílem zvýšit účinnost a zajistit, aby jejich používání zůstalo i nadále doplňkové a založené na potřebách;</w:t>
      </w:r>
    </w:p>
    <w:p w14:paraId="7CAD38CD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E.</w:t>
      </w:r>
      <w:r w:rsidRPr="001E557B">
        <w:rPr>
          <w:szCs w:val="24"/>
        </w:rPr>
        <w:tab/>
        <w:t xml:space="preserve">vzhledem k tomu, že k biologické ochraně může docházet prostřednictvím: a) živých </w:t>
      </w:r>
      <w:proofErr w:type="gramStart"/>
      <w:r w:rsidRPr="001E557B">
        <w:rPr>
          <w:szCs w:val="24"/>
        </w:rPr>
        <w:t>makro- a</w:t>
      </w:r>
      <w:proofErr w:type="gramEnd"/>
      <w:r w:rsidRPr="001E557B">
        <w:rPr>
          <w:szCs w:val="24"/>
        </w:rPr>
        <w:t> mikroorganismů, b) semiochemikálií, c) výtažků z přírodních zdrojů, zejména rostlin a řas, a látek produkovaných mikroorganismy, d) látek totožných s látkami produkovanými biologickými organismy nebo látek, které jsou složkami biologických organismů, a e) anorganických látek vyskytujících se v přírodě, s výjimkou těžkých kovů a jejich solí;</w:t>
      </w:r>
    </w:p>
    <w:p w14:paraId="1C6918FF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F.</w:t>
      </w:r>
      <w:r w:rsidRPr="001E557B">
        <w:rPr>
          <w:szCs w:val="24"/>
        </w:rPr>
        <w:tab/>
        <w:t>vzhledem k tomu, že bezobratlé organismy pro biologickou ochranu, jako jsou užiteční hmyzí predátoři, včetně parazitoidů, roztočů a hlístic, již hrají zásadní úlohu v integrované ochraně rostlin a v systémech ekologického zemědělství; vzhledem k tomu, že na rozdíl od přípravků biologické ochrany založených na látkách se na tyto organismy nařízení (ES) č. 1107/2009 nevztahuje, takže i nadále podléhají různorodým a roztříštěným vnitrostátním pravidlům; vzhledem k tomu, že rychlejší povolovací postupy pro makroorganismy by při současném zachování přísných bezpečnostních norem v oblasti zdraví a životního prostředí zvýšily jejich dostupnost na trhu a mohly by pomoci řešit obavy o zdraví rostlin;</w:t>
      </w:r>
    </w:p>
    <w:p w14:paraId="06F0A051" w14:textId="446A8C59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G.</w:t>
      </w:r>
      <w:r w:rsidRPr="001E557B">
        <w:rPr>
          <w:szCs w:val="24"/>
        </w:rPr>
        <w:tab/>
        <w:t>vzhledem k tomu, že řešení biologické ochrany se často kombinují tak, aby tvořila směsi semiochemikálií, rostlinných extraktů nebo mikrobiálních konsorcií, čímž se zvyšuje jejich účinnost, potírá se několik škodlivých organismů nebo chorob a zlepšuje environmentální přizpůsobivost, a že jsou často zahrnována do jiných metod ochrany proti škůdcům, např. do integrované ochrany rostlin; vzhledem k tomu, že z tohoto důvodu není vždy možné nahradit jeden konvenční přípravek na ochranu rostlin jediným přípravkem pro biologickou ochranu;</w:t>
      </w:r>
    </w:p>
    <w:p w14:paraId="5843074F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H.</w:t>
      </w:r>
      <w:r w:rsidRPr="001E557B">
        <w:rPr>
          <w:szCs w:val="24"/>
        </w:rPr>
        <w:tab/>
        <w:t xml:space="preserve">vzhledem k tomu, že biologická ochrana je často spojena s nižšími úrovněmi toxicity, perzistence a znečištění životního prostředí a – je-li prováděna s náležitou péčí – může </w:t>
      </w:r>
      <w:r w:rsidRPr="001E557B">
        <w:rPr>
          <w:szCs w:val="24"/>
        </w:rPr>
        <w:lastRenderedPageBreak/>
        <w:t>doplňovat konvenční přípravky na ochranu rostlin; vzhledem k tomu, že díky ní mohou zemědělci v některých případech snížit svou závislost na používání konvenčních přípravků na ochranu rostlin, neboť soubor nástrojů používaných zemědělci doplňuje o bezpečné a účinné alternativy, což přispívá k ozdravení půdy a snižuje dopady na biologickou rozmanitost, ekosystémy, kvalitu vody, potravinové řetězce a veřejné zdraví;</w:t>
      </w:r>
    </w:p>
    <w:p w14:paraId="1E7C5145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I.</w:t>
      </w:r>
      <w:r w:rsidRPr="001E557B">
        <w:rPr>
          <w:szCs w:val="24"/>
        </w:rPr>
        <w:tab/>
        <w:t>vzhledem k tomu, že zrychlený povolovací postup a uvedení biologické ochrany na trh EU by zvýšily její dostupnost a poskytly příležitost k boji proti odolnosti škůdců a chorob vůči stávajícím přípravkům na ochranu rostlin; vzhledem k tomu, že by to přispělo k podpoře udržitelnějších zemědělských postupů a ke zvýšení odolnosti a konkurenceschopnosti zemědělského odvětví tím, že by zemědělci měli k dispozici co nejširší soubor nástrojů používaných k ochraně rostlin před škůdci;</w:t>
      </w:r>
    </w:p>
    <w:p w14:paraId="2246894D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J.</w:t>
      </w:r>
      <w:r w:rsidRPr="001E557B">
        <w:rPr>
          <w:szCs w:val="24"/>
        </w:rPr>
        <w:tab/>
        <w:t>vzhledem k tomu, že Komise ve své Vizi pro zemědělství a potraviny</w:t>
      </w:r>
      <w:r w:rsidRPr="001E557B">
        <w:rPr>
          <w:rStyle w:val="FootnoteReference"/>
          <w:szCs w:val="24"/>
        </w:rPr>
        <w:footnoteReference w:id="8"/>
      </w:r>
      <w:r w:rsidRPr="001E557B">
        <w:rPr>
          <w:szCs w:val="24"/>
        </w:rPr>
        <w:t xml:space="preserve"> z roku 2025 uvádí, že „zemědělci potřebují pokročilejší soubor nástrojů, aby byli schopni provozovat své zemědělské podniky způsobem šetrným k přírodě a dosáhnout stanovených cílů. Tento soubor nástrojů vyžaduje dobře nastavenou kombinaci lépe cílené veřejné podpory z budoucí SZP, investic do řešení šetrných k přírodě, větších ekonomických pobídek, individualizovaného poradenství vycházejícího z pokroku v oblasti výzkumu a inovací, jakož i pružnější regulační prostředí. Jedním z takových příkladů je ambice EU snížit používání škodlivých pesticidů. To je důležité jak pro dlouhodobou odolnost zemědělství, tak pro ochranu přírody i zdraví. Zavádění alternativ v podobě biologických přípravků nebo inovativních přípravků na ochranu rostlin představujících nízké riziko však neprobíhá stejně rychle jako stahování účinných látek z trhu EU. Pokud bude tento trend pokračovat, může to negativně ovlivnit schopnost EU zajistit produkci potravin. Komise proto pečlivě </w:t>
      </w:r>
      <w:proofErr w:type="gramStart"/>
      <w:r w:rsidRPr="001E557B">
        <w:rPr>
          <w:szCs w:val="24"/>
        </w:rPr>
        <w:t>zváží</w:t>
      </w:r>
      <w:proofErr w:type="gramEnd"/>
      <w:r w:rsidRPr="001E557B">
        <w:rPr>
          <w:szCs w:val="24"/>
        </w:rPr>
        <w:t xml:space="preserve"> jakýkoli další zákaz pesticidů – které jsou pro zemědělství a jeho životaschopnost důležité –, pokud k nim ještě nebudou k dispozici alternativy a pokud dotyčný pesticid nebude představovat hrozbu pro lidské zdraví nebo životní prostředí.“; </w:t>
      </w:r>
    </w:p>
    <w:p w14:paraId="070E2286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K.</w:t>
      </w:r>
      <w:r w:rsidRPr="001E557B">
        <w:rPr>
          <w:szCs w:val="24"/>
        </w:rPr>
        <w:tab/>
        <w:t>vzhledem k tomu, že úřadu EFSA a příslušným orgánům členských států často chybí odborné znalosti, zkušenosti i zdroje potřebné ke zpracování žádostí souvisejících s biologickou ochranou, zejména pokud jde o mikrobiologii; vzhledem k tomu, že za účelem podpory jejich uvádění na trh by pokyny a požadavky týkající se údajů měly odpovídat specifickým vlastnostem řešení biologické ochrany, aby se zabránilo nadměrné zátěži, nákladům, zdlouhavým schvalovacím postupům a zákonným lhůtám; vzhledem k tomu, že rychlejší, cenově dostupnější a méně složité postupy povolování přípravků pro biologickou ochranu by mohly pomoci přilákat do EU více investic a posílit její celosvětové vedoucí postavení v oblasti udržitelné ochrany rostlin;</w:t>
      </w:r>
    </w:p>
    <w:p w14:paraId="444F1019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L.</w:t>
      </w:r>
      <w:r w:rsidRPr="001E557B">
        <w:rPr>
          <w:szCs w:val="24"/>
        </w:rPr>
        <w:tab/>
        <w:t>vzhledem k tomu, že účinné zavádění přípravků pro biologickou ochranu často závisí na přizpůsobených postupech, z čehož jasně vyplývá, že je třeba i nadále investovat do odborné přípravy, infrastruktury a poradenské podpory, jelikož jen tak může být zajištěno úspěšné využívání těchto přípravků;</w:t>
      </w:r>
    </w:p>
    <w:p w14:paraId="2829695F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M.</w:t>
      </w:r>
      <w:r w:rsidRPr="001E557B">
        <w:rPr>
          <w:szCs w:val="24"/>
        </w:rPr>
        <w:tab/>
        <w:t xml:space="preserve">vzhledem k tomu, že malé a střední podniky činné v oblasti biologické ochrany se </w:t>
      </w:r>
      <w:r w:rsidRPr="001E557B">
        <w:rPr>
          <w:szCs w:val="24"/>
        </w:rPr>
        <w:lastRenderedPageBreak/>
        <w:t>sídlem v EU představují přibližně 70 % odvětví biologické ochrany v EU; vzhledem k tomu, že tyto společnosti jsou klíčovou hnací silou udržitelných inovací; vzhledem k tomu, že schvalování účinných látek pro přípravky na ochranu rostlin, včetně organismů pro biologickou ochranu v EU, s sebou nese značné náklady, přičemž celkové investice, včetně generování dat, regulačních poplatků a vnitrostátních povolení, se odhadují na 1,5 až 4 miliony EUR na látku;</w:t>
      </w:r>
    </w:p>
    <w:p w14:paraId="57BC36A1" w14:textId="77777777" w:rsidR="00434B29" w:rsidRPr="001E557B" w:rsidRDefault="00434B29" w:rsidP="001E557B">
      <w:pPr>
        <w:pStyle w:val="NormalHanging12a"/>
        <w:ind w:left="0" w:firstLine="0"/>
        <w:rPr>
          <w:b/>
          <w:bCs/>
          <w:i/>
          <w:iCs/>
          <w:szCs w:val="24"/>
        </w:rPr>
      </w:pPr>
      <w:r w:rsidRPr="001E557B">
        <w:rPr>
          <w:b/>
          <w:i/>
          <w:szCs w:val="24"/>
        </w:rPr>
        <w:t>Právní definice, oblast působnosti a zásady</w:t>
      </w:r>
    </w:p>
    <w:p w14:paraId="6A88A583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1.</w:t>
      </w:r>
      <w:r w:rsidRPr="001E557B">
        <w:rPr>
          <w:szCs w:val="24"/>
        </w:rPr>
        <w:tab/>
        <w:t>vyzývá Komisi, aby na úrovni EU stanovila jasnou právní definici řešení biologické ochrany, jakož i rámec pro zrychlené schvalování účinných látek biologické ochrany na úrovni EU a pro povolování přípravků biologické ochrany na úrovni členských států; domnívá se, že takový rámec by měly doprovázet jasné požadavky na údaje a aktualizované pokyny s cílem zvýšit právní jistotu, podpořit inovační úsilí EU a investice do udržitelných alternativ; dále trvá na tom, že Komise by měla usilovat o to, aby zabránila roztříštěnosti trhu a snížila administrativní zátěž;</w:t>
      </w:r>
    </w:p>
    <w:p w14:paraId="1742896E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2.</w:t>
      </w:r>
      <w:r w:rsidRPr="001E557B">
        <w:rPr>
          <w:szCs w:val="24"/>
        </w:rPr>
        <w:tab/>
        <w:t>konstatuje, že regulační jistota usnadní inovace, zejména v malých a středních podnicích, a </w:t>
      </w:r>
      <w:proofErr w:type="gramStart"/>
      <w:r w:rsidRPr="001E557B">
        <w:rPr>
          <w:szCs w:val="24"/>
        </w:rPr>
        <w:t>podpoří</w:t>
      </w:r>
      <w:proofErr w:type="gramEnd"/>
      <w:r w:rsidRPr="001E557B">
        <w:rPr>
          <w:szCs w:val="24"/>
        </w:rPr>
        <w:t xml:space="preserve"> rozvoj konkurenceschopného odvětví biologické ochrany v EU; dále zdůrazňuje, že je důležité zajistit legislativní soudržnost a soulad s příslušnými právními předpisy, včetně nařízení (EU) 2018/848</w:t>
      </w:r>
      <w:r w:rsidRPr="001E557B">
        <w:rPr>
          <w:rStyle w:val="FootnoteReference"/>
          <w:szCs w:val="24"/>
        </w:rPr>
        <w:footnoteReference w:id="9"/>
      </w:r>
      <w:r w:rsidRPr="001E557B">
        <w:rPr>
          <w:szCs w:val="24"/>
        </w:rPr>
        <w:t>, a strategiemi EU, jakož i případně zavést zvláštní ustanovení o organismech pro biologickou ochranu;</w:t>
      </w:r>
    </w:p>
    <w:p w14:paraId="6E9EF795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3.</w:t>
      </w:r>
      <w:r w:rsidRPr="001E557B">
        <w:rPr>
          <w:szCs w:val="24"/>
        </w:rPr>
        <w:tab/>
        <w:t>zdůrazňuje, že organismy pro biologickou ochranu mají obecně jiný rizikový profil než konvenční chemické přípravky na ochranu rostlin, neboť nemají stejné vlastnosti, způsoby účinku ani ekologické dopady; zdůrazňuje však, že nejsou bez rizika, a proto vyžadují odpovídající vědecky podložené posouzení rizik; zdůrazňuje, že metody posuzování rizik by měly být přizpůsobeny specifickým vlastnostem organismů pro biologickou ochranu a zároveň by měly zajistit, aby byla řádně zohledněna regionální agronomická specifika, jakož i vysoká úroveň ochrany zdraví, necílových organismů, biologické rozmanitosti a životního prostředí v souladu s přístupem „jedno zdraví“ a zásadou předběžné opatrnosti; připomíná zejména, že je třeba posoudit jejich potenciální dopady na prospěšné druhy, ekosystémy a biologickou rozmanitost, a to i v případě, že jsou do životního prostředí zaváděny živé organismy, jako jsou mikroorganismy, přirození nepřátelé, sterilní hmyz nebo jejich části;</w:t>
      </w:r>
    </w:p>
    <w:p w14:paraId="638CF8ED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4.</w:t>
      </w:r>
      <w:r w:rsidRPr="001E557B">
        <w:rPr>
          <w:szCs w:val="24"/>
        </w:rPr>
        <w:tab/>
        <w:t xml:space="preserve">požaduje, aby Komise v posouzení dopadů připojeném k legislativnímu návrhu vyhodnotila vhodnost stávajících posouzení rizik během schvalování účinných látek vykonávajících biologickou ochranu a povolování přípravků pro biologickou ochranu a v případě potřeby vypracovala přizpůsobené protokoly pro posuzování rizik u každého řešení biologické ochrany; zdůrazňuje, že posouzení rizik v případě organismů pro biologickou ochranu musí vždy zajistit cílené, vhodné a řádné řízení rizik a vysokou úroveň ochrany zdraví a životního prostředí; zdůrazňuje, že povolovací postupy musí zahrnovat harmonizovaná kritéria dopadu na životní prostředí a biologickou rozmanitost na úrovni EU, aby se zabránilo rozdílům mezi členskými státy; zdůrazňuje, že tyto přípravky pro biologickou ochranu musí být schváleny pouze tehdy, pokud splňují </w:t>
      </w:r>
      <w:r w:rsidRPr="001E557B">
        <w:rPr>
          <w:szCs w:val="24"/>
        </w:rPr>
        <w:lastRenderedPageBreak/>
        <w:t>příslušná kritéria pro schválení</w:t>
      </w:r>
      <w:r w:rsidRPr="001E557B">
        <w:rPr>
          <w:rStyle w:val="FootnoteReference"/>
          <w:szCs w:val="24"/>
        </w:rPr>
        <w:footnoteReference w:id="10"/>
      </w:r>
      <w:r w:rsidRPr="001E557B">
        <w:rPr>
          <w:szCs w:val="24"/>
        </w:rPr>
        <w:t>, která zaručují bezpečné a účinné používání, a pokud byla vědecky ověřena jejich účinnost a jsou k dispozici příslušné výsledky, přičemž je třeba chránit citlivé obchodní informace; připomíná, že je třeba zjednodušit postupy, aby se zabránilo zpožděním, která by znevýhodňovala inovátory a zemědělce v EU; konstatuje, že postupy posuzování rizik by měly být transparentní a jasné;</w:t>
      </w:r>
    </w:p>
    <w:p w14:paraId="32368838" w14:textId="77777777" w:rsidR="00434B29" w:rsidRPr="001E557B" w:rsidRDefault="00434B29" w:rsidP="001E557B">
      <w:pPr>
        <w:pStyle w:val="NormalHanging12a"/>
        <w:rPr>
          <w:b/>
          <w:bCs/>
          <w:i/>
          <w:iCs/>
          <w:szCs w:val="24"/>
        </w:rPr>
      </w:pPr>
      <w:r w:rsidRPr="001E557B">
        <w:rPr>
          <w:b/>
          <w:i/>
          <w:szCs w:val="24"/>
        </w:rPr>
        <w:t>Cílená změna nařízení (ES) č. 1107/2009</w:t>
      </w:r>
    </w:p>
    <w:p w14:paraId="7114AA4D" w14:textId="77777777" w:rsidR="00434B29" w:rsidRPr="001E557B" w:rsidRDefault="00434B29" w:rsidP="001E557B">
      <w:pPr>
        <w:pStyle w:val="NormalHanging12a"/>
        <w:tabs>
          <w:tab w:val="left" w:pos="709"/>
        </w:tabs>
        <w:ind w:hanging="501"/>
        <w:rPr>
          <w:szCs w:val="24"/>
        </w:rPr>
      </w:pPr>
      <w:r w:rsidRPr="001E557B">
        <w:rPr>
          <w:szCs w:val="24"/>
        </w:rPr>
        <w:t>5.</w:t>
      </w:r>
      <w:r w:rsidRPr="001E557B">
        <w:rPr>
          <w:szCs w:val="24"/>
        </w:rPr>
        <w:tab/>
        <w:t>vyzývá Komisi, aby v krátkodobém horizontu upravila stávající nařízení (ES) č. 1107/2009 tak, aby konkrétně zohledňovalo účinné látky vykonávající biologickou ochranu a přípravky pro biologickou ochranu;</w:t>
      </w:r>
    </w:p>
    <w:p w14:paraId="40D643A2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6.</w:t>
      </w:r>
      <w:r w:rsidRPr="001E557B">
        <w:rPr>
          <w:szCs w:val="24"/>
        </w:rPr>
        <w:tab/>
        <w:t>vítá skutečnost, že se Komise v rámci ohlášeného balíčku zjednodušujících opatření chystá předložit cílenou revizi nařízení (ES) č. 1107/2009, která se zaměří na schvalování a povolování účinných látek vykonávajících biologickou ochranu a přípravků, které obsahují výhradně tyto účinné látky, s cílem umožnit zrychlené posuzování žádostí týkajících se přípravků pro biologickou ochranu a usnadnit postup pro obnovení schválení účinných látek biologické ochrany, které již byly schváleny, aby se v krátkodobém horizontu zvýšila nabídka dostupných přípravků na ochranu rostlin a podpořil přechod na systémy produkce používající méně škodlivé účinné látky;</w:t>
      </w:r>
    </w:p>
    <w:p w14:paraId="76ED7AD6" w14:textId="77777777" w:rsidR="00434B29" w:rsidRPr="001E557B" w:rsidRDefault="00434B29" w:rsidP="001E557B">
      <w:pPr>
        <w:pStyle w:val="NormalHanging12a"/>
        <w:rPr>
          <w:b/>
          <w:bCs/>
          <w:i/>
          <w:iCs/>
          <w:szCs w:val="24"/>
        </w:rPr>
      </w:pPr>
      <w:r w:rsidRPr="001E557B">
        <w:rPr>
          <w:b/>
          <w:i/>
          <w:szCs w:val="24"/>
        </w:rPr>
        <w:t>Vzájemné uznávání</w:t>
      </w:r>
    </w:p>
    <w:p w14:paraId="0F8E4D8B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7.</w:t>
      </w:r>
      <w:r w:rsidRPr="001E557B">
        <w:rPr>
          <w:szCs w:val="24"/>
        </w:rPr>
        <w:tab/>
        <w:t>vybízí členské státy, aby stávající postup vzájemného uznávání podle článku 40 nařízení (ES) č. 1107/2009 využívaly k urychlení povolování přípravků pro biologickou ochranu s cílem zvýšit jejich využívání a dostupnost v celé EU; vyzývá Komisi, aby provádění článku 40 věnovala zvláštní pozornost a aby v případě potřeby zavedla za účelem jeho plného provedení navazující iniciativy;</w:t>
      </w:r>
    </w:p>
    <w:p w14:paraId="61419341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8.</w:t>
      </w:r>
      <w:r w:rsidRPr="001E557B">
        <w:rPr>
          <w:szCs w:val="24"/>
        </w:rPr>
        <w:tab/>
        <w:t>konstatuje, že cílená změna nařízení (ES) č. 1107/2009 by měla posílit, usnadnit a uvést do praxe zásadu vzájemného uznávání, pokud jde o povolovací postupy EU v oblasti biologické ochrany, čímž se omezí zdvojování vnitrostátních hodnocení a zároveň bude zohledněna zásada předběžné opatrnosti i rozdílné místní podmínky;</w:t>
      </w:r>
    </w:p>
    <w:p w14:paraId="2BBB0293" w14:textId="77777777" w:rsidR="00434B29" w:rsidRPr="001E557B" w:rsidRDefault="00434B29" w:rsidP="001E557B">
      <w:pPr>
        <w:pStyle w:val="NormalHanging12a"/>
        <w:rPr>
          <w:rStyle w:val="Strong"/>
          <w:b w:val="0"/>
          <w:bCs w:val="0"/>
          <w:szCs w:val="24"/>
        </w:rPr>
      </w:pPr>
      <w:r w:rsidRPr="001E557B">
        <w:rPr>
          <w:szCs w:val="24"/>
        </w:rPr>
        <w:t>9.</w:t>
      </w:r>
      <w:r w:rsidRPr="001E557B">
        <w:rPr>
          <w:szCs w:val="24"/>
        </w:rPr>
        <w:tab/>
        <w:t xml:space="preserve">vyzývá Komisi, aby vypracovala plán zaměřený na automatické vzájemné uznávání přípravků založených výhradně na biologické ochraně a aby žadatelům umožnila požádat o povolení přípravku pro biologickou ochranu v několika členských státech současně na základě jediné dokumentace, a to při zajištění vysoké úrovně ochrany zdraví a životního prostředí, a aby zvážila zavedení jednotné zóny pro povolování těchto přípravků v celé EU, čímž by se zajistilo, aby byly v celé EU prokazatelně splněny stejné vědecké normy, kritéria účinnosti a úrovně bezpečnosti; zdůrazňuje, že tento plán by měl usilovat o zavedení případného legislativního rámce, který by podléhal důkladnému posouzení dopadů a byl by stanoven až po jeho provedení a který by mohl být rozvíjen postupně, nejprve posílenou spoluprací a sdílením údajů mezi příslušnými orgány a následně zefektivněním postupů zonálního posuzování přípravků pro biologickou ochranu podle nařízení (ES) č. 1107/2009, například pověřením zpravodajských členských států, aby ve spolupráci s členskými státy z každé z ostatních zeměpisných zón posoudily podmínky pro povolení přípravku ve všech zeměpisných zónách s cílem vybudovat vzájemnou důvěru mezi příslušnými vnitrostátními orgány, </w:t>
      </w:r>
      <w:r w:rsidRPr="001E557B">
        <w:rPr>
          <w:szCs w:val="24"/>
        </w:rPr>
        <w:lastRenderedPageBreak/>
        <w:t>aby se zabránilo byrokratickému zdvojování, usnadnilo zemědělcům zavádění udržitelnějších řešení a aby se zlepšil jednotný přístup na trh, přičemž by zároveň byly dodržovány přísné normy v oblasti ochrany zdraví a životního prostředí;</w:t>
      </w:r>
    </w:p>
    <w:p w14:paraId="405E92B3" w14:textId="77777777" w:rsidR="00434B29" w:rsidRPr="001E557B" w:rsidRDefault="00434B29" w:rsidP="001E557B">
      <w:pPr>
        <w:pStyle w:val="NormalHanging12a"/>
        <w:rPr>
          <w:b/>
          <w:bCs/>
          <w:i/>
          <w:iCs/>
          <w:szCs w:val="24"/>
        </w:rPr>
      </w:pPr>
      <w:r w:rsidRPr="001E557B">
        <w:rPr>
          <w:b/>
          <w:i/>
          <w:szCs w:val="24"/>
        </w:rPr>
        <w:t>Menšinová použití</w:t>
      </w:r>
    </w:p>
    <w:p w14:paraId="072EB9F1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10.</w:t>
      </w:r>
      <w:r w:rsidRPr="001E557B">
        <w:rPr>
          <w:szCs w:val="24"/>
        </w:rPr>
        <w:tab/>
        <w:t>vyzývá členské státy, aby případně usnadnily a urychlily pouhé rozšíření povolení přípravků na ochranu rostlin, které již byly povoleny a obsahují účinné látky vykonávající biologickou ochranu, tak aby toto povolení zahrnovalo i menšinová použití, mimo jiné většinu zemědělství v kontrolovaném prostředí, pokud příslušný orgán nezjistí konkrétní a vědecky odůvodněné riziko;</w:t>
      </w:r>
    </w:p>
    <w:p w14:paraId="26A00F05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11.</w:t>
      </w:r>
      <w:r w:rsidRPr="001E557B">
        <w:rPr>
          <w:szCs w:val="24"/>
        </w:rPr>
        <w:tab/>
        <w:t>vyzývá Komisi, aby v každém jednotlivém případě posoudila dopad, včetně rizik a přínosů, automatického rozšíření povolení pouze pro přípravky na ochranu rostlin, které již byly povoleny a obsahují přípravky pro biologickou ochranu, tak aby toto povolení zahrnovalo menšinová použití v souladu se zárukami stanovenými v článku 51 nařízení (ES) č. 1107/2009;</w:t>
      </w:r>
    </w:p>
    <w:p w14:paraId="656CFCB2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12.</w:t>
      </w:r>
      <w:r w:rsidRPr="001E557B">
        <w:rPr>
          <w:szCs w:val="24"/>
        </w:rPr>
        <w:tab/>
        <w:t>vyzývá Komisi, aby zvážila možnost prodloužit maximální dobu platnosti prvního schválení a obnovení schválení účinných látek vykonávajících biologickou ochranu až na 25 let; vyzývá Komisi, aby vytvořila a vedla seznam přípravků pro biologickou ochranu, které mohou být na základě svého profilu, povahy a způsobu účinku způsobilé pro povolení s prodlouženou dobou platnosti až 25 let pro první povolení; zdůrazňuje, že tento seznam nesmí být vyčerpávající a musí odrážet nejnovější vědecké normy a zůstat dynamický, což znamená, že zařazení na seznam nesmí být považováno za trvalé; vyzývá Komisi, aby tento seznam pravidelně přezkoumávala a aktualizovala s ohledem na nové údaje nebo vědecký vývoj; vyzývá Komisi, aby posoudila možné podmínky, za kterých by účinné látky a přípravky biologické ochrany, u nichž se prokázalo, že nemají žádný rizikový profil nebo je pouze zanedbatelný, mohly být schváleny a povoleny na dobu neurčitou;</w:t>
      </w:r>
    </w:p>
    <w:p w14:paraId="21271640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13.</w:t>
      </w:r>
      <w:r w:rsidRPr="001E557B">
        <w:rPr>
          <w:szCs w:val="24"/>
        </w:rPr>
        <w:tab/>
        <w:t>dále vyzývá Komisi, aby zvážila zavedení schvalovacího mechanismu pro konkrétní kategorie biologické ochrany s nízkým rizikem na úrovni Unie;</w:t>
      </w:r>
    </w:p>
    <w:p w14:paraId="738D6A11" w14:textId="77777777" w:rsidR="00434B29" w:rsidRPr="001E557B" w:rsidRDefault="00434B29" w:rsidP="001E557B">
      <w:pPr>
        <w:pStyle w:val="NormalWeb"/>
        <w:spacing w:before="0" w:beforeAutospacing="0" w:after="240" w:afterAutospacing="0"/>
        <w:rPr>
          <w:b/>
          <w:bCs/>
          <w:i/>
          <w:iCs/>
        </w:rPr>
      </w:pPr>
      <w:r w:rsidRPr="001E557B">
        <w:rPr>
          <w:b/>
          <w:i/>
        </w:rPr>
        <w:t xml:space="preserve">Zrychlené postupy </w:t>
      </w:r>
    </w:p>
    <w:p w14:paraId="132AFFB2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14.</w:t>
      </w:r>
      <w:r w:rsidRPr="001E557B">
        <w:rPr>
          <w:szCs w:val="24"/>
        </w:rPr>
        <w:tab/>
        <w:t>doporučuje zefektivnit, optimalizovat a urychlit postup povolování, jakož i postupy opětovného povolování, schvalování a opětovného schvalování řešení biologické ochrany, a to i zavedením zrychlených postupů, s cílem snížit zbytečnou byrokratickou zátěž, aby bylo možné lépe dodržovat zákonné lhůty pro hodnocení a zároveň řádně posuzovat a řídit související rizika;</w:t>
      </w:r>
    </w:p>
    <w:p w14:paraId="73A00A55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15.</w:t>
      </w:r>
      <w:r w:rsidRPr="001E557B">
        <w:rPr>
          <w:szCs w:val="24"/>
        </w:rPr>
        <w:tab/>
        <w:t>zdůrazňuje však, že jakékoli zrychlené postupy pro uvádění přípravků pro biologickou ochranu na trh musí i nadále podléhat důkladnému vědeckému posouzení, včetně analýzy rizik zahrnující i necílové organismy a účinnost za různých relevantních klimatických podmínek;</w:t>
      </w:r>
    </w:p>
    <w:p w14:paraId="5DB94155" w14:textId="77777777" w:rsidR="00434B29" w:rsidRPr="001E557B" w:rsidRDefault="00434B29" w:rsidP="001E557B">
      <w:pPr>
        <w:spacing w:after="240"/>
        <w:rPr>
          <w:b/>
          <w:bCs/>
          <w:i/>
          <w:iCs/>
          <w:szCs w:val="24"/>
        </w:rPr>
      </w:pPr>
      <w:r w:rsidRPr="001E557B">
        <w:rPr>
          <w:b/>
          <w:i/>
          <w:szCs w:val="24"/>
        </w:rPr>
        <w:t>Dočasné povolení</w:t>
      </w:r>
    </w:p>
    <w:p w14:paraId="270C4DCB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16.</w:t>
      </w:r>
      <w:r w:rsidRPr="001E557B">
        <w:rPr>
          <w:szCs w:val="24"/>
        </w:rPr>
        <w:tab/>
        <w:t xml:space="preserve">vyzývá Komisi, aby při revizi nařízení (ES) č. 1107/2009 změnila článek 30 a zvážila, že umožní dočasné povolení pouze pro biologické přípravky na ochranu rostlin, které splňují příslušná bezpečnostní kritéria v něm uvedená; domnívá se, že dočasná, </w:t>
      </w:r>
      <w:r w:rsidRPr="001E557B">
        <w:rPr>
          <w:szCs w:val="24"/>
        </w:rPr>
        <w:lastRenderedPageBreak/>
        <w:t>podmíněná povolení by měla být spojena s nezbytným monitorováním; připomíná zavedenou zásadu, že pokud nové údaje prokáží nepřijatelné riziko pro zdraví nebo životní prostředí, a to i pro necílové druhy, mělo by být dočasné povolení přezkoumáno a odňato;</w:t>
      </w:r>
    </w:p>
    <w:p w14:paraId="1E113E83" w14:textId="77777777" w:rsidR="00434B29" w:rsidRPr="001E557B" w:rsidRDefault="00434B29" w:rsidP="001E557B">
      <w:pPr>
        <w:pStyle w:val="NormalHanging12a"/>
        <w:rPr>
          <w:b/>
          <w:bCs/>
          <w:i/>
          <w:iCs/>
          <w:szCs w:val="24"/>
        </w:rPr>
      </w:pPr>
      <w:r w:rsidRPr="001E557B">
        <w:rPr>
          <w:b/>
          <w:i/>
          <w:szCs w:val="24"/>
        </w:rPr>
        <w:t>Výhled do budoucna: strategie, analýza nedostatků a dlouhodobější legislativní perspektiva</w:t>
      </w:r>
    </w:p>
    <w:p w14:paraId="1697F24C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17.</w:t>
      </w:r>
      <w:r w:rsidRPr="001E557B">
        <w:rPr>
          <w:szCs w:val="24"/>
        </w:rPr>
        <w:tab/>
        <w:t>požaduje, aby posouzení dopadů vypracované Komisí a připojené k legislativnímu návrhu vyhodnotilo vhodnost stávajícího legislativního rámce a posouzení rizik, během schvalování účinných látek vykonávajících biologickou ochranu a povolování přípravků pro biologickou ochranu, mimo jiné z hlediska požadavků na data, schvalovací kritéria a vzájemné uznávání; požaduje, aby připojené posouzení dopadů určilo oblasti, v nichž by stávající nařízení mohlo být upraveno tak, aby bylo vhodnější pro uvádění řešení biologické ochrany na trh, jak požaduje strategický dialog, a aby uspokojilo potřebu zemědělců mít pokročilejší a komplexnější soubor nástrojů;</w:t>
      </w:r>
    </w:p>
    <w:p w14:paraId="5E3704C1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18.</w:t>
      </w:r>
      <w:r w:rsidRPr="001E557B">
        <w:rPr>
          <w:szCs w:val="24"/>
        </w:rPr>
        <w:tab/>
        <w:t>vyzývá Komisi, aby předložila komplexní strategii biologické ochrany a soubor nástrojů pro posouzení očekávaných výzev v oblasti ochrany plodin v nadcházejících deseti letech pro konkrétní plodiny, škůdce a choroby s cílem podpořit vývoj alternativních přípravků na ochranu rostlin a opatření integrované ochrany rostlin, zejména s využitím účinných a cenově dostupných alternativ k identifikaci nedostatků v ochraně rostlin a předvídání stažení z trhu, aby si uživatelé mohli naplánovat dostatečná přechodná období během postupného ukončování s cílem vytvořit rámec, který obstojí i v budoucnu a bude vhodný pro daný účel;</w:t>
      </w:r>
    </w:p>
    <w:p w14:paraId="7FBE5453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19.</w:t>
      </w:r>
      <w:r w:rsidRPr="001E557B">
        <w:rPr>
          <w:szCs w:val="24"/>
        </w:rPr>
        <w:tab/>
        <w:t>vyzývá Komisi, aby se v dlouhodobém horizontu zabývala možností nového samostatného nařízení o biologické ochraně, včetně podmínek, za nichž lze uplatnit centralizovaný přístup, s cílem lépe přizpůsobit postupy posuzování, schvalování a povolování na míru řešením biologické ochrany;</w:t>
      </w:r>
    </w:p>
    <w:p w14:paraId="43B5E9CA" w14:textId="77777777" w:rsidR="00434B29" w:rsidRPr="001E557B" w:rsidRDefault="00434B29" w:rsidP="001E557B">
      <w:pPr>
        <w:pStyle w:val="NormalHanging12a"/>
        <w:rPr>
          <w:b/>
          <w:bCs/>
          <w:i/>
          <w:iCs/>
          <w:szCs w:val="24"/>
        </w:rPr>
      </w:pPr>
      <w:r w:rsidRPr="001E557B">
        <w:rPr>
          <w:b/>
          <w:i/>
          <w:szCs w:val="24"/>
        </w:rPr>
        <w:t xml:space="preserve">Vyřešení nahromaděných žádostí </w:t>
      </w:r>
    </w:p>
    <w:p w14:paraId="34D6CB1E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20.</w:t>
      </w:r>
      <w:r w:rsidRPr="001E557B">
        <w:rPr>
          <w:szCs w:val="24"/>
        </w:rPr>
        <w:tab/>
        <w:t>požaduje, aby byly vyčleněny dostatečné zdroje na vyřešení nahromaděných zpožděných žádostí souvisejících s biologickou ochranou, a to vytvořením prioritního postupu, za předpokladu, že pro něj budou vyčleněny dodatečné finanční prostředky na schvalování organismů pro biologickou ochranu, v rámci postupů schvalování a povolování účinných látek a přípravků podle nařízení (ES) č. 1107/2009, a zároveň aby byly na základě vědeckého a technického vývoje posouzeny a aktualizovány postupy schvalování a povolování; zdůrazňuje, že urychlení posuzování a povolování řešení biologické ochrany by nemělo vést k dalšímu zpoždění při posuzování rizik a povolování konvenčních látek a přípravků na ochranu rostlin ani k opožděnému přezkumu těch, které jsou na trhu déle než deset let, s cílem zajistit vysokou úroveň ochrany;</w:t>
      </w:r>
    </w:p>
    <w:p w14:paraId="2F3B047B" w14:textId="77777777" w:rsidR="00434B29" w:rsidRPr="001E557B" w:rsidRDefault="00434B29" w:rsidP="001E557B">
      <w:pPr>
        <w:pStyle w:val="NormalHanging12a"/>
        <w:rPr>
          <w:b/>
          <w:bCs/>
          <w:i/>
          <w:iCs/>
          <w:szCs w:val="24"/>
        </w:rPr>
      </w:pPr>
      <w:r w:rsidRPr="001E557B">
        <w:rPr>
          <w:b/>
          <w:i/>
          <w:szCs w:val="24"/>
        </w:rPr>
        <w:t>Podpora pro žadatele</w:t>
      </w:r>
    </w:p>
    <w:p w14:paraId="0627C093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21.</w:t>
      </w:r>
      <w:r w:rsidRPr="001E557B">
        <w:rPr>
          <w:szCs w:val="24"/>
        </w:rPr>
        <w:tab/>
        <w:t xml:space="preserve">bere na vědomí stávající ustanovení týkající se pomoci žadatelům ze strany Evropské agentury pro chemické látky a Evropské agentury pro léčivé přípravky; vyzývá členské státy a úřad EFSA, aby poskytovaly technickou podporu pro žádosti malých a středních podniků, zejména během procesu přípravy žádostí, a přitom uplatňovaly jasné záruky, které zabrání střetu zájmů; vyzývá úřad EFSA, aby respektoval výše uvedené a vytvořil </w:t>
      </w:r>
      <w:r w:rsidRPr="001E557B">
        <w:rPr>
          <w:szCs w:val="24"/>
        </w:rPr>
        <w:lastRenderedPageBreak/>
        <w:t>jednotné kontaktní místo pro malé a střední podniky produkující organismy pro biologickou ochranu a poskytl jasné pokyny a podporu pro žadatele, pokud jde o přípravu dokumentace, vysvětlení požadavků na údaje a postupů předkládání, aby se zlepšila kvalita žádostí, a tím omezilo zpoždění v procesu posuzování a povolování a usnadnilo uvádění schválených organismů biologické ochrany na trhy EU;</w:t>
      </w:r>
    </w:p>
    <w:p w14:paraId="3E136B5E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22.</w:t>
      </w:r>
      <w:r w:rsidRPr="001E557B">
        <w:rPr>
          <w:szCs w:val="24"/>
        </w:rPr>
        <w:tab/>
        <w:t>vyzývá členské státy, aby vytvořily efektivní, jasné a snadno srozumitelné administrativní postupy přizpůsobené přípravkům pro biologickou ochranu a posouzení rizik vhodná pro jejich způsob účinku a povahu přípravku a aby zřídily specializovaná kontaktní místa;</w:t>
      </w:r>
    </w:p>
    <w:p w14:paraId="0A0AD62F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23.</w:t>
      </w:r>
      <w:r w:rsidRPr="001E557B">
        <w:rPr>
          <w:szCs w:val="24"/>
        </w:rPr>
        <w:tab/>
        <w:t>vyzývá Komisi, aby naléhavě přijala aktualizované pokyny týkající se přípravků pro biologickou ochranu, a tak podpořila jejich používání a zvýšila konzistentnost mezi jednotlivými členskými státy;</w:t>
      </w:r>
    </w:p>
    <w:p w14:paraId="5CC7852A" w14:textId="77777777" w:rsidR="00434B29" w:rsidRPr="001E557B" w:rsidRDefault="00434B29" w:rsidP="00356FCF">
      <w:pPr>
        <w:pStyle w:val="NormalHanging12a"/>
        <w:ind w:left="0" w:firstLine="0"/>
        <w:rPr>
          <w:b/>
          <w:bCs/>
          <w:i/>
          <w:iCs/>
          <w:szCs w:val="24"/>
        </w:rPr>
      </w:pPr>
      <w:r w:rsidRPr="001E557B">
        <w:rPr>
          <w:b/>
          <w:i/>
          <w:szCs w:val="24"/>
        </w:rPr>
        <w:t>Uplatňování směrnice 2009/128/ES na podporu biologické ochrany, mimo jiné prostřednictvím integrované ochrany rostlin</w:t>
      </w:r>
    </w:p>
    <w:p w14:paraId="6D4C9005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24.</w:t>
      </w:r>
      <w:r w:rsidRPr="001E557B">
        <w:rPr>
          <w:szCs w:val="24"/>
        </w:rPr>
        <w:tab/>
        <w:t>vyzývá členské státy, aby do svých národních akčních plánů podle směrnice 2009/128/ES zahrnuly zejména plánovaná a přijatá opatření ke zlepšení postupů pro povolování přípravků pro biologickou ochranu a dalších přípravků představujících nízké riziko;</w:t>
      </w:r>
    </w:p>
    <w:p w14:paraId="2D3E0202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25.</w:t>
      </w:r>
      <w:r w:rsidRPr="001E557B">
        <w:rPr>
          <w:szCs w:val="24"/>
        </w:rPr>
        <w:tab/>
        <w:t>vyzývá také Komisi a členské státy, aby v koordinaci se zemědělci zajistily efektivní uplatňování směrnice 2009/128/ES zajišťující snadnější přístup k přípravkům pro biologickou ochranu a aby podpořily zemědělce při osvojování udržitelnějších postupů;</w:t>
      </w:r>
    </w:p>
    <w:p w14:paraId="3EDFD9AC" w14:textId="77777777" w:rsidR="00434B29" w:rsidRPr="001E557B" w:rsidRDefault="00434B29" w:rsidP="001E557B">
      <w:pPr>
        <w:pStyle w:val="NormalHanging12a"/>
        <w:rPr>
          <w:i/>
          <w:iCs/>
          <w:szCs w:val="24"/>
        </w:rPr>
      </w:pPr>
      <w:r w:rsidRPr="001E557B">
        <w:rPr>
          <w:b/>
          <w:bCs/>
          <w:i/>
          <w:szCs w:val="24"/>
        </w:rPr>
        <w:t>Potenciál řešení biologické ochrany</w:t>
      </w:r>
    </w:p>
    <w:p w14:paraId="2CAE783F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26.</w:t>
      </w:r>
      <w:r w:rsidRPr="001E557B">
        <w:rPr>
          <w:szCs w:val="24"/>
        </w:rPr>
        <w:tab/>
        <w:t xml:space="preserve">uznává, že přístupy biologické ochrany mají velký potenciál, pokud jde o snižování závislosti na konvenčních přípravcích na ochranu rostlin; konstatuje, že řešení biologické ochrany mohou doplňovat konvenční přípravky na ochranu rostlin, pokud je věnována náležitá pozornost, což z nich činí užitečný doplněk širokého a vyváženého souboru nástrojů pro zemědělce spolu s dalšími metodami ochrany plodin; zdůrazňuje, že specifické rysy organismů pro biologickou ochranu způsobují, že mají jiný rizikový profil, takže mohou nabízet cílené působení s menšími nezamýšlenými nebo zbytkovými účinky, díky čemuž jsou slučitelnější s integrovanou ochranou rostlin a zejména s postupy ekologického zemědělství; trvá na tom, že širší využívání biologické ochrany tak může významně přispět k dosažení cílů EU v oblasti životního prostředí, potravinového zabezpečení a zdraví a zároveň zachovat zemědělskou produktivitu a zajistit, aby měli zemědělci stále k dispozici účinné a cenově dostupné alternativy na ochranu svých plodin; </w:t>
      </w:r>
    </w:p>
    <w:p w14:paraId="3C47DDC8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27.</w:t>
      </w:r>
      <w:r w:rsidRPr="001E557B">
        <w:rPr>
          <w:szCs w:val="24"/>
        </w:rPr>
        <w:tab/>
        <w:t>konstatuje, že usnadnění povolování a používání biologické ochrany by mělo být spojeno s větším využíváním integrované ochrany rostlin a snížením rizik spojených s konvenčními přípravky na ochranu rostlin a závislosti na nich;</w:t>
      </w:r>
    </w:p>
    <w:p w14:paraId="2C1413C7" w14:textId="2E33A312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2</w:t>
      </w:r>
      <w:r w:rsidR="004D5D64">
        <w:rPr>
          <w:szCs w:val="24"/>
        </w:rPr>
        <w:t>8</w:t>
      </w:r>
      <w:r w:rsidRPr="001E557B">
        <w:rPr>
          <w:szCs w:val="24"/>
        </w:rPr>
        <w:t>.</w:t>
      </w:r>
      <w:r w:rsidRPr="001E557B">
        <w:rPr>
          <w:szCs w:val="24"/>
        </w:rPr>
        <w:tab/>
        <w:t xml:space="preserve">vyzývá Komisi, aby zajistila účinné provádění a prosazování udržitelného používání pesticidů podle směrnice 2009/128/ES a nařízení (ES) č. 1107/2009, zejména pokud jde o včasné zpracování žádostí o povolení a integrovanou ochranu rostlin; konstatuje, že v rámci přístupu integrované ochrany rostlin mají zemědělci stále možnost používat </w:t>
      </w:r>
      <w:r w:rsidRPr="001E557B">
        <w:rPr>
          <w:szCs w:val="24"/>
        </w:rPr>
        <w:lastRenderedPageBreak/>
        <w:t>povolené konvenční přípravky, u nichž byly splněny všechny bezpečnostní požadavky na zdraví a životní prostředí;</w:t>
      </w:r>
    </w:p>
    <w:p w14:paraId="19479622" w14:textId="77777777" w:rsidR="00434B29" w:rsidRPr="001E557B" w:rsidRDefault="00434B29" w:rsidP="001E557B">
      <w:pPr>
        <w:spacing w:after="240"/>
        <w:rPr>
          <w:b/>
          <w:bCs/>
          <w:i/>
          <w:iCs/>
          <w:szCs w:val="24"/>
        </w:rPr>
      </w:pPr>
      <w:r w:rsidRPr="001E557B">
        <w:rPr>
          <w:b/>
          <w:i/>
          <w:szCs w:val="24"/>
        </w:rPr>
        <w:t xml:space="preserve">Posouzení výkonnostních kapacit a zdrojů </w:t>
      </w:r>
    </w:p>
    <w:p w14:paraId="6A574BD9" w14:textId="0E03BE70" w:rsidR="00434B29" w:rsidRPr="001E557B" w:rsidRDefault="004D5D64" w:rsidP="001E557B">
      <w:pPr>
        <w:pStyle w:val="NormalHanging12a"/>
        <w:rPr>
          <w:szCs w:val="24"/>
        </w:rPr>
      </w:pPr>
      <w:r>
        <w:rPr>
          <w:szCs w:val="24"/>
        </w:rPr>
        <w:t>29</w:t>
      </w:r>
      <w:r w:rsidR="00434B29" w:rsidRPr="001E557B">
        <w:rPr>
          <w:szCs w:val="24"/>
        </w:rPr>
        <w:t>.</w:t>
      </w:r>
      <w:r w:rsidR="00434B29" w:rsidRPr="001E557B">
        <w:rPr>
          <w:szCs w:val="24"/>
        </w:rPr>
        <w:tab/>
        <w:t>vyzývá Komisi a členské státy, aby posoudily své správní výkonnostní a institucionální kapacity a přiměřenost zdrojů přidělených úřadu EFSA a příslušným vnitrostátním orgánům, aby mohly plnit své úkoly; poukazuje na to, že je třeba investovat do schopnosti členských států a úřadu EFSA provádět jejich (opětovné) posuzování;</w:t>
      </w:r>
    </w:p>
    <w:p w14:paraId="3205B832" w14:textId="40AD7A72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3</w:t>
      </w:r>
      <w:r w:rsidR="004D5D64">
        <w:rPr>
          <w:szCs w:val="24"/>
        </w:rPr>
        <w:t>0</w:t>
      </w:r>
      <w:r w:rsidRPr="001E557B">
        <w:rPr>
          <w:szCs w:val="24"/>
        </w:rPr>
        <w:t>.</w:t>
      </w:r>
      <w:r w:rsidRPr="001E557B">
        <w:rPr>
          <w:szCs w:val="24"/>
        </w:rPr>
        <w:tab/>
        <w:t>vyzývá Komisi, aby vyčlenila nezbytné dodatečné finanční prostředky na odbornou přípravu a zaměstnávání dalších zaměstnanců v rámci úřadu EFSA, a to i s vhodnými a specializovanými odbornými znalostmi, a aby v rámci organizační struktury úřadu EFSA pro biologickou ochranu vytvořila specializované a dostatečné zdroje, a zabránila tak zbytečným prodlevám v procesu schvalování účinných látek vykonávajících biologickou ochranu, zajistila individualizovaná posouzení a omezila překážky; vyzývá Komisi, aby přijala vhodná navazující opatření, aby umožnila urychlení schvalovacího postupu a větší využívání biologické ochrany;</w:t>
      </w:r>
    </w:p>
    <w:p w14:paraId="20783361" w14:textId="7777777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b/>
          <w:i/>
          <w:szCs w:val="24"/>
        </w:rPr>
        <w:t>Silné financování ze strany členských států</w:t>
      </w:r>
    </w:p>
    <w:p w14:paraId="3E57C237" w14:textId="5A3F4440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3</w:t>
      </w:r>
      <w:r w:rsidR="004D5D64">
        <w:rPr>
          <w:szCs w:val="24"/>
        </w:rPr>
        <w:t>1</w:t>
      </w:r>
      <w:r w:rsidRPr="001E557B">
        <w:rPr>
          <w:szCs w:val="24"/>
        </w:rPr>
        <w:t>.</w:t>
      </w:r>
      <w:r w:rsidRPr="001E557B">
        <w:rPr>
          <w:szCs w:val="24"/>
        </w:rPr>
        <w:tab/>
        <w:t>vyzývá členské státy, aby zajistily, že příslušným vnitrostátním orgánům bude vyčleněn dostatečný rozpočet, což je zásadně důležité proto, aby se předešlo zbytečným prodlevám v povolovacích postupech v oblasti biologické ochrany a urychlilo se využívání biologické ochrany; trvá na tom, že členské státy by měly zaručit, aby příslušné vnitrostátní orgány měly dostatečný rozpočet, personál i odborné znalosti, aby mohly včas a efektivně provádět jejich (opětovné) posuzování; upozorňuje na přínosy výměny osvědčených postupů mezi členskými státy;</w:t>
      </w:r>
    </w:p>
    <w:p w14:paraId="47C297BD" w14:textId="482A271D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3</w:t>
      </w:r>
      <w:r w:rsidR="004D5D64">
        <w:rPr>
          <w:szCs w:val="24"/>
        </w:rPr>
        <w:t>2</w:t>
      </w:r>
      <w:r w:rsidRPr="001E557B">
        <w:rPr>
          <w:szCs w:val="24"/>
        </w:rPr>
        <w:t>.</w:t>
      </w:r>
      <w:r w:rsidRPr="001E557B">
        <w:rPr>
          <w:szCs w:val="24"/>
        </w:rPr>
        <w:tab/>
        <w:t>vyzývá rovněž Komisi, aby navrhla opatření a identifikovala mechanismy a zdroje na podporu členských států při urychlování jejich povolovacích postupů; v této souvislosti navrhuje, aby Komise vypracovala pokyny týkající se nezbytných a minimálních zdrojů a kapacity, které by byly použitelné ve všech členských státech EU a nezbytné pro posuzování přípravků pro biologickou ochranu;</w:t>
      </w:r>
    </w:p>
    <w:p w14:paraId="0F440CBF" w14:textId="77777777" w:rsidR="00434B29" w:rsidRPr="001E557B" w:rsidRDefault="00434B29" w:rsidP="001E557B">
      <w:pPr>
        <w:pStyle w:val="NormalHanging12a"/>
        <w:rPr>
          <w:b/>
          <w:bCs/>
          <w:i/>
          <w:iCs/>
          <w:szCs w:val="24"/>
        </w:rPr>
      </w:pPr>
      <w:r w:rsidRPr="001E557B">
        <w:rPr>
          <w:b/>
          <w:i/>
          <w:szCs w:val="24"/>
        </w:rPr>
        <w:t>Výzkum a investice</w:t>
      </w:r>
    </w:p>
    <w:p w14:paraId="40A9C21F" w14:textId="142B518A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3</w:t>
      </w:r>
      <w:r w:rsidR="004D5D64">
        <w:rPr>
          <w:szCs w:val="24"/>
        </w:rPr>
        <w:t>3</w:t>
      </w:r>
      <w:r w:rsidRPr="001E557B">
        <w:rPr>
          <w:szCs w:val="24"/>
        </w:rPr>
        <w:t>.</w:t>
      </w:r>
      <w:r w:rsidRPr="001E557B">
        <w:rPr>
          <w:szCs w:val="24"/>
        </w:rPr>
        <w:tab/>
        <w:t>vyzývá Komisi a členské státy, aby podporovaly investice do veřejného a soukromého výzkumu a partnerství pro rozvoj strategií biologické ochrany a integrované ochrany rostlin, mimo jiné prostřednictvím výzkumných středisek, univerzit a regionálních inovačních center, inovačních partnerství EU a stěžejních projektů se zvláštním zaměřením na malé a střední podniky prostřednictvím cílených programů, a pro podporu konkurenčního prostředí, které umožňuje a podporuje inovace EU a snižuje závislost zemědělství EU;</w:t>
      </w:r>
    </w:p>
    <w:p w14:paraId="4B88E4B8" w14:textId="5CE3D1FB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3</w:t>
      </w:r>
      <w:r w:rsidR="004D5D64">
        <w:rPr>
          <w:szCs w:val="24"/>
        </w:rPr>
        <w:t>4</w:t>
      </w:r>
      <w:r w:rsidRPr="001E557B">
        <w:rPr>
          <w:szCs w:val="24"/>
        </w:rPr>
        <w:t>.</w:t>
      </w:r>
      <w:r w:rsidRPr="001E557B">
        <w:rPr>
          <w:rStyle w:val="Strong"/>
          <w:szCs w:val="24"/>
        </w:rPr>
        <w:tab/>
      </w:r>
      <w:r w:rsidRPr="001E557B">
        <w:rPr>
          <w:szCs w:val="24"/>
        </w:rPr>
        <w:t>upozorňuje na význam výzkumu a vývoje v oblasti technologií biologické ochrany v nadcházejících desetiletích, zejména výzkumu zaměřeného na řešení nedostatků v ochraně v konkrétních kombinacích plodin, škůdců a nemocí, pro něž existuje jen málo alternativních řešení ochrany proti škodlivým organismům nebo pro ně žádná taková řešení neexistují, aby se inovační a regulační úsilí nasměrovalo tam, kde je nejvíce zapotřebí;</w:t>
      </w:r>
    </w:p>
    <w:p w14:paraId="5DBB4F4B" w14:textId="77777777" w:rsidR="00434B29" w:rsidRPr="001E557B" w:rsidRDefault="00434B29" w:rsidP="001E557B">
      <w:pPr>
        <w:spacing w:after="240"/>
        <w:rPr>
          <w:b/>
          <w:bCs/>
          <w:i/>
          <w:iCs/>
          <w:szCs w:val="24"/>
        </w:rPr>
      </w:pPr>
      <w:r w:rsidRPr="001E557B">
        <w:rPr>
          <w:b/>
          <w:i/>
          <w:szCs w:val="24"/>
        </w:rPr>
        <w:lastRenderedPageBreak/>
        <w:t xml:space="preserve">Přístup zemědělců ke znalostem </w:t>
      </w:r>
    </w:p>
    <w:p w14:paraId="75DDD206" w14:textId="2AFB628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3</w:t>
      </w:r>
      <w:r w:rsidR="004D5D64">
        <w:rPr>
          <w:szCs w:val="24"/>
        </w:rPr>
        <w:t>5</w:t>
      </w:r>
      <w:r w:rsidRPr="001E557B">
        <w:rPr>
          <w:szCs w:val="24"/>
        </w:rPr>
        <w:t>.</w:t>
      </w:r>
      <w:r w:rsidRPr="001E557B">
        <w:rPr>
          <w:szCs w:val="24"/>
        </w:rPr>
        <w:tab/>
        <w:t>konstatuje, že používání biologické ochrany vyžaduje různé přístupy, znalostní základny a soubory dovedností, zejména pokud jde o péči o prospěšné druhy chránící plodiny; poznamenává, že tato skutečnost je již částečně začleněna do integrované ochrany rostlin a dalších systémů produkce; zdůrazňuje však, že ve spolupráci se zemědělci jsou nezbytné další znalosti, odborná příprava, informace a praktické pokyny týkající se účinného využívání přípravků biologické ochrany;</w:t>
      </w:r>
    </w:p>
    <w:p w14:paraId="59CF31F4" w14:textId="08FF8E71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3</w:t>
      </w:r>
      <w:r w:rsidR="004D5D64">
        <w:rPr>
          <w:szCs w:val="24"/>
        </w:rPr>
        <w:t>6</w:t>
      </w:r>
      <w:r w:rsidRPr="001E557B">
        <w:rPr>
          <w:szCs w:val="24"/>
        </w:rPr>
        <w:t>.</w:t>
      </w:r>
      <w:r w:rsidRPr="001E557B">
        <w:rPr>
          <w:szCs w:val="24"/>
        </w:rPr>
        <w:tab/>
        <w:t>konstatuje, že přetrvávají velké rozdíly v přístupu členských států ke znalostem a poradenským službám; požaduje, aby v rámci nezávislých poradenských systémů, které by měly disponovat odpovídajícími zdroji a být trvale přístupné všem zemědělcům, bylo k dispozici poradenství ohledně využívání a uplatňování různých způsobů biologické ochrany;</w:t>
      </w:r>
    </w:p>
    <w:p w14:paraId="7CBC4E8E" w14:textId="4F083DC5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3</w:t>
      </w:r>
      <w:r w:rsidR="004D5D64">
        <w:rPr>
          <w:szCs w:val="24"/>
        </w:rPr>
        <w:t>7</w:t>
      </w:r>
      <w:r w:rsidRPr="001E557B">
        <w:rPr>
          <w:szCs w:val="24"/>
        </w:rPr>
        <w:t>.</w:t>
      </w:r>
      <w:r w:rsidRPr="001E557B">
        <w:rPr>
          <w:szCs w:val="24"/>
        </w:rPr>
        <w:tab/>
        <w:t>vyzývá Komisi a členské státy, aby ve spolupráci s koncovými uživateli poskytly digitální platformu EU, která bude vycházet z pilotního projektu „INSIGNIA“, včetně dlouhodobého monitorování opylovačů, a úspěšného pilotního projektu „soubor nástrojů integrované ochrany rostlin pro zemědělce“, který inicioval Parlament, pro šíření osvědčených postupů a osvědčených řešení biologické ochrany, jejichž cílem je pomoci zemědělcům činit informovaná rozhodnutí o nejúčinnějším typu biologické ochrany pro strukturu populace škodlivých organismů a půdních a klimatických podmínek dotčeného zemědělského podniku; dále vyzývá Komisi, aby prosazovala širší soubor nástrojů, mimo jiné zajištěním toho, aby tato digitální platforma byla trvalou, přístupnější a stálou iniciativou dostupnou ve všech jazycích EU, a aby zajistila zapojení všech příslušných zúčastněných stran;</w:t>
      </w:r>
    </w:p>
    <w:p w14:paraId="5F1E9386" w14:textId="0A369BAA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3</w:t>
      </w:r>
      <w:r w:rsidR="004D5D64">
        <w:rPr>
          <w:szCs w:val="24"/>
        </w:rPr>
        <w:t>8</w:t>
      </w:r>
      <w:r w:rsidRPr="001E557B">
        <w:rPr>
          <w:szCs w:val="24"/>
        </w:rPr>
        <w:t>.</w:t>
      </w:r>
      <w:r w:rsidRPr="001E557B">
        <w:rPr>
          <w:szCs w:val="24"/>
        </w:rPr>
        <w:tab/>
        <w:t>zdůrazňuje, že je třeba zlepšit přístup ke znalostem prostřednictvím odborné přípravy zemědělců, aby se vybudovala technická kapacita s využitím demonstračních sítí, vzájemné výměny a místní technické podpory a pobídek, včetně finančních, a tak podpořilo bezpečné, účinné a široké využívání biologické ochrany; uznává užitečnost sledování přístupu ke znalostem a šíření osvědčených postupů, pokud jde o využívání biologické ochrany; bere na vědomí stávající možnosti členských států a EU spolufinancovat a podporovat odbornou přípravu zemědělců prostřednictvím investic nebo poradenských služeb v rámci zemědělských poradenských systémů ve společné zemědělské politice; vyzývá Komisi a členské státy, aby poskytovaly odpovídající podporu pro odbornou přípravu v oblasti biologické ochrany, technickou podporu a praktické pokyny a aby zvážily, jak nejlépe usnadnit tuto dobrovolnou odbornou přípravu s cílem motivovat více zemědělců, aby zavedli biologickou ochranu a integrovanou ochranu rostlin;</w:t>
      </w:r>
    </w:p>
    <w:p w14:paraId="330E51EC" w14:textId="77777777" w:rsidR="00434B29" w:rsidRPr="001E557B" w:rsidRDefault="00434B29" w:rsidP="001E557B">
      <w:pPr>
        <w:pStyle w:val="NormalHanging12a"/>
        <w:rPr>
          <w:b/>
          <w:bCs/>
          <w:i/>
          <w:iCs/>
          <w:szCs w:val="24"/>
        </w:rPr>
      </w:pPr>
      <w:r w:rsidRPr="001E557B">
        <w:rPr>
          <w:b/>
          <w:i/>
          <w:szCs w:val="24"/>
        </w:rPr>
        <w:t>Spolupráce mezi všemi aktéry</w:t>
      </w:r>
    </w:p>
    <w:p w14:paraId="4769A732" w14:textId="6BFE8E37" w:rsidR="00434B29" w:rsidRPr="001E557B" w:rsidRDefault="004D5D64" w:rsidP="001E557B">
      <w:pPr>
        <w:pStyle w:val="NormalHanging12a"/>
        <w:rPr>
          <w:szCs w:val="24"/>
        </w:rPr>
      </w:pPr>
      <w:r>
        <w:rPr>
          <w:szCs w:val="24"/>
        </w:rPr>
        <w:t>39</w:t>
      </w:r>
      <w:r w:rsidR="00434B29" w:rsidRPr="001E557B">
        <w:rPr>
          <w:szCs w:val="24"/>
        </w:rPr>
        <w:t>.</w:t>
      </w:r>
      <w:r w:rsidR="00434B29" w:rsidRPr="001E557B">
        <w:rPr>
          <w:szCs w:val="24"/>
        </w:rPr>
        <w:tab/>
        <w:t>vyzývá k intenzivnějšímu vědeckému výzkumu, výměně znalostí, spolupráci a budování kapacit mezi všemi příslušnými aktéry zapojenými do procesu vývoje, schvalování, povolování, využívání a šíření biologické ochrany a osvědčených postupů při uplatňování integrované ochrany rostlin v celé EU a také do procesu výměny znalostí a osvědčených postupů s partnery v zemích mimo EU;</w:t>
      </w:r>
    </w:p>
    <w:p w14:paraId="3B40088C" w14:textId="77777777" w:rsidR="00434B29" w:rsidRPr="001E557B" w:rsidRDefault="00434B29" w:rsidP="001E557B">
      <w:pPr>
        <w:pStyle w:val="NormalHanging12a"/>
        <w:rPr>
          <w:b/>
          <w:bCs/>
          <w:i/>
          <w:iCs/>
          <w:szCs w:val="24"/>
        </w:rPr>
      </w:pPr>
      <w:r w:rsidRPr="001E557B">
        <w:rPr>
          <w:b/>
          <w:i/>
          <w:szCs w:val="24"/>
        </w:rPr>
        <w:t>Financování poradenských systémů</w:t>
      </w:r>
    </w:p>
    <w:p w14:paraId="2294C578" w14:textId="1FA2BC6F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lastRenderedPageBreak/>
        <w:t>4</w:t>
      </w:r>
      <w:r w:rsidR="004D5D64">
        <w:rPr>
          <w:szCs w:val="24"/>
        </w:rPr>
        <w:t>0</w:t>
      </w:r>
      <w:r w:rsidRPr="001E557B">
        <w:rPr>
          <w:szCs w:val="24"/>
        </w:rPr>
        <w:t>.</w:t>
      </w:r>
      <w:r w:rsidRPr="001E557B">
        <w:rPr>
          <w:szCs w:val="24"/>
        </w:rPr>
        <w:tab/>
        <w:t>požaduje, aby byly do národních akčních plánů členských států zahrnuty podrobnosti o financování poradenských systémů, odborné přípravě a kapacitách v oblasti biologické ochrany a integrované ochrany rostlin; zdůrazňuje, že pokud jde o vypracování a dostupnost pokynů pro konkrétní plodiny a škůdce v rámci integrované ochrany rostlin, panuje mezi členskými státy i nadále nejednotnost; vybízí členské státy, aby své národní akční plány revidovaly a posílily přístup zemědělců k pokynům týkajícím se konkrétních plodin a škodlivých organismů, aby odpovídaly regionální situaci a zahrnovaly způsoby biologické ochrany, jejich případné začlenění do programů integrované ochrany rostlin a slučitelnost s jinými přípravky na ochranu rostlin, pokud je to možné a vhodné;</w:t>
      </w:r>
    </w:p>
    <w:p w14:paraId="40684191" w14:textId="77777777" w:rsidR="00434B29" w:rsidRPr="001E557B" w:rsidRDefault="00434B29" w:rsidP="001E557B">
      <w:pPr>
        <w:pStyle w:val="NormalHanging12a"/>
        <w:rPr>
          <w:b/>
          <w:bCs/>
          <w:i/>
          <w:iCs/>
          <w:szCs w:val="24"/>
        </w:rPr>
      </w:pPr>
      <w:r w:rsidRPr="001E557B">
        <w:rPr>
          <w:b/>
          <w:i/>
          <w:szCs w:val="24"/>
        </w:rPr>
        <w:t>Monitorování pokroku</w:t>
      </w:r>
    </w:p>
    <w:p w14:paraId="7AA8419F" w14:textId="4123A9E4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4</w:t>
      </w:r>
      <w:r w:rsidR="004D5D64">
        <w:rPr>
          <w:szCs w:val="24"/>
        </w:rPr>
        <w:t>1</w:t>
      </w:r>
      <w:r w:rsidRPr="001E557B">
        <w:rPr>
          <w:szCs w:val="24"/>
        </w:rPr>
        <w:t>.</w:t>
      </w:r>
      <w:r w:rsidRPr="001E557B">
        <w:rPr>
          <w:szCs w:val="24"/>
        </w:rPr>
        <w:tab/>
        <w:t>vyzývá Komisi, aby pravidelně sledovala uvádění řešení biologické ochrany na trh, jejich dosažitelnost a cenovou dostupnost;</w:t>
      </w:r>
    </w:p>
    <w:p w14:paraId="23EA6AD2" w14:textId="1039792E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4</w:t>
      </w:r>
      <w:r w:rsidR="004D5D64">
        <w:rPr>
          <w:szCs w:val="24"/>
        </w:rPr>
        <w:t>2</w:t>
      </w:r>
      <w:r w:rsidRPr="001E557B">
        <w:rPr>
          <w:szCs w:val="24"/>
        </w:rPr>
        <w:t>.</w:t>
      </w:r>
      <w:r w:rsidRPr="001E557B">
        <w:rPr>
          <w:szCs w:val="24"/>
        </w:rPr>
        <w:tab/>
        <w:t>vyzývá Komisi, aby sledovala pokrok EU a členských států, pokud jde o schvalování a povolování řešení biologické ochrany, a aby se zabývala počtem žádostí, souvisejícími správními kapacitami, počtem zaměstnanců a vyčleněnými rozpočty, a zejména zavedením prioritního postupu s dodatečnými zdroji vyčleněnými na povolování přípravků biologické ochrany, jakmile bude zřízen; vyzývá Komisi, aby zveřejnila zprávu o svých zjištěních a předložila ji Parlamentu a Radě;</w:t>
      </w:r>
    </w:p>
    <w:p w14:paraId="7310D014" w14:textId="77777777" w:rsidR="00434B29" w:rsidRPr="001E557B" w:rsidRDefault="00434B29" w:rsidP="001E557B">
      <w:pPr>
        <w:pStyle w:val="NormalHanging12a"/>
        <w:rPr>
          <w:b/>
          <w:bCs/>
          <w:i/>
          <w:iCs/>
          <w:szCs w:val="24"/>
        </w:rPr>
      </w:pPr>
      <w:r w:rsidRPr="001E557B">
        <w:rPr>
          <w:b/>
          <w:i/>
          <w:szCs w:val="24"/>
        </w:rPr>
        <w:t>Nejvzdálenější regiony</w:t>
      </w:r>
    </w:p>
    <w:p w14:paraId="670B8EA4" w14:textId="07EA9C07" w:rsidR="00434B29" w:rsidRPr="001E557B" w:rsidRDefault="00434B29" w:rsidP="001E557B">
      <w:pPr>
        <w:pStyle w:val="NormalHanging12a"/>
        <w:rPr>
          <w:szCs w:val="24"/>
        </w:rPr>
      </w:pPr>
      <w:r w:rsidRPr="001E557B">
        <w:rPr>
          <w:szCs w:val="24"/>
        </w:rPr>
        <w:t>4</w:t>
      </w:r>
      <w:r w:rsidR="004D5D64">
        <w:rPr>
          <w:szCs w:val="24"/>
        </w:rPr>
        <w:t>3</w:t>
      </w:r>
      <w:r w:rsidRPr="001E557B">
        <w:rPr>
          <w:szCs w:val="24"/>
        </w:rPr>
        <w:t>.</w:t>
      </w:r>
      <w:r w:rsidRPr="001E557B">
        <w:rPr>
          <w:szCs w:val="24"/>
        </w:rPr>
        <w:tab/>
        <w:t xml:space="preserve">vyzývá Komisi a členské státy k zajištění toho, aby nejvzdálenější regiony EU měly z využívání biologické ochrany prospěch tím, že zajistí, aby regulační postupy zohledňovaly jejich jedinečné agroekologické podmínky a profily škodlivých organismů, a že poskytnou cílenou odbornou přípravu, poradenské služby a finanční podporu zemědělcům a malým a středním podnikům v těchto regionech; důrazně vyzývá k vytvoření poradenských a znalostních platforem pro konkrétní plodiny a škůdce, které by odrážely realitu nejvzdálenějších regionů, aby se zlepšil jejich přístup k bezpečným, účinným a udržitelným řešením biologické ochrany; </w:t>
      </w:r>
    </w:p>
    <w:p w14:paraId="5240F560" w14:textId="77777777" w:rsidR="001E557B" w:rsidRPr="001E557B" w:rsidRDefault="001E557B" w:rsidP="001E557B">
      <w:pPr>
        <w:pStyle w:val="NormalHanging12a"/>
        <w:widowControl/>
        <w:ind w:left="0" w:firstLine="0"/>
        <w:jc w:val="center"/>
        <w:rPr>
          <w:szCs w:val="24"/>
        </w:rPr>
      </w:pPr>
      <w:r w:rsidRPr="001E557B">
        <w:rPr>
          <w:szCs w:val="24"/>
        </w:rPr>
        <w:t>°</w:t>
      </w:r>
    </w:p>
    <w:p w14:paraId="6301E258" w14:textId="77777777" w:rsidR="001E557B" w:rsidRPr="001E557B" w:rsidRDefault="001E557B" w:rsidP="001E557B">
      <w:pPr>
        <w:pStyle w:val="NormalHanging12a"/>
        <w:widowControl/>
        <w:ind w:left="0" w:firstLine="0"/>
        <w:jc w:val="center"/>
        <w:rPr>
          <w:szCs w:val="24"/>
        </w:rPr>
      </w:pPr>
      <w:r w:rsidRPr="001E557B">
        <w:rPr>
          <w:szCs w:val="24"/>
        </w:rPr>
        <w:t>°     °</w:t>
      </w:r>
    </w:p>
    <w:p w14:paraId="1D1D56B7" w14:textId="4E706281" w:rsidR="008C75A6" w:rsidRPr="001E557B" w:rsidRDefault="00434B29" w:rsidP="001E557B">
      <w:pPr>
        <w:pStyle w:val="NormalHanging12a"/>
      </w:pPr>
      <w:r w:rsidRPr="001E557B">
        <w:rPr>
          <w:szCs w:val="24"/>
        </w:rPr>
        <w:t>4</w:t>
      </w:r>
      <w:r w:rsidR="004D5D64">
        <w:rPr>
          <w:szCs w:val="24"/>
        </w:rPr>
        <w:t>4</w:t>
      </w:r>
      <w:r w:rsidRPr="001E557B">
        <w:rPr>
          <w:szCs w:val="24"/>
        </w:rPr>
        <w:t>.</w:t>
      </w:r>
      <w:r w:rsidRPr="001E557B">
        <w:rPr>
          <w:szCs w:val="24"/>
        </w:rPr>
        <w:tab/>
        <w:t>pověřuje svou předsedkyni, aby předala toto usnesení Radě a Komisi, jakož i vládám a parlamentům členských</w:t>
      </w:r>
      <w:r w:rsidRPr="001E557B">
        <w:t xml:space="preserve"> států.</w:t>
      </w:r>
    </w:p>
    <w:p w14:paraId="12AF0ADB" w14:textId="310E25F9" w:rsidR="00E365E1" w:rsidRPr="001E557B" w:rsidRDefault="00E365E1" w:rsidP="000B4B20"/>
    <w:sectPr w:rsidR="00E365E1" w:rsidRPr="001E557B" w:rsidSect="008C75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CA18D" w14:textId="77777777" w:rsidR="000B4B20" w:rsidRPr="008C75A6" w:rsidRDefault="000B4B20">
      <w:r w:rsidRPr="008C75A6">
        <w:separator/>
      </w:r>
    </w:p>
  </w:endnote>
  <w:endnote w:type="continuationSeparator" w:id="0">
    <w:p w14:paraId="5DD52B04" w14:textId="77777777" w:rsidR="000B4B20" w:rsidRPr="008C75A6" w:rsidRDefault="000B4B20">
      <w:r w:rsidRPr="008C75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?a??fc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549D1" w14:textId="77777777" w:rsidR="00064002" w:rsidRPr="008C75A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DBC67" w14:textId="77777777" w:rsidR="00064002" w:rsidRPr="008C75A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63E13" w14:textId="77777777" w:rsidR="00064002" w:rsidRPr="008C75A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287F8" w14:textId="77777777" w:rsidR="000B4B20" w:rsidRPr="008C75A6" w:rsidRDefault="000B4B20">
      <w:r w:rsidRPr="008C75A6">
        <w:separator/>
      </w:r>
    </w:p>
  </w:footnote>
  <w:footnote w:type="continuationSeparator" w:id="0">
    <w:p w14:paraId="493E9BBC" w14:textId="77777777" w:rsidR="000B4B20" w:rsidRPr="008C75A6" w:rsidRDefault="000B4B20">
      <w:r w:rsidRPr="008C75A6">
        <w:continuationSeparator/>
      </w:r>
    </w:p>
  </w:footnote>
  <w:footnote w:id="1">
    <w:p w14:paraId="6E3FB327" w14:textId="44B873F6" w:rsidR="00434B29" w:rsidRPr="008C75A6" w:rsidRDefault="00434B29" w:rsidP="008C75A6">
      <w:pPr>
        <w:pStyle w:val="FootnoteText"/>
        <w:ind w:left="567" w:hanging="567"/>
        <w:rPr>
          <w:iCs/>
          <w:sz w:val="24"/>
          <w:lang w:val="cs-CZ"/>
        </w:rPr>
      </w:pPr>
      <w:r w:rsidRPr="008C75A6">
        <w:rPr>
          <w:rStyle w:val="FootnoteReference"/>
          <w:sz w:val="24"/>
          <w:lang w:val="cs-CZ"/>
        </w:rPr>
        <w:footnoteRef/>
      </w:r>
      <w:r w:rsidR="008C75A6" w:rsidRPr="008C75A6">
        <w:rPr>
          <w:sz w:val="24"/>
          <w:lang w:val="cs-CZ"/>
        </w:rPr>
        <w:t xml:space="preserve"> </w:t>
      </w:r>
      <w:r w:rsidR="008C75A6" w:rsidRPr="008C75A6">
        <w:rPr>
          <w:sz w:val="24"/>
          <w:lang w:val="cs-CZ"/>
        </w:rPr>
        <w:tab/>
      </w:r>
      <w:r w:rsidRPr="008C75A6">
        <w:rPr>
          <w:sz w:val="24"/>
          <w:lang w:val="cs-CZ"/>
        </w:rPr>
        <w:t xml:space="preserve">Úř. věst. L 309, 24.11.2009, s. 1, ELI: </w:t>
      </w:r>
      <w:hyperlink r:id="rId1" w:tooltip="Umožňuje přístup k tomuto dokumentu prostřednictvím jeho identifikátoru URI v ELI." w:history="1">
        <w:r w:rsidRPr="008C75A6">
          <w:rPr>
            <w:rStyle w:val="Hyperlink"/>
            <w:sz w:val="24"/>
            <w:lang w:val="cs-CZ"/>
          </w:rPr>
          <w:t>http://data.europa.eu/eli/reg/2009/1107/oj</w:t>
        </w:r>
      </w:hyperlink>
      <w:r w:rsidRPr="008C75A6">
        <w:rPr>
          <w:sz w:val="24"/>
          <w:lang w:val="cs-CZ"/>
        </w:rPr>
        <w:t>.</w:t>
      </w:r>
    </w:p>
  </w:footnote>
  <w:footnote w:id="2">
    <w:p w14:paraId="1CC8DC4D" w14:textId="4DB99566" w:rsidR="00434B29" w:rsidRPr="008C75A6" w:rsidRDefault="00434B29" w:rsidP="008C75A6">
      <w:pPr>
        <w:pStyle w:val="FootnoteText"/>
        <w:ind w:left="567" w:hanging="567"/>
        <w:rPr>
          <w:sz w:val="24"/>
          <w:lang w:val="cs-CZ"/>
        </w:rPr>
      </w:pPr>
      <w:r w:rsidRPr="008C75A6">
        <w:rPr>
          <w:rStyle w:val="FootnoteReference"/>
          <w:sz w:val="24"/>
          <w:lang w:val="cs-CZ"/>
        </w:rPr>
        <w:footnoteRef/>
      </w:r>
      <w:r w:rsidR="008C75A6" w:rsidRPr="008C75A6">
        <w:rPr>
          <w:sz w:val="24"/>
          <w:lang w:val="cs-CZ"/>
        </w:rPr>
        <w:t xml:space="preserve"> </w:t>
      </w:r>
      <w:r w:rsidR="008C75A6" w:rsidRPr="008C75A6">
        <w:rPr>
          <w:sz w:val="24"/>
          <w:lang w:val="cs-CZ"/>
        </w:rPr>
        <w:tab/>
      </w:r>
      <w:r w:rsidRPr="008C75A6">
        <w:rPr>
          <w:sz w:val="24"/>
          <w:lang w:val="cs-CZ"/>
        </w:rPr>
        <w:t>Úř. věst. L 331, 27.12.2022, s. 6, ELI: </w:t>
      </w:r>
      <w:hyperlink r:id="rId2" w:tooltip="Umožňuje přístup k tomuto dokumentu prostřednictvím jeho identifikátoru URI v ELI." w:history="1">
        <w:r w:rsidRPr="008C75A6">
          <w:rPr>
            <w:rStyle w:val="Hyperlink"/>
            <w:sz w:val="24"/>
            <w:lang w:val="cs-CZ"/>
          </w:rPr>
          <w:t>http://data.europa.eu/eli/dec/2022/2572/oj</w:t>
        </w:r>
      </w:hyperlink>
      <w:r w:rsidRPr="008C75A6">
        <w:rPr>
          <w:sz w:val="24"/>
          <w:lang w:val="cs-CZ"/>
        </w:rPr>
        <w:t>.</w:t>
      </w:r>
    </w:p>
  </w:footnote>
  <w:footnote w:id="3">
    <w:p w14:paraId="60B836A2" w14:textId="54D7491F" w:rsidR="00434B29" w:rsidRPr="008C75A6" w:rsidRDefault="00434B29" w:rsidP="008C75A6">
      <w:pPr>
        <w:pStyle w:val="FootnoteText"/>
        <w:ind w:left="567" w:hanging="567"/>
        <w:rPr>
          <w:sz w:val="24"/>
          <w:lang w:val="cs-CZ"/>
        </w:rPr>
      </w:pPr>
      <w:r w:rsidRPr="008C75A6">
        <w:rPr>
          <w:rStyle w:val="FootnoteReference"/>
          <w:sz w:val="24"/>
          <w:lang w:val="cs-CZ"/>
        </w:rPr>
        <w:footnoteRef/>
      </w:r>
      <w:r w:rsidR="008C75A6" w:rsidRPr="008C75A6">
        <w:rPr>
          <w:sz w:val="24"/>
          <w:lang w:val="cs-CZ"/>
        </w:rPr>
        <w:t xml:space="preserve"> </w:t>
      </w:r>
      <w:r w:rsidR="008C75A6" w:rsidRPr="008C75A6">
        <w:rPr>
          <w:sz w:val="24"/>
          <w:lang w:val="cs-CZ"/>
        </w:rPr>
        <w:tab/>
      </w:r>
      <w:r w:rsidRPr="008C75A6">
        <w:rPr>
          <w:sz w:val="24"/>
          <w:lang w:val="cs-CZ"/>
        </w:rPr>
        <w:t>Úř. věst. L 309, 24.11.2009, s. 71, ELI: </w:t>
      </w:r>
      <w:hyperlink r:id="rId3" w:tooltip="Umožňuje přístup k tomuto dokumentu prostřednictvím jeho identifikátoru URI v ELI." w:history="1">
        <w:r w:rsidRPr="008C75A6">
          <w:rPr>
            <w:rStyle w:val="Hyperlink"/>
            <w:sz w:val="24"/>
            <w:lang w:val="cs-CZ"/>
          </w:rPr>
          <w:t>http://data.europa.eu/eli/dir/2009/128/oj</w:t>
        </w:r>
      </w:hyperlink>
      <w:r w:rsidRPr="008C75A6">
        <w:rPr>
          <w:sz w:val="24"/>
          <w:lang w:val="cs-CZ"/>
        </w:rPr>
        <w:t>.</w:t>
      </w:r>
    </w:p>
  </w:footnote>
  <w:footnote w:id="4">
    <w:p w14:paraId="1614DBB1" w14:textId="12047F26" w:rsidR="00434B29" w:rsidRPr="008C75A6" w:rsidRDefault="00434B29" w:rsidP="008C75A6">
      <w:pPr>
        <w:pStyle w:val="FootnoteText"/>
        <w:ind w:left="567" w:hanging="567"/>
        <w:rPr>
          <w:sz w:val="24"/>
          <w:lang w:val="cs-CZ"/>
        </w:rPr>
      </w:pPr>
      <w:r w:rsidRPr="008C75A6">
        <w:rPr>
          <w:rStyle w:val="FootnoteReference"/>
          <w:sz w:val="24"/>
          <w:lang w:val="cs-CZ"/>
        </w:rPr>
        <w:footnoteRef/>
      </w:r>
      <w:r w:rsidR="008C75A6" w:rsidRPr="008C75A6">
        <w:rPr>
          <w:sz w:val="24"/>
          <w:lang w:val="cs-CZ"/>
        </w:rPr>
        <w:t xml:space="preserve"> </w:t>
      </w:r>
      <w:r w:rsidR="008C75A6" w:rsidRPr="008C75A6">
        <w:rPr>
          <w:sz w:val="24"/>
          <w:lang w:val="cs-CZ"/>
        </w:rPr>
        <w:tab/>
      </w:r>
      <w:r w:rsidRPr="008C75A6">
        <w:rPr>
          <w:sz w:val="24"/>
          <w:lang w:val="cs-CZ"/>
        </w:rPr>
        <w:t>Úř. věst. C, C/2024/4227, 24.7.2024, ELI: </w:t>
      </w:r>
      <w:hyperlink r:id="rId4" w:tgtFrame="_blank" w:tooltip="Umožňuje přístup k tomuto dokumentu prostřednictvím jeho identifikátoru URI v ELI." w:history="1">
        <w:r w:rsidRPr="008C75A6">
          <w:rPr>
            <w:rStyle w:val="Hyperlink"/>
            <w:sz w:val="24"/>
            <w:lang w:val="cs-CZ"/>
          </w:rPr>
          <w:t>http://data.europa.eu/eli/C/2024/4227/oj</w:t>
        </w:r>
      </w:hyperlink>
      <w:r w:rsidRPr="008C75A6">
        <w:rPr>
          <w:sz w:val="24"/>
          <w:lang w:val="cs-CZ"/>
        </w:rPr>
        <w:t>.</w:t>
      </w:r>
    </w:p>
  </w:footnote>
  <w:footnote w:id="5">
    <w:p w14:paraId="393CCBED" w14:textId="66BB250C" w:rsidR="00434B29" w:rsidRPr="008C75A6" w:rsidRDefault="00434B29" w:rsidP="008C75A6">
      <w:pPr>
        <w:pStyle w:val="FootnoteText"/>
        <w:ind w:left="567" w:hanging="567"/>
        <w:rPr>
          <w:sz w:val="24"/>
          <w:lang w:val="cs-CZ"/>
        </w:rPr>
      </w:pPr>
      <w:r w:rsidRPr="008C75A6">
        <w:rPr>
          <w:rStyle w:val="FootnoteReference"/>
          <w:sz w:val="24"/>
          <w:lang w:val="cs-CZ"/>
        </w:rPr>
        <w:footnoteRef/>
      </w:r>
      <w:r w:rsidR="008C75A6" w:rsidRPr="008C75A6">
        <w:rPr>
          <w:sz w:val="24"/>
          <w:lang w:val="cs-CZ"/>
        </w:rPr>
        <w:t xml:space="preserve"> </w:t>
      </w:r>
      <w:r w:rsidR="008C75A6" w:rsidRPr="008C75A6">
        <w:rPr>
          <w:sz w:val="24"/>
          <w:lang w:val="cs-CZ"/>
        </w:rPr>
        <w:tab/>
      </w:r>
      <w:r w:rsidRPr="008C75A6">
        <w:rPr>
          <w:sz w:val="24"/>
          <w:lang w:val="cs-CZ"/>
        </w:rPr>
        <w:t>Úř. věst. C 411, 27.11.2020, s. 48.</w:t>
      </w:r>
    </w:p>
  </w:footnote>
  <w:footnote w:id="6">
    <w:p w14:paraId="6C680688" w14:textId="7AD11B56" w:rsidR="00434B29" w:rsidRPr="008C75A6" w:rsidRDefault="00434B29" w:rsidP="008C75A6">
      <w:pPr>
        <w:pStyle w:val="FootnoteText"/>
        <w:ind w:left="567" w:hanging="567"/>
        <w:rPr>
          <w:sz w:val="24"/>
          <w:lang w:val="cs-CZ"/>
        </w:rPr>
      </w:pPr>
      <w:r w:rsidRPr="008C75A6">
        <w:rPr>
          <w:rStyle w:val="FootnoteReference"/>
          <w:sz w:val="24"/>
          <w:lang w:val="cs-CZ"/>
        </w:rPr>
        <w:footnoteRef/>
      </w:r>
      <w:r w:rsidR="008C75A6" w:rsidRPr="008C75A6">
        <w:rPr>
          <w:sz w:val="24"/>
          <w:lang w:val="cs-CZ"/>
        </w:rPr>
        <w:t xml:space="preserve"> </w:t>
      </w:r>
      <w:r w:rsidR="008C75A6" w:rsidRPr="008C75A6">
        <w:rPr>
          <w:sz w:val="24"/>
          <w:lang w:val="cs-CZ"/>
        </w:rPr>
        <w:tab/>
      </w:r>
      <w:hyperlink r:id="rId5" w:history="1">
        <w:r w:rsidRPr="004D5D64">
          <w:rPr>
            <w:rStyle w:val="Hyperlink"/>
            <w:sz w:val="24"/>
            <w:lang w:val="cs-CZ"/>
          </w:rPr>
          <w:t>https://food.ec.europa.eu/plants/pesticides/eu-pesticides-database_en</w:t>
        </w:r>
      </w:hyperlink>
    </w:p>
  </w:footnote>
  <w:footnote w:id="7">
    <w:p w14:paraId="6DCF7B86" w14:textId="42673365" w:rsidR="00434B29" w:rsidRPr="008C75A6" w:rsidRDefault="00434B29" w:rsidP="008C75A6">
      <w:pPr>
        <w:pStyle w:val="FootnoteText"/>
        <w:ind w:left="567" w:hanging="567"/>
        <w:rPr>
          <w:sz w:val="24"/>
          <w:lang w:val="cs-CZ"/>
        </w:rPr>
      </w:pPr>
      <w:r w:rsidRPr="008C75A6">
        <w:rPr>
          <w:rStyle w:val="FootnoteReference"/>
          <w:sz w:val="24"/>
          <w:lang w:val="cs-CZ"/>
        </w:rPr>
        <w:footnoteRef/>
      </w:r>
      <w:r w:rsidR="008C75A6" w:rsidRPr="008C75A6">
        <w:rPr>
          <w:sz w:val="24"/>
          <w:lang w:val="cs-CZ"/>
        </w:rPr>
        <w:t xml:space="preserve"> </w:t>
      </w:r>
      <w:r w:rsidR="008C75A6" w:rsidRPr="008C75A6">
        <w:rPr>
          <w:sz w:val="24"/>
          <w:lang w:val="cs-CZ"/>
        </w:rPr>
        <w:tab/>
      </w:r>
      <w:r w:rsidRPr="008C75A6">
        <w:rPr>
          <w:sz w:val="24"/>
          <w:lang w:val="cs-CZ"/>
        </w:rPr>
        <w:t>Například invazivní charakter nebo alergenicita atd.</w:t>
      </w:r>
    </w:p>
  </w:footnote>
  <w:footnote w:id="8">
    <w:p w14:paraId="4BC2C814" w14:textId="7B425702" w:rsidR="00434B29" w:rsidRPr="008C75A6" w:rsidRDefault="00434B29" w:rsidP="008C75A6">
      <w:pPr>
        <w:pStyle w:val="FootnoteText"/>
        <w:ind w:left="567" w:hanging="567"/>
        <w:rPr>
          <w:sz w:val="24"/>
          <w:lang w:val="cs-CZ"/>
        </w:rPr>
      </w:pPr>
      <w:r w:rsidRPr="008C75A6">
        <w:rPr>
          <w:rStyle w:val="FootnoteReference"/>
          <w:color w:val="000000" w:themeColor="text1"/>
          <w:sz w:val="24"/>
          <w:lang w:val="cs-CZ"/>
        </w:rPr>
        <w:footnoteRef/>
      </w:r>
      <w:r w:rsidR="008C75A6" w:rsidRPr="008C75A6">
        <w:rPr>
          <w:sz w:val="24"/>
          <w:lang w:val="cs-CZ"/>
        </w:rPr>
        <w:t xml:space="preserve"> </w:t>
      </w:r>
      <w:r w:rsidR="008C75A6" w:rsidRPr="008C75A6">
        <w:rPr>
          <w:sz w:val="24"/>
          <w:lang w:val="cs-CZ"/>
        </w:rPr>
        <w:tab/>
      </w:r>
      <w:r w:rsidRPr="008C75A6">
        <w:rPr>
          <w:sz w:val="24"/>
          <w:lang w:val="cs-CZ"/>
        </w:rPr>
        <w:t>Sdělení Komise ze dne 19. února 2025 s názvem „Vize pro zemědělství a potraviny – Společné utváření atraktivního zemědělského a potravinářského odvětví EU pro budoucí generace“ (COM(2025)0075).</w:t>
      </w:r>
    </w:p>
  </w:footnote>
  <w:footnote w:id="9">
    <w:p w14:paraId="0A827F9C" w14:textId="1111B90F" w:rsidR="00434B29" w:rsidRPr="008C75A6" w:rsidRDefault="00434B29" w:rsidP="008C75A6">
      <w:pPr>
        <w:pStyle w:val="FootnoteText"/>
        <w:ind w:left="567" w:hanging="567"/>
        <w:rPr>
          <w:sz w:val="24"/>
          <w:lang w:val="cs-CZ"/>
        </w:rPr>
      </w:pPr>
      <w:r w:rsidRPr="008C75A6">
        <w:rPr>
          <w:rStyle w:val="FootnoteReference"/>
          <w:color w:val="000000" w:themeColor="text1"/>
          <w:sz w:val="24"/>
          <w:lang w:val="cs-CZ"/>
        </w:rPr>
        <w:footnoteRef/>
      </w:r>
      <w:r w:rsidR="008C75A6" w:rsidRPr="008C75A6">
        <w:rPr>
          <w:sz w:val="24"/>
          <w:lang w:val="cs-CZ"/>
        </w:rPr>
        <w:t xml:space="preserve"> </w:t>
      </w:r>
      <w:r w:rsidR="008C75A6" w:rsidRPr="008C75A6">
        <w:rPr>
          <w:sz w:val="24"/>
          <w:lang w:val="cs-CZ"/>
        </w:rPr>
        <w:tab/>
      </w:r>
      <w:r w:rsidRPr="008C75A6">
        <w:rPr>
          <w:sz w:val="24"/>
          <w:lang w:val="cs-CZ"/>
        </w:rPr>
        <w:t>Nařízení Evropského parlamentu a Rady (EU) 2018/848 ze dne 30. května 2018 o ekologické produkci a označování ekologických produktů a o zrušení nařízení Rady (ES) č. 834/2007 (Úř. věst. L 150, 14.6.2018, s. 1, ELI:</w:t>
      </w:r>
      <w:r w:rsidRPr="008C75A6">
        <w:rPr>
          <w:color w:val="000000" w:themeColor="text1"/>
          <w:sz w:val="24"/>
          <w:lang w:val="cs-CZ"/>
        </w:rPr>
        <w:t> </w:t>
      </w:r>
      <w:hyperlink r:id="rId6" w:tooltip="Umožňuje přístup k tomuto dokumentu prostřednictvím jeho identifikátoru URI v ELI." w:history="1">
        <w:r w:rsidRPr="00356FCF">
          <w:rPr>
            <w:rStyle w:val="Hyperlink"/>
            <w:color w:val="0000CC"/>
            <w:sz w:val="24"/>
            <w:lang w:val="cs-CZ"/>
          </w:rPr>
          <w:t>http://data.europa.eu/eli/reg/2018/848/oj</w:t>
        </w:r>
      </w:hyperlink>
      <w:r w:rsidRPr="008C75A6">
        <w:rPr>
          <w:color w:val="000000" w:themeColor="text1"/>
          <w:sz w:val="24"/>
          <w:lang w:val="cs-CZ"/>
        </w:rPr>
        <w:t>).</w:t>
      </w:r>
    </w:p>
  </w:footnote>
  <w:footnote w:id="10">
    <w:p w14:paraId="4B663D11" w14:textId="2B00E129" w:rsidR="00434B29" w:rsidRPr="008C75A6" w:rsidRDefault="00434B29" w:rsidP="008C75A6">
      <w:pPr>
        <w:pStyle w:val="FootnoteText"/>
        <w:ind w:left="567" w:hanging="567"/>
        <w:rPr>
          <w:sz w:val="24"/>
          <w:lang w:val="cs-CZ"/>
        </w:rPr>
      </w:pPr>
      <w:r w:rsidRPr="008C75A6">
        <w:rPr>
          <w:rStyle w:val="FootnoteReference"/>
          <w:sz w:val="24"/>
          <w:lang w:val="cs-CZ"/>
        </w:rPr>
        <w:footnoteRef/>
      </w:r>
      <w:r w:rsidR="008C75A6" w:rsidRPr="008C75A6">
        <w:rPr>
          <w:sz w:val="24"/>
          <w:lang w:val="cs-CZ"/>
        </w:rPr>
        <w:t xml:space="preserve"> </w:t>
      </w:r>
      <w:r w:rsidR="008C75A6" w:rsidRPr="008C75A6">
        <w:rPr>
          <w:sz w:val="24"/>
          <w:lang w:val="cs-CZ"/>
        </w:rPr>
        <w:tab/>
      </w:r>
      <w:r w:rsidRPr="008C75A6">
        <w:rPr>
          <w:sz w:val="24"/>
          <w:lang w:val="cs-CZ"/>
        </w:rPr>
        <w:t>Například podle čl. 4 odst. 1 až 4 a přílohy II bodu 3.6 až 10 nařízení (ES) č. 1107/2009.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B154D" w14:textId="77777777" w:rsidR="00064002" w:rsidRPr="008C75A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1F4BF" w14:textId="77777777" w:rsidR="00064002" w:rsidRPr="008C75A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7289C" w14:textId="77777777" w:rsidR="00064002" w:rsidRPr="008C75A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52210609">
    <w:abstractNumId w:val="9"/>
  </w:num>
  <w:num w:numId="2" w16cid:durableId="1804419895">
    <w:abstractNumId w:val="9"/>
  </w:num>
  <w:num w:numId="3" w16cid:durableId="1046176799">
    <w:abstractNumId w:val="7"/>
  </w:num>
  <w:num w:numId="4" w16cid:durableId="1894661184">
    <w:abstractNumId w:val="7"/>
  </w:num>
  <w:num w:numId="5" w16cid:durableId="516388992">
    <w:abstractNumId w:val="6"/>
  </w:num>
  <w:num w:numId="6" w16cid:durableId="1597245806">
    <w:abstractNumId w:val="6"/>
  </w:num>
  <w:num w:numId="7" w16cid:durableId="1727341762">
    <w:abstractNumId w:val="5"/>
  </w:num>
  <w:num w:numId="8" w16cid:durableId="128011370">
    <w:abstractNumId w:val="5"/>
  </w:num>
  <w:num w:numId="9" w16cid:durableId="1182280689">
    <w:abstractNumId w:val="4"/>
  </w:num>
  <w:num w:numId="10" w16cid:durableId="2094275587">
    <w:abstractNumId w:val="4"/>
  </w:num>
  <w:num w:numId="11" w16cid:durableId="444277143">
    <w:abstractNumId w:val="8"/>
  </w:num>
  <w:num w:numId="12" w16cid:durableId="151069946">
    <w:abstractNumId w:val="8"/>
  </w:num>
  <w:num w:numId="13" w16cid:durableId="1515413998">
    <w:abstractNumId w:val="3"/>
  </w:num>
  <w:num w:numId="14" w16cid:durableId="1186216211">
    <w:abstractNumId w:val="3"/>
  </w:num>
  <w:num w:numId="15" w16cid:durableId="1768689882">
    <w:abstractNumId w:val="2"/>
  </w:num>
  <w:num w:numId="16" w16cid:durableId="1787965562">
    <w:abstractNumId w:val="2"/>
  </w:num>
  <w:num w:numId="17" w16cid:durableId="1439258662">
    <w:abstractNumId w:val="1"/>
  </w:num>
  <w:num w:numId="18" w16cid:durableId="130632054">
    <w:abstractNumId w:val="1"/>
  </w:num>
  <w:num w:numId="19" w16cid:durableId="1054961671">
    <w:abstractNumId w:val="0"/>
  </w:num>
  <w:num w:numId="20" w16cid:durableId="1961908931">
    <w:abstractNumId w:val="0"/>
  </w:num>
  <w:num w:numId="21" w16cid:durableId="1834831951">
    <w:abstractNumId w:val="9"/>
  </w:num>
  <w:num w:numId="22" w16cid:durableId="1698658017">
    <w:abstractNumId w:val="7"/>
  </w:num>
  <w:num w:numId="23" w16cid:durableId="1160582791">
    <w:abstractNumId w:val="6"/>
  </w:num>
  <w:num w:numId="24" w16cid:durableId="829565787">
    <w:abstractNumId w:val="5"/>
  </w:num>
  <w:num w:numId="25" w16cid:durableId="357043999">
    <w:abstractNumId w:val="4"/>
  </w:num>
  <w:num w:numId="26" w16cid:durableId="1407721863">
    <w:abstractNumId w:val="8"/>
  </w:num>
  <w:num w:numId="27" w16cid:durableId="528686349">
    <w:abstractNumId w:val="3"/>
  </w:num>
  <w:num w:numId="28" w16cid:durableId="423183670">
    <w:abstractNumId w:val="2"/>
  </w:num>
  <w:num w:numId="29" w16cid:durableId="701057651">
    <w:abstractNumId w:val="1"/>
  </w:num>
  <w:num w:numId="30" w16cid:durableId="1396968482">
    <w:abstractNumId w:val="0"/>
  </w:num>
  <w:num w:numId="31" w16cid:durableId="240917010">
    <w:abstractNumId w:val="9"/>
  </w:num>
  <w:num w:numId="32" w16cid:durableId="1575360486">
    <w:abstractNumId w:val="7"/>
  </w:num>
  <w:num w:numId="33" w16cid:durableId="1034766731">
    <w:abstractNumId w:val="6"/>
  </w:num>
  <w:num w:numId="34" w16cid:durableId="1353874692">
    <w:abstractNumId w:val="5"/>
  </w:num>
  <w:num w:numId="35" w16cid:durableId="115612085">
    <w:abstractNumId w:val="4"/>
  </w:num>
  <w:num w:numId="36" w16cid:durableId="1577664931">
    <w:abstractNumId w:val="8"/>
  </w:num>
  <w:num w:numId="37" w16cid:durableId="1318609401">
    <w:abstractNumId w:val="3"/>
  </w:num>
  <w:num w:numId="38" w16cid:durableId="289020853">
    <w:abstractNumId w:val="2"/>
  </w:num>
  <w:num w:numId="39" w16cid:durableId="643461627">
    <w:abstractNumId w:val="1"/>
  </w:num>
  <w:num w:numId="40" w16cid:durableId="1897234237">
    <w:abstractNumId w:val="0"/>
  </w:num>
  <w:num w:numId="41" w16cid:durableId="1486781707">
    <w:abstractNumId w:val="10"/>
  </w:num>
  <w:num w:numId="42" w16cid:durableId="1122846217">
    <w:abstractNumId w:val="10"/>
  </w:num>
  <w:num w:numId="43" w16cid:durableId="65298254">
    <w:abstractNumId w:val="10"/>
  </w:num>
  <w:num w:numId="44" w16cid:durableId="1776947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4/2025"/>
    <w:docVar w:name="dvlangue" w:val="CS"/>
    <w:docVar w:name="dvnumam" w:val="0"/>
    <w:docVar w:name="dvpe" w:val="774.306"/>
    <w:docVar w:name="dvrapporteur" w:val="Zpravodajové: "/>
    <w:docVar w:name="dvtitre" w:val="Usnesení Evropského parlamentu ze dne 25. listopadu 2025 o zajištění rychlejší registrace a využívání organismů pro biologickou ochranu(2025/2086(INI))"/>
  </w:docVars>
  <w:rsids>
    <w:rsidRoot w:val="000B4B20"/>
    <w:rsid w:val="00002272"/>
    <w:rsid w:val="00064002"/>
    <w:rsid w:val="000677B9"/>
    <w:rsid w:val="000831BA"/>
    <w:rsid w:val="000A42CC"/>
    <w:rsid w:val="000B4B20"/>
    <w:rsid w:val="000E7DD9"/>
    <w:rsid w:val="0010095E"/>
    <w:rsid w:val="00125B37"/>
    <w:rsid w:val="00187494"/>
    <w:rsid w:val="001E557B"/>
    <w:rsid w:val="001F32AE"/>
    <w:rsid w:val="002767FF"/>
    <w:rsid w:val="002B18FE"/>
    <w:rsid w:val="002B5493"/>
    <w:rsid w:val="00343214"/>
    <w:rsid w:val="00356FCF"/>
    <w:rsid w:val="00361C00"/>
    <w:rsid w:val="00395FA1"/>
    <w:rsid w:val="003E15D4"/>
    <w:rsid w:val="003F0A37"/>
    <w:rsid w:val="00411CCE"/>
    <w:rsid w:val="0041666E"/>
    <w:rsid w:val="00421060"/>
    <w:rsid w:val="00434B29"/>
    <w:rsid w:val="00471C19"/>
    <w:rsid w:val="004867E3"/>
    <w:rsid w:val="00494A28"/>
    <w:rsid w:val="004A3D51"/>
    <w:rsid w:val="004C0004"/>
    <w:rsid w:val="004C5D52"/>
    <w:rsid w:val="004D5D64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75A6"/>
    <w:rsid w:val="00930C23"/>
    <w:rsid w:val="0093193B"/>
    <w:rsid w:val="009509D8"/>
    <w:rsid w:val="00950B64"/>
    <w:rsid w:val="00981893"/>
    <w:rsid w:val="009F0D22"/>
    <w:rsid w:val="00A04E7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778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F4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BAE2F6"/>
  <w15:chartTrackingRefBased/>
  <w15:docId w15:val="{C001DE2F-8333-4F97-82D0-2BAEC8EBA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34B29"/>
    <w:pPr>
      <w:spacing w:after="240"/>
      <w:ind w:left="567" w:hanging="567"/>
    </w:pPr>
  </w:style>
  <w:style w:type="paragraph" w:customStyle="1" w:styleId="EPComma">
    <w:name w:val="EPComma"/>
    <w:basedOn w:val="Normal"/>
    <w:rsid w:val="00434B29"/>
    <w:pPr>
      <w:spacing w:before="480" w:after="240"/>
    </w:pPr>
  </w:style>
  <w:style w:type="character" w:styleId="Hyperlink">
    <w:name w:val="Hyperlink"/>
    <w:basedOn w:val="DefaultParagraphFont"/>
    <w:unhideWhenUsed/>
    <w:rsid w:val="00434B2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34B29"/>
    <w:pPr>
      <w:widowControl/>
      <w:spacing w:before="100" w:beforeAutospacing="1" w:after="100" w:afterAutospacing="1"/>
    </w:pPr>
    <w:rPr>
      <w:szCs w:val="24"/>
    </w:rPr>
  </w:style>
  <w:style w:type="character" w:styleId="Strong">
    <w:name w:val="Strong"/>
    <w:basedOn w:val="DefaultParagraphFont"/>
    <w:uiPriority w:val="22"/>
    <w:qFormat/>
    <w:rsid w:val="00434B29"/>
    <w:rPr>
      <w:b/>
      <w:bCs/>
    </w:rPr>
  </w:style>
  <w:style w:type="character" w:customStyle="1" w:styleId="NormalHanging12aChar">
    <w:name w:val="NormalHanging12a Char"/>
    <w:basedOn w:val="DefaultParagraphFont"/>
    <w:link w:val="NormalHanging12a"/>
    <w:rsid w:val="00434B29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4D5D6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D5D64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09/128/oj" TargetMode="External"/><Relationship Id="rId2" Type="http://schemas.openxmlformats.org/officeDocument/2006/relationships/hyperlink" Target="http://data.europa.eu/eli/dec/2022/2572/oj" TargetMode="External"/><Relationship Id="rId1" Type="http://schemas.openxmlformats.org/officeDocument/2006/relationships/hyperlink" Target="http://data.europa.eu/eli/reg/2009/1107/oj" TargetMode="External"/><Relationship Id="rId6" Type="http://schemas.openxmlformats.org/officeDocument/2006/relationships/hyperlink" Target="http://data.europa.eu/eli/reg/2018/848/oj" TargetMode="External"/><Relationship Id="rId5" Type="http://schemas.openxmlformats.org/officeDocument/2006/relationships/hyperlink" Target="https://food.ec.europa.eu/plants/pesticides/eu-pesticides-database_en" TargetMode="External"/><Relationship Id="rId4" Type="http://schemas.openxmlformats.org/officeDocument/2006/relationships/hyperlink" Target="http://data.europa.eu/eli/C/2024/422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4921</Words>
  <Characters>30532</Characters>
  <Application>Microsoft Office Word</Application>
  <DocSecurity>0</DocSecurity>
  <Lines>3392</Lines>
  <Paragraphs>3222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SMAKALOVA Sona</cp:lastModifiedBy>
  <cp:revision>2</cp:revision>
  <cp:lastPrinted>2004-11-19T15:42:00Z</cp:lastPrinted>
  <dcterms:created xsi:type="dcterms:W3CDTF">2026-01-21T10:13:00Z</dcterms:created>
  <dcterms:modified xsi:type="dcterms:W3CDTF">2026-01-21T10:13:00Z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A10-0234/2025</vt:lpwstr>
  </property>
  <property fmtid="{D5CDD505-2E9C-101B-9397-08002B2CF9AE}" pid="4" name="&lt;Type&gt;">
    <vt:lpwstr>RR</vt:lpwstr>
  </property>
</Properties>
</file>