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6FB8" w14:paraId="4AE1AD91" w14:textId="77777777" w:rsidTr="0010095E">
        <w:trPr>
          <w:trHeight w:hRule="exact" w:val="1418"/>
        </w:trPr>
        <w:tc>
          <w:tcPr>
            <w:tcW w:w="6804" w:type="dxa"/>
            <w:shd w:val="clear" w:color="auto" w:fill="auto"/>
            <w:vAlign w:val="center"/>
          </w:tcPr>
          <w:p w14:paraId="5BA8386B" w14:textId="77777777" w:rsidR="00751A4A" w:rsidRPr="00CE6FB8" w:rsidRDefault="006F047E" w:rsidP="0010095E">
            <w:pPr>
              <w:pStyle w:val="EPName"/>
            </w:pPr>
            <w:r w:rsidRPr="00CE6FB8">
              <w:t>Euroopan parlamentti</w:t>
            </w:r>
          </w:p>
          <w:p w14:paraId="5F8957A1" w14:textId="77777777" w:rsidR="00751A4A" w:rsidRPr="00CE6FB8" w:rsidRDefault="005F1B17" w:rsidP="005F1B17">
            <w:pPr>
              <w:pStyle w:val="EPTerm"/>
              <w:rPr>
                <w:rStyle w:val="HideTWBExt"/>
                <w:noProof w:val="0"/>
                <w:vanish w:val="0"/>
                <w:color w:val="auto"/>
              </w:rPr>
            </w:pPr>
            <w:r w:rsidRPr="00CE6FB8">
              <w:t>2024</w:t>
            </w:r>
            <w:r w:rsidR="00817416" w:rsidRPr="00CE6FB8">
              <w:t>-202</w:t>
            </w:r>
            <w:r w:rsidRPr="00CE6FB8">
              <w:t>9</w:t>
            </w:r>
          </w:p>
        </w:tc>
        <w:tc>
          <w:tcPr>
            <w:tcW w:w="2268" w:type="dxa"/>
            <w:shd w:val="clear" w:color="auto" w:fill="auto"/>
          </w:tcPr>
          <w:p w14:paraId="32F3B7DF" w14:textId="77777777" w:rsidR="00751A4A" w:rsidRPr="00CE6FB8" w:rsidRDefault="00187494" w:rsidP="0010095E">
            <w:pPr>
              <w:pStyle w:val="EPLogo"/>
            </w:pPr>
            <w:r w:rsidRPr="00CE6FB8">
              <w:rPr>
                <w:noProof/>
                <w:lang w:eastAsia="ja-JP"/>
              </w:rPr>
              <w:drawing>
                <wp:inline distT="0" distB="0" distL="0" distR="0" wp14:anchorId="253DFDA3" wp14:editId="56381F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CC7F6C" w14:textId="77777777" w:rsidR="00D058B8" w:rsidRPr="00CE6FB8" w:rsidRDefault="00D058B8" w:rsidP="004C5D52">
      <w:pPr>
        <w:pStyle w:val="LineTop"/>
      </w:pPr>
    </w:p>
    <w:p w14:paraId="164133B8" w14:textId="77777777" w:rsidR="00680577" w:rsidRPr="00CE6FB8" w:rsidRDefault="006F047E" w:rsidP="00680577">
      <w:pPr>
        <w:pStyle w:val="EPBodyTA1"/>
      </w:pPr>
      <w:r w:rsidRPr="00CE6FB8">
        <w:t>HYVÄKSYTYT TEKSTIT</w:t>
      </w:r>
    </w:p>
    <w:p w14:paraId="5E69D962" w14:textId="77777777" w:rsidR="00D058B8" w:rsidRPr="00CE6FB8" w:rsidRDefault="00D058B8" w:rsidP="00D058B8">
      <w:pPr>
        <w:pStyle w:val="LineBottom"/>
      </w:pPr>
    </w:p>
    <w:p w14:paraId="1DC55FA4" w14:textId="1C94B5B0" w:rsidR="006F047E" w:rsidRPr="00CE6FB8" w:rsidRDefault="006F047E" w:rsidP="006F047E">
      <w:pPr>
        <w:pStyle w:val="ATHeading1"/>
      </w:pPr>
      <w:bookmarkStart w:id="0" w:name="TANumber"/>
      <w:r w:rsidRPr="00CE6FB8">
        <w:t>P10_TA(2025)0</w:t>
      </w:r>
      <w:r w:rsidR="00891123" w:rsidRPr="00CE6FB8">
        <w:t>284</w:t>
      </w:r>
      <w:bookmarkEnd w:id="0"/>
    </w:p>
    <w:p w14:paraId="37F2E4A7" w14:textId="45FFCF09" w:rsidR="006F047E" w:rsidRPr="00CE6FB8" w:rsidRDefault="0037330E" w:rsidP="006F047E">
      <w:pPr>
        <w:pStyle w:val="ATHeading2"/>
      </w:pPr>
      <w:bookmarkStart w:id="1" w:name="title"/>
      <w:r w:rsidRPr="00CE6FB8">
        <w:rPr>
          <w:bCs/>
        </w:rPr>
        <w:t xml:space="preserve">Torjuntaeliöiden </w:t>
      </w:r>
      <w:r w:rsidR="00D7445A" w:rsidRPr="00CE6FB8">
        <w:rPr>
          <w:bCs/>
        </w:rPr>
        <w:t>nopeamman rekisteröinnin ja käyttöönoton varmistaminen</w:t>
      </w:r>
      <w:bookmarkEnd w:id="1"/>
    </w:p>
    <w:p w14:paraId="7C3ABED8" w14:textId="6C727745" w:rsidR="006F047E" w:rsidRPr="00CE6FB8" w:rsidRDefault="006F047E" w:rsidP="006F047E">
      <w:pPr>
        <w:rPr>
          <w:i/>
          <w:vanish/>
        </w:rPr>
      </w:pPr>
      <w:r w:rsidRPr="00CE6FB8">
        <w:rPr>
          <w:i/>
        </w:rPr>
        <w:fldChar w:fldCharType="begin"/>
      </w:r>
      <w:r w:rsidRPr="00CE6FB8">
        <w:rPr>
          <w:i/>
        </w:rPr>
        <w:instrText xml:space="preserve"> TC"(</w:instrText>
      </w:r>
      <w:bookmarkStart w:id="2" w:name="DocNumber"/>
      <w:r w:rsidRPr="00CE6FB8">
        <w:rPr>
          <w:i/>
        </w:rPr>
        <w:instrText>A10-0234/2025</w:instrText>
      </w:r>
      <w:bookmarkEnd w:id="2"/>
      <w:r w:rsidRPr="00CE6FB8">
        <w:rPr>
          <w:i/>
        </w:rPr>
        <w:instrText xml:space="preserve"> - Esittelijä</w:instrText>
      </w:r>
      <w:r w:rsidR="00A4060F" w:rsidRPr="00CE6FB8">
        <w:rPr>
          <w:i/>
        </w:rPr>
        <w:instrText>t</w:instrText>
      </w:r>
      <w:r w:rsidRPr="00CE6FB8">
        <w:rPr>
          <w:i/>
        </w:rPr>
        <w:instrText xml:space="preserve">: Alexander Bernhuber, Anna Strolenberg)"\l3 \n&gt; \* MERGEFORMAT </w:instrText>
      </w:r>
      <w:r w:rsidRPr="00CE6FB8">
        <w:rPr>
          <w:i/>
        </w:rPr>
        <w:fldChar w:fldCharType="end"/>
      </w:r>
    </w:p>
    <w:p w14:paraId="74B85F0C" w14:textId="77777777" w:rsidR="006F047E" w:rsidRPr="00CE6FB8" w:rsidRDefault="006F047E" w:rsidP="006F047E">
      <w:pPr>
        <w:rPr>
          <w:vanish/>
        </w:rPr>
      </w:pPr>
      <w:bookmarkStart w:id="3" w:name="Commission"/>
      <w:r w:rsidRPr="00CE6FB8">
        <w:rPr>
          <w:vanish/>
        </w:rPr>
        <w:t>Ympäristön, ilmaston ja elintarvikkeiden turvallisuuden valiokunta, Maatalouden ja maaseudun kehittämisen valiokunta</w:t>
      </w:r>
      <w:bookmarkEnd w:id="3"/>
    </w:p>
    <w:p w14:paraId="602355DB" w14:textId="77777777" w:rsidR="006F047E" w:rsidRPr="00CE6FB8" w:rsidRDefault="006F047E" w:rsidP="006F047E">
      <w:pPr>
        <w:rPr>
          <w:vanish/>
        </w:rPr>
      </w:pPr>
      <w:bookmarkStart w:id="4" w:name="PE"/>
      <w:r w:rsidRPr="00CE6FB8">
        <w:rPr>
          <w:vanish/>
        </w:rPr>
        <w:t>PE774.306</w:t>
      </w:r>
      <w:bookmarkEnd w:id="4"/>
    </w:p>
    <w:p w14:paraId="46A18E32" w14:textId="6E2CC90A" w:rsidR="006F047E" w:rsidRPr="00CE6FB8" w:rsidRDefault="006F047E" w:rsidP="006F047E">
      <w:pPr>
        <w:pStyle w:val="ATHeading3"/>
      </w:pPr>
      <w:bookmarkStart w:id="5" w:name="Sujet"/>
      <w:r w:rsidRPr="00CE6FB8">
        <w:t xml:space="preserve">Euroopan parlamentin päätöslauselma </w:t>
      </w:r>
      <w:r w:rsidR="0037330E" w:rsidRPr="00CE6FB8">
        <w:t>25</w:t>
      </w:r>
      <w:r w:rsidRPr="00CE6FB8">
        <w:t xml:space="preserve">. </w:t>
      </w:r>
      <w:r w:rsidR="006A4F00" w:rsidRPr="00CE6FB8">
        <w:t>marras</w:t>
      </w:r>
      <w:r w:rsidRPr="00CE6FB8">
        <w:t>kuuta 2025 torjuntaeliöiden nopeamman rekisteröinnin ja käyttöönoton varmistamisesta</w:t>
      </w:r>
      <w:bookmarkEnd w:id="5"/>
      <w:r w:rsidRPr="00CE6FB8">
        <w:t xml:space="preserve"> </w:t>
      </w:r>
      <w:bookmarkStart w:id="6" w:name="References"/>
      <w:r w:rsidRPr="00CE6FB8">
        <w:t>(2025/2086(INI))</w:t>
      </w:r>
      <w:bookmarkEnd w:id="6"/>
    </w:p>
    <w:p w14:paraId="3AD92F5C" w14:textId="77777777" w:rsidR="000C2AEF" w:rsidRPr="00CE6FB8" w:rsidRDefault="000C2AEF" w:rsidP="006A4F00">
      <w:pPr>
        <w:pStyle w:val="EPComma"/>
        <w:widowControl/>
      </w:pPr>
      <w:r w:rsidRPr="00CE6FB8">
        <w:rPr>
          <w:i/>
        </w:rPr>
        <w:t>Euroopan parlamentti</w:t>
      </w:r>
      <w:r w:rsidRPr="00CE6FB8">
        <w:t>, joka</w:t>
      </w:r>
    </w:p>
    <w:p w14:paraId="38FAA9AD" w14:textId="3B9E2C8D" w:rsidR="000C2AEF" w:rsidRPr="00CE6FB8" w:rsidRDefault="000C2AEF" w:rsidP="006A4F00">
      <w:pPr>
        <w:pStyle w:val="NormalHanging12a"/>
        <w:widowControl/>
      </w:pPr>
      <w:r w:rsidRPr="00CE6FB8">
        <w:t>–</w:t>
      </w:r>
      <w:r w:rsidRPr="00CE6FB8">
        <w:tab/>
        <w:t>ottaa huomioon Euroopan unionin toiminnasta tehdyn sopimuksen 114 ja 191 artiklan,</w:t>
      </w:r>
    </w:p>
    <w:p w14:paraId="034C26BF" w14:textId="5BF2DA53" w:rsidR="000C2AEF" w:rsidRPr="00CE6FB8" w:rsidRDefault="000C2AEF" w:rsidP="006A4F00">
      <w:pPr>
        <w:pStyle w:val="NormalHanging12a"/>
        <w:widowControl/>
      </w:pPr>
      <w:r w:rsidRPr="00CE6FB8">
        <w:t>–</w:t>
      </w:r>
      <w:r w:rsidRPr="00CE6FB8">
        <w:tab/>
        <w:t>ottaa huomioon kasvinsuojeluaineiden markkinoille saattamisesta sekä neuvoston direktiivien 79/117/ETY ja 91/414/ETY kumoamisesta 21. lokakuuta 2009 annetun Euroopan parlamentin ja neuvoston asetuksen (EY) N:o 1107/2009</w:t>
      </w:r>
      <w:r w:rsidRPr="00CE6FB8">
        <w:rPr>
          <w:rStyle w:val="FootnoteReference"/>
        </w:rPr>
        <w:footnoteReference w:id="1"/>
      </w:r>
      <w:r w:rsidRPr="00CE6FB8">
        <w:t>,</w:t>
      </w:r>
    </w:p>
    <w:p w14:paraId="1B771926" w14:textId="77777777" w:rsidR="000C2AEF" w:rsidRPr="00CE6FB8" w:rsidRDefault="000C2AEF" w:rsidP="006A4F00">
      <w:pPr>
        <w:pStyle w:val="NormalHanging12a"/>
        <w:widowControl/>
      </w:pPr>
      <w:r w:rsidRPr="00CE6FB8">
        <w:t>–</w:t>
      </w:r>
      <w:r w:rsidRPr="00CE6FB8">
        <w:tab/>
        <w:t>ottaa huomioon 22. kesäkuuta 2022 annetun komission ehdotuksen Euroopan parlamentin ja neuvoston asetukseksi kasvinsuojeluaineiden kestävästä käytöstä ja asetuksen (EU) 2021/2115 muuttamisesta (COM(2022)0305),</w:t>
      </w:r>
    </w:p>
    <w:p w14:paraId="430C7D48" w14:textId="77777777" w:rsidR="000C2AEF" w:rsidRPr="00CE6FB8" w:rsidRDefault="000C2AEF" w:rsidP="006A4F00">
      <w:pPr>
        <w:pStyle w:val="NormalHanging12a"/>
        <w:widowControl/>
      </w:pPr>
      <w:r w:rsidRPr="00CE6FB8">
        <w:t>–</w:t>
      </w:r>
      <w:r w:rsidRPr="00CE6FB8">
        <w:tab/>
        <w:t>ottaa huomioon päätöslauselmaluonnoksensa biologisten torjunta-aineiden oikeudellisen määritelmän ja luokittelun vahvistamisesta kasvinsuojeluaineiden kestävässä käytössä,</w:t>
      </w:r>
    </w:p>
    <w:p w14:paraId="512EFFA8" w14:textId="77777777" w:rsidR="000C2AEF" w:rsidRPr="00CE6FB8" w:rsidRDefault="000C2AEF" w:rsidP="006A4F00">
      <w:pPr>
        <w:pStyle w:val="NormalHanging12a"/>
        <w:widowControl/>
      </w:pPr>
      <w:r w:rsidRPr="00CE6FB8">
        <w:t>–</w:t>
      </w:r>
      <w:r w:rsidRPr="00CE6FB8">
        <w:tab/>
        <w:t>ottaa huomioon 20. toukokuuta 2020 annetun komission tiedonannon ”Pellolta pöytään -strategia oikeudenmukaista, terveyttä edistävää ja ympäristöä säästävää elintarvikejärjestelmää varten” (COM(2020)0381) ja 20. toukokuuta 2020 annetun komission tiedonannon ”Vuoteen 2030 ulottuva EU:n biodiversiteettistrategia – Luonto takaisin osaksi elämäämme” (COM(2020)0380),</w:t>
      </w:r>
    </w:p>
    <w:p w14:paraId="1312BB55" w14:textId="77777777" w:rsidR="000C2AEF" w:rsidRPr="00CE6FB8" w:rsidRDefault="000C2AEF" w:rsidP="006A4F00">
      <w:pPr>
        <w:pStyle w:val="NormalHanging12a"/>
        <w:widowControl/>
      </w:pPr>
      <w:r w:rsidRPr="00CE6FB8">
        <w:t>–</w:t>
      </w:r>
      <w:r w:rsidRPr="00CE6FB8">
        <w:tab/>
        <w:t>ottaa huomioon ympäristön, ilmaston ja elintarvikkeiden turvallisuuden valiokunnan ja maatalouden ja maaseudun kehittämisen valiokunnan työjärjestyksen 59 artiklan mukaisen yhteiskäsittelyn,</w:t>
      </w:r>
    </w:p>
    <w:p w14:paraId="50A9638D" w14:textId="77777777" w:rsidR="000C2AEF" w:rsidRPr="00CE6FB8" w:rsidRDefault="000C2AEF" w:rsidP="006A4F00">
      <w:pPr>
        <w:pStyle w:val="NormalHanging12a"/>
        <w:widowControl/>
      </w:pPr>
      <w:r w:rsidRPr="00CE6FB8">
        <w:t>–</w:t>
      </w:r>
      <w:r w:rsidRPr="00CE6FB8">
        <w:rPr>
          <w:b/>
          <w:i/>
        </w:rPr>
        <w:tab/>
      </w:r>
      <w:r w:rsidRPr="00CE6FB8">
        <w:t>ottaa huomioon komission vastauksen 19. joulukuuta 2022 annettuun neuvoston päätökseen (EU) 2022/2572 komission pyytämisestä toimittamaan tutkimus, jolla täydennetään vaikutustenarviointia ehdotuksesta Euroopan parlamentin ja neuvoston asetukseksi kasvinsuojeluaineiden kestävästä käytöstä ja Euroopan parlamentin ja neuvoston asetuksen (EU) 2021/2115 muuttamisesta, ja ehdottamaan jatkotoimenpiteitä, mikäli se on tutkimuksen tulosten pohjalta aiheellista</w:t>
      </w:r>
      <w:r w:rsidRPr="00CE6FB8">
        <w:rPr>
          <w:rStyle w:val="FootnoteReference"/>
        </w:rPr>
        <w:footnoteReference w:id="2"/>
      </w:r>
      <w:r w:rsidRPr="00CE6FB8">
        <w:t>,</w:t>
      </w:r>
    </w:p>
    <w:p w14:paraId="0D5CF07E" w14:textId="77777777" w:rsidR="000C2AEF" w:rsidRPr="00CE6FB8" w:rsidRDefault="000C2AEF" w:rsidP="006A4F00">
      <w:pPr>
        <w:pStyle w:val="NormalHanging12a"/>
        <w:widowControl/>
      </w:pPr>
      <w:r w:rsidRPr="00CE6FB8">
        <w:lastRenderedPageBreak/>
        <w:t>–</w:t>
      </w:r>
      <w:r w:rsidRPr="00CE6FB8">
        <w:tab/>
        <w:t>ottaa huomioon 19. helmikuuta 2025 annetun komission tiedonannon ”Maataloutta ja elintarvikkeita koskeva visio – Maatalous- ja elintarvikealasta houkutteleva tuleville sukupolville” (COM(2025)0075),</w:t>
      </w:r>
    </w:p>
    <w:p w14:paraId="4182C433" w14:textId="77777777" w:rsidR="000C2AEF" w:rsidRPr="00CE6FB8" w:rsidRDefault="000C2AEF" w:rsidP="006A4F00">
      <w:pPr>
        <w:pStyle w:val="NormalHanging12a"/>
        <w:widowControl/>
      </w:pPr>
      <w:r w:rsidRPr="00CE6FB8">
        <w:t>–</w:t>
      </w:r>
      <w:r w:rsidRPr="00CE6FB8">
        <w:tab/>
        <w:t>ottaa huomioon yhteisön politiikan puitteista torjunta-aineiden kestävän käytön aikaansaamiseksi 21. lokakuuta 2009 annetun Euroopan parlamentin ja neuvoston direktiivin 2009/128/EY</w:t>
      </w:r>
      <w:r w:rsidRPr="00CE6FB8">
        <w:rPr>
          <w:rStyle w:val="FootnoteReference"/>
        </w:rPr>
        <w:footnoteReference w:id="3"/>
      </w:r>
      <w:r w:rsidRPr="00CE6FB8">
        <w:t>,</w:t>
      </w:r>
    </w:p>
    <w:p w14:paraId="50ADBBBB" w14:textId="77777777" w:rsidR="000C2AEF" w:rsidRPr="00CE6FB8" w:rsidRDefault="000C2AEF" w:rsidP="006A4F00">
      <w:pPr>
        <w:pStyle w:val="NormalHanging12a"/>
        <w:widowControl/>
      </w:pPr>
      <w:r w:rsidRPr="00CE6FB8">
        <w:t>–</w:t>
      </w:r>
      <w:r w:rsidRPr="00CE6FB8">
        <w:tab/>
        <w:t>ottaa huomioon 23. marraskuuta 2023 antamansa päätöslauselman aiheesta ”Pölyttäjiä koskeva tarkistettu aloite – Pölyttäjien olosuhteiden parantaminen”</w:t>
      </w:r>
      <w:r w:rsidRPr="00CE6FB8">
        <w:rPr>
          <w:rStyle w:val="FootnoteReference"/>
        </w:rPr>
        <w:footnoteReference w:id="4"/>
      </w:r>
      <w:r w:rsidRPr="00CE6FB8">
        <w:t>,</w:t>
      </w:r>
    </w:p>
    <w:p w14:paraId="3407E1A8" w14:textId="77777777" w:rsidR="000C2AEF" w:rsidRPr="00CE6FB8" w:rsidRDefault="000C2AEF" w:rsidP="006A4F00">
      <w:pPr>
        <w:pStyle w:val="NormalHanging12a"/>
        <w:widowControl/>
      </w:pPr>
      <w:r w:rsidRPr="00CE6FB8">
        <w:t>–</w:t>
      </w:r>
      <w:r w:rsidRPr="00CE6FB8">
        <w:tab/>
        <w:t>ottaa huomioon biologista monimuotoisuutta koskevan yleissopimuksen osapuolten Yhdistyneiden kansakuntien konferenssin 19. joulukuuta 2022 tekemän päätöksen 15/4 ”Kunmingin-Montrealin maailmanlaajuinen luonnon monimuotoisuuskehys”,</w:t>
      </w:r>
    </w:p>
    <w:p w14:paraId="2D68B303" w14:textId="77777777" w:rsidR="000C2AEF" w:rsidRPr="00CE6FB8" w:rsidRDefault="000C2AEF" w:rsidP="006A4F00">
      <w:pPr>
        <w:pStyle w:val="NormalHanging12a"/>
        <w:widowControl/>
      </w:pPr>
      <w:r w:rsidRPr="00CE6FB8">
        <w:t>–</w:t>
      </w:r>
      <w:r w:rsidRPr="00CE6FB8">
        <w:tab/>
        <w:t>ottaa huomioon 12. toukokuuta 2021 annetun komission tiedonannon ”Terve maapallo kaikille – EU:n toimintasuunnitelma ”Kohti ilman, veden ja maaperän saasteettomuutta”” (COM(2021)0400),</w:t>
      </w:r>
    </w:p>
    <w:p w14:paraId="24A850C9" w14:textId="77777777" w:rsidR="000C2AEF" w:rsidRPr="00CE6FB8" w:rsidRDefault="000C2AEF" w:rsidP="006A4F00">
      <w:pPr>
        <w:pStyle w:val="NormalHanging12a"/>
        <w:widowControl/>
      </w:pPr>
      <w:r w:rsidRPr="00CE6FB8">
        <w:t>–</w:t>
      </w:r>
      <w:r w:rsidRPr="00CE6FB8">
        <w:tab/>
        <w:t>ottaa huomioon 16. tammikuuta 2019 antamansa päätöslauselman torjunta-aineiden lupamenettelystä unionissa</w:t>
      </w:r>
      <w:r w:rsidRPr="00CE6FB8">
        <w:rPr>
          <w:rStyle w:val="FootnoteReference"/>
        </w:rPr>
        <w:footnoteReference w:id="5"/>
      </w:r>
      <w:r w:rsidRPr="00CE6FB8">
        <w:t>,</w:t>
      </w:r>
    </w:p>
    <w:p w14:paraId="682FE890" w14:textId="77777777" w:rsidR="000C2AEF" w:rsidRPr="00CE6FB8" w:rsidRDefault="000C2AEF" w:rsidP="006A4F00">
      <w:pPr>
        <w:pStyle w:val="NormalHanging12a"/>
        <w:widowControl/>
      </w:pPr>
      <w:r w:rsidRPr="00CE6FB8">
        <w:t>–</w:t>
      </w:r>
      <w:r w:rsidRPr="00CE6FB8">
        <w:tab/>
        <w:t>ottaa huomioon työjärjestyksen 55 artiklan,</w:t>
      </w:r>
    </w:p>
    <w:p w14:paraId="10F9C956" w14:textId="77777777" w:rsidR="000C2AEF" w:rsidRPr="00CE6FB8" w:rsidRDefault="000C2AEF" w:rsidP="006A4F00">
      <w:pPr>
        <w:pStyle w:val="NormalHanging12a"/>
        <w:widowControl/>
      </w:pPr>
      <w:r w:rsidRPr="00CE6FB8">
        <w:rPr>
          <w:b/>
          <w:i/>
        </w:rPr>
        <w:t>–</w:t>
      </w:r>
      <w:r w:rsidRPr="00CE6FB8">
        <w:tab/>
        <w:t>ottaa huomioon ympäristön, ilmaston ja elintarvikkeiden turvallisuuden valiokunnan ja maatalouden ja maatalouden ja maaseudun kehittämisen valiokunnan mietinnön (A10</w:t>
      </w:r>
      <w:r w:rsidRPr="00CE6FB8">
        <w:noBreakHyphen/>
        <w:t>0234/2025),</w:t>
      </w:r>
    </w:p>
    <w:p w14:paraId="59ADA6BB" w14:textId="77777777" w:rsidR="000C2AEF" w:rsidRPr="00CE6FB8" w:rsidRDefault="000C2AEF" w:rsidP="006A4F00">
      <w:pPr>
        <w:pStyle w:val="NormalHanging12a"/>
        <w:widowControl/>
        <w:rPr>
          <w:szCs w:val="24"/>
        </w:rPr>
      </w:pPr>
      <w:r w:rsidRPr="00CE6FB8">
        <w:t>A.</w:t>
      </w:r>
      <w:r w:rsidRPr="00CE6FB8">
        <w:tab/>
        <w:t>ottaa huomioon, että kasvinsuojeluaine on tuote, jonka sisältämällä aineella ehkäistään, tuhotaan tai torjutaan haitallisia organismeja (’tuholaisia’); ottaa huomioon, että biologinen torjunta on luonnosta peräisin oleva tai synteettinen luonnonmukainen menetelmä, jolla torjutaan tuholaisia ja tauteja käyttämällä muita organismeja tai niiden osia, usein yhdessä fysikaalisten menetelmien kanssa, ja pyritään häiritsemään tuholaisten lisääntymissyklejä tai vähentämään kasvien tuholaisille altistumista;</w:t>
      </w:r>
    </w:p>
    <w:p w14:paraId="75E24080" w14:textId="77777777" w:rsidR="000C2AEF" w:rsidRPr="00CE6FB8" w:rsidRDefault="000C2AEF" w:rsidP="006A4F00">
      <w:pPr>
        <w:pStyle w:val="NormalHanging12a"/>
        <w:widowControl/>
      </w:pPr>
      <w:r w:rsidRPr="00CE6FB8">
        <w:t>B.</w:t>
      </w:r>
      <w:r w:rsidRPr="00CE6FB8">
        <w:tab/>
        <w:t>ottaa huomioon, että asetuksen (EY) N:o 1107/2009 mukaan tehoaineet on hyväksyttävä EU:n tasolla ennen kuin jäsenvaltiot voivat myöntää luvan niitä sisältäville kasvinsuojeluaineille; ottaa huomioon, että nykyiseen, noin 420 hyväksytyn tehoaineen luetteloon sisältyy sekä perinteisiä tehoaineita että yhä enemmän biologisen torjunnan tehoaineita</w:t>
      </w:r>
      <w:r w:rsidRPr="00CE6FB8">
        <w:rPr>
          <w:rStyle w:val="FootnoteReference"/>
        </w:rPr>
        <w:footnoteReference w:id="6"/>
      </w:r>
      <w:r w:rsidRPr="00CE6FB8">
        <w:t xml:space="preserve">; ottaa huomioon, että myös biologisessa torjunnassa käytettävien tuotteiden hyväksyminen kuuluu asetuksen (EY) N:o 1107/2009 soveltamisalaan; ottaa huomioon, että vuoteen 2028 mennessä torjuntaeliöiden hyväksyntää EU:n markkinoille koskevia hakemuksia odotetaan olevan yli 100 eikä näitä hakemuksia välttämättä hyväksytä ennen vuosia 2031–2037; ottaa huomioon, että lupahakemuksen jättämisestä torjuntaeliön markkinoille saattamiseen voi kestää 10 tai 15 vuotta torjuntaeliön luokittelusta riippuen; ottaa huomioon, että pitkä hyväksymisprosessi vaikuttaa kasvinsuojeluratkaisujen saatavuuteen; ottaa huomioon, että vaikka biologisessa torjunnassa käytettävillä tuotteilla ei ole samaa riskiprofiilia kuin perinteisillä </w:t>
      </w:r>
      <w:r w:rsidRPr="00CE6FB8">
        <w:lastRenderedPageBreak/>
        <w:t>kasvinsuojeluaineilla, niistä voi kuitenkin joissakin tapauksissa aiheutua riskejä</w:t>
      </w:r>
      <w:r w:rsidRPr="00CE6FB8">
        <w:rPr>
          <w:rStyle w:val="FootnoteReference"/>
        </w:rPr>
        <w:footnoteReference w:id="7"/>
      </w:r>
      <w:r w:rsidRPr="00CE6FB8">
        <w:t>, mistä syystä tarvitaan tuotteiden vaikutustapaan ja luonteeseen soveltuvia riskinarviointimenetelmiä niiden turvallisuuden ja tehokkuuden arvioimiseksi; ottaa huomioon, että tämän vaatimuksen pitäisi olla oikeasuhteinen aiheutuvaan riskiin nähden ja että kilpailukykyinen, tieteeseen perustuva ja innovointia suosiva sääntely-ympäristö on olennaisen tärkeä sekä kestävyyden että tuottavuuden varmistamiseksi EU:n maatalous- ja elintarvikealalla;</w:t>
      </w:r>
    </w:p>
    <w:p w14:paraId="03D17646" w14:textId="77777777" w:rsidR="000C2AEF" w:rsidRPr="00CE6FB8" w:rsidRDefault="000C2AEF" w:rsidP="006A4F00">
      <w:pPr>
        <w:pStyle w:val="NormalHanging12a"/>
        <w:widowControl/>
        <w:rPr>
          <w:szCs w:val="24"/>
        </w:rPr>
      </w:pPr>
      <w:r w:rsidRPr="00CE6FB8">
        <w:t>C.</w:t>
      </w:r>
      <w:r w:rsidRPr="00CE6FB8">
        <w:tab/>
        <w:t>ottaa huomioon, että tällä hetkellä ei ole olemassa EU:n laajuista yhdenmukaistettua biologisen torjunnan oikeudellista määritelmää;</w:t>
      </w:r>
    </w:p>
    <w:p w14:paraId="15B31401" w14:textId="77777777" w:rsidR="000C2AEF" w:rsidRPr="00CE6FB8" w:rsidRDefault="000C2AEF" w:rsidP="006A4F00">
      <w:pPr>
        <w:pStyle w:val="NormalHanging12a"/>
        <w:widowControl/>
      </w:pPr>
      <w:r w:rsidRPr="00CE6FB8">
        <w:t>D.</w:t>
      </w:r>
      <w:r w:rsidRPr="00CE6FB8">
        <w:tab/>
        <w:t>ottaa huomioon, että biologiset torjuntaratkaisut voivat olla tehoaineita, selkärangattomia torjuntaeliöitä, jotka tuhoavat tuholaisia ja tauteja, sekä tuotteita, jotka sisältävät yhtä tai useampaa biologisen torjunnan tehoainetta; ottaa huomioon, että biologisia torjuntaratkaisuja käytetään osana kokonaisvaltaisia kasvinterveysstrategioita, joihin voidaan yhdistää myös ennaltaehkäiseviä maataloustoimenpiteitä ja muita toimia, jotta voidaan sekä optimoida niiden tehokkuus että varmistaa, että niiden käyttö on edelleen täydentävää ja tarveperusteista;</w:t>
      </w:r>
    </w:p>
    <w:p w14:paraId="12132329" w14:textId="77777777" w:rsidR="000C2AEF" w:rsidRPr="00CE6FB8" w:rsidRDefault="000C2AEF" w:rsidP="006A4F00">
      <w:pPr>
        <w:pStyle w:val="NormalHanging12a"/>
        <w:widowControl/>
      </w:pPr>
      <w:r w:rsidRPr="00CE6FB8">
        <w:t>E.</w:t>
      </w:r>
      <w:r w:rsidRPr="00CE6FB8">
        <w:tab/>
        <w:t>ottaa huomioon, että biologinen torjunta voi tapahtua seuraavien avulla: a) elävät makro- ja mikro-organismit, b) semiokemiakaalit, c) luonnollisista lähteistä, erityisesti kasveista ja levistä, saatavat uutteet ja mikro-organismien tuottamat aineet, d) aineet, jotka ovat samanlaisia kuin biologisten organismien tuottamat aineet tai jotka ovat biologisten organismien ainesosia, ja e) luonnossa esiintyvät epäorgaaniset aineet, lukuun ottamatta raskasmetalleja ja niiden suoloja;</w:t>
      </w:r>
    </w:p>
    <w:p w14:paraId="0338A999" w14:textId="77777777" w:rsidR="000C2AEF" w:rsidRPr="00CE6FB8" w:rsidRDefault="000C2AEF" w:rsidP="006A4F00">
      <w:pPr>
        <w:pStyle w:val="NormalHanging12a"/>
        <w:widowControl/>
        <w:rPr>
          <w:szCs w:val="24"/>
        </w:rPr>
      </w:pPr>
      <w:r w:rsidRPr="00CE6FB8">
        <w:t>F.</w:t>
      </w:r>
      <w:r w:rsidRPr="00CE6FB8">
        <w:tab/>
        <w:t>ottaa huomioon, että selkärangattomilla torjuntaeliöillä, kuten hyödyllisillä hyönteissaalistajilla, mukaan lukien parasitoidit, punkit ja nematodit, on jo keskeinen rooli integroidussa torjunnassa ja luonnonmukaisissa viljelyjärjestelmissä; ottaa huomioon, että toisin kuin ainepohjaiset biologisessa torjunnassa käytettävät tuotteet, selkärangattomat torjuntaeliöt eivät kuulu asetuksen (EY) N:o 1107/2009 soveltamisalaan, joten niihin sovelletaan edelleen erilaisia ja hajanaisia kansallisia sääntöjä; ottaa huomioon, että makro-organismien nopeammat lupamenettelyt, joissa kuitenkin säilytetään terveyttä ja ympäristöä koskevat korkeat turvallisuusvaatimukset, parantaisivat niiden markkinoille pääsyä ja voisivat auttaa ratkaisemaan kasvien terveyteen liittyviä huolenaiheita;</w:t>
      </w:r>
    </w:p>
    <w:p w14:paraId="2FCF13EC" w14:textId="77777777" w:rsidR="000C2AEF" w:rsidRPr="00CE6FB8" w:rsidRDefault="000C2AEF" w:rsidP="006A4F00">
      <w:pPr>
        <w:pStyle w:val="NormalHanging12a"/>
        <w:widowControl/>
        <w:rPr>
          <w:szCs w:val="24"/>
        </w:rPr>
      </w:pPr>
      <w:r w:rsidRPr="00CE6FB8">
        <w:t>G.</w:t>
      </w:r>
      <w:r w:rsidRPr="00CE6FB8">
        <w:tab/>
        <w:t>ottaa huomioon, että biologisia torjuntaratkaisuja yhdistetään usein semiokemikaalien, kasviuutteiden tai mikrobiryhmien seoksiksi, sillä nämä lisäävät tehokkuutta, torjuvat useita tuholaisia tai tauteja ja parantavat ympäristöön sopeutumista, ja että niitä sisällytetään usein muihin tuholaisten torjuntamenetelmiin, kuten integroituun torjuntaan; katsoo, että tästä syystä ei aina ole mahdollista korvata yhtä perinteistä kasvinsuojeluainetta yhdellä biologisessa torjunnassa käytettävällä tuotteella;</w:t>
      </w:r>
    </w:p>
    <w:p w14:paraId="363C0733" w14:textId="77777777" w:rsidR="000C2AEF" w:rsidRPr="00CE6FB8" w:rsidRDefault="000C2AEF" w:rsidP="006A4F00">
      <w:pPr>
        <w:pStyle w:val="NormalHanging12a"/>
        <w:widowControl/>
      </w:pPr>
      <w:r w:rsidRPr="00CE6FB8">
        <w:t>H.</w:t>
      </w:r>
      <w:r w:rsidRPr="00CE6FB8">
        <w:tab/>
        <w:t xml:space="preserve">ottaa huomioon, että biologinen torjunta yhdistetään usein alhaisempaan toksisuuteen ja pysyvyyteen sekä vähäisempään ympäristön pilaantumiseen ja että asianmukaisesti huomioon otettuna se voi täydentää perinteisiä kasvinsuojeluaineita; ottaa huomioon, että tämän ansiosta viljelijät saattavat joissain tapauksissa pystyä vähentämään riippuvuuttaan perinteisten kasvinsuojeluaineiden käytöstä, sillä biologinen torjunta tarjoaa viljelijöille turvallisia ja tehokkaita lisävälineitä ja edistää siten maaperän </w:t>
      </w:r>
      <w:r w:rsidRPr="00CE6FB8">
        <w:lastRenderedPageBreak/>
        <w:t>terveyttä ja vähentää biologiseen monimuotoisuuteen, ekosysteemeihin, veden laatuun, elintarvikeketjuihin ja kansanterveyteen kohdistuvia vaikutuksia;</w:t>
      </w:r>
    </w:p>
    <w:p w14:paraId="37ECFE6D" w14:textId="727BBA72" w:rsidR="000C2AEF" w:rsidRPr="00CE6FB8" w:rsidRDefault="000C2AEF" w:rsidP="006A4F00">
      <w:pPr>
        <w:pStyle w:val="NormalHanging12a"/>
        <w:widowControl/>
        <w:rPr>
          <w:szCs w:val="24"/>
        </w:rPr>
      </w:pPr>
      <w:r w:rsidRPr="00CE6FB8">
        <w:t>I</w:t>
      </w:r>
      <w:r w:rsidR="00BD3D6C">
        <w:t>.</w:t>
      </w:r>
      <w:r w:rsidRPr="00CE6FB8">
        <w:tab/>
        <w:t>ottaa huomioon, että biologisessa torjunnassa käytettävien tuotteiden nopeutettu käsittely ja saattaminen EU:n markkinoille lisäisi saatavuutta ja tarjoaisi mahdollisuuden torjua tuholaisten ja tautien vastustuskykyä nykyisille kasvinsuojeluaineille; katsoo, että tämä auttaisi edistämään kestävämpiä maatalouskäytäntöjä ja lisäisi maatalousalan häiriönsietokykyä ja kilpailukykyä, sillä viljelijöiden tuholaistorjuntavaihtoehdot säilyisivät mahdollisimman laajoina;</w:t>
      </w:r>
    </w:p>
    <w:p w14:paraId="2E982028" w14:textId="77777777" w:rsidR="00A22F19" w:rsidRPr="00CE6FB8" w:rsidRDefault="000C2AEF" w:rsidP="006A4F00">
      <w:pPr>
        <w:pStyle w:val="NormalHanging12a"/>
        <w:widowControl/>
      </w:pPr>
      <w:r w:rsidRPr="00CE6FB8">
        <w:t>J.</w:t>
      </w:r>
      <w:r w:rsidRPr="00CE6FB8">
        <w:tab/>
        <w:t>ottaa huomioon, että komissio toteaa vuoden 2025 maatalous- ja elintarvikevisiossaan</w:t>
      </w:r>
      <w:r w:rsidRPr="00CE6FB8">
        <w:rPr>
          <w:rStyle w:val="FootnoteReference"/>
        </w:rPr>
        <w:footnoteReference w:id="8"/>
      </w:r>
      <w:r w:rsidRPr="00CE6FB8">
        <w:t>, että ”viljelijät tarvitsevat kehittyneemmän välineistön pystyäkseen viljelemään luontoystävällisellä tavalla ja saavuttamaan asetetut tavoitteet. Tällainen välineistö edellyttää hyvin mitoitettua yhdistelmää, johon sisältyvät tulevasta YMP:stä myönnettävän julkisen tuen parempi kohdentaminen, investoinnit luontoystävällisiin ratkaisuihin, taloudellisten kannustimien lisääminen, räätälöity neuvonta, jossa hyödynnetään tutkimuksen ja innovoinnin edistymistä, sekä joustavampi sääntely-ympäristö. Yksi esimerkki tästä on EU:n tavoite vähentää haitallisten torjunta-aineiden käyttöä. Tämä on tärkeää sekä maatalouden, luonnon että terveyden suojelun pitkän aikavälin selviytymiskyvyn kannalta.  Torjunta-aineiden vaihtoehtojen eli biologisten tai innovatiivisten vähäriskisten kasvinsuojeluaineiden käyttöönotto ei kuitenkaan ole edennyt yhtä nopeasti kuin tehoaineiden poistaminen EU:n markkinoilta. Jos tämä suuntaus jatkuu, se voi vaikuttaa EU:n kykyyn taata elintarviketuotanto. Sen vuoksi komissio harkitsee huolellisesti uusia sellaisten torjunta-aineiden kieltoja, joista maatalouden elinkelpoisuus riippuu, jos vaihtoehtoja ei ole vielä saatavilla, paitsi jos kyseinen torjunta-aine on uhka ihmisten terveydelle tai ympäristölle”;</w:t>
      </w:r>
    </w:p>
    <w:p w14:paraId="2DD4E9A5" w14:textId="575337FF" w:rsidR="000C2AEF" w:rsidRPr="00CE6FB8" w:rsidRDefault="000C2AEF" w:rsidP="006A4F00">
      <w:pPr>
        <w:pStyle w:val="NormalHanging12a"/>
        <w:widowControl/>
      </w:pPr>
      <w:r w:rsidRPr="00CE6FB8">
        <w:t>K.</w:t>
      </w:r>
      <w:r w:rsidRPr="00CE6FB8">
        <w:tab/>
        <w:t>ottaa huomioon, että EFSAlla ja jäsenvaltioiden toimivaltaisilla viranomaisilla ei useinkaan ole riittävästi asiantuntemusta, kokemusta ja resursseja biologista torjuntaa koskevien hakemusten käsittelyyn, erityisesti mikrobiologian osalta; katsoo, että ohjeiden ja tietovaatimusten olisi vastattava biologisten torjuntaratkaisujen erityispiirteitä, jotta voidaan auttaa niiden pääsyä markkinoille, välttää liiallisia rasitteita, kustannuksia, pitkiä hyväksymismenettelyjä ja lakisääteisiä määräaikoja; ottaa huomioon, että biologisessa torjunnassa käytettävien tuotteiden nopeammat, edullisemmat ja yksinkertaisemmat lupamenettelyt voisivat auttaa houkuttelemaan lisää investointeja EU:hun ja vahvistamaan sen maailmanlaajuista johtoasemaa kestävän kasvinsuojelun alalla;</w:t>
      </w:r>
    </w:p>
    <w:p w14:paraId="5C141CD5" w14:textId="77777777" w:rsidR="000C2AEF" w:rsidRPr="00CE6FB8" w:rsidRDefault="000C2AEF" w:rsidP="006A4F00">
      <w:pPr>
        <w:pStyle w:val="NormalHanging12a"/>
        <w:widowControl/>
      </w:pPr>
      <w:r w:rsidRPr="00CE6FB8">
        <w:t>L.</w:t>
      </w:r>
      <w:r w:rsidRPr="00CE6FB8">
        <w:tab/>
        <w:t>ottaa huomioon, että biologisessa torjunnassa käytettävien tuotteiden tehokas käyttöönotto riippuu usein mukautetuista käytännöistä, ja korostaa tarvetta investoida jatkuvasti koulutukseen, infrastruktuuriin ja neuvontaan, jotta varmistetaan tuotteiden onnistunut käyttöönotto;</w:t>
      </w:r>
    </w:p>
    <w:p w14:paraId="0AA2F292" w14:textId="77777777" w:rsidR="000C2AEF" w:rsidRPr="00CE6FB8" w:rsidRDefault="000C2AEF" w:rsidP="006A4F00">
      <w:pPr>
        <w:pStyle w:val="NormalHanging12a"/>
        <w:widowControl/>
      </w:pPr>
      <w:r w:rsidRPr="00CE6FB8">
        <w:t>M.</w:t>
      </w:r>
      <w:r w:rsidRPr="00CE6FB8">
        <w:tab/>
        <w:t xml:space="preserve">ottaa huomioon, että EU:hun sijoittautuneiden pienten ja keskisuurten biologiseen torjuntaan erikoistuneiden yritysten osuus EU:n biologisen torjunnan alasta on noin 70 prosenttia; panee merkille, että nämä yritykset ovat kestävän innovoinnin keskeisiä edistäjiä; ottaa huomioon, että kasvinsuojeluaineiden tehoaineiden, torjuntaeliöt mukaan lukien, hyväksymiseen EU:ssa liittyy merkittäviä kustannuksia, ja panee merkille, että </w:t>
      </w:r>
      <w:r w:rsidRPr="00CE6FB8">
        <w:lastRenderedPageBreak/>
        <w:t>kokonaisinvestoinnit, joihin sisältyvät muun muassa tietojen tuottaminen, sääntelymaksut ja kansalliset luvat, ovat arviolta 1,5–4 miljoonaa euroa ainetta kohti;</w:t>
      </w:r>
    </w:p>
    <w:p w14:paraId="284080B1" w14:textId="77777777" w:rsidR="000C2AEF" w:rsidRPr="00CE6FB8" w:rsidRDefault="000C2AEF" w:rsidP="006A4F00">
      <w:pPr>
        <w:pStyle w:val="NormalHanging12a"/>
        <w:keepNext/>
        <w:keepLines/>
        <w:widowControl/>
        <w:ind w:left="0" w:firstLine="0"/>
        <w:rPr>
          <w:b/>
          <w:bCs/>
          <w:i/>
          <w:iCs/>
        </w:rPr>
      </w:pPr>
      <w:r w:rsidRPr="00CE6FB8">
        <w:rPr>
          <w:b/>
          <w:i/>
        </w:rPr>
        <w:t>Oikeudelliset määritelmät, soveltamisala ja periaatteet</w:t>
      </w:r>
    </w:p>
    <w:p w14:paraId="4D95BBE0" w14:textId="77777777" w:rsidR="000C2AEF" w:rsidRPr="00CE6FB8" w:rsidRDefault="000C2AEF" w:rsidP="006A4F00">
      <w:pPr>
        <w:pStyle w:val="NormalHanging12a"/>
        <w:keepNext/>
        <w:keepLines/>
        <w:widowControl/>
      </w:pPr>
      <w:r w:rsidRPr="00CE6FB8">
        <w:t>1.</w:t>
      </w:r>
      <w:r w:rsidRPr="00CE6FB8">
        <w:tab/>
        <w:t>kehottaa komissiota laatimaan EU:n tasolla selkeän oikeudellisen määritelmän biologisille torjuntaratkaisuille sekä kehyksen biologisen torjunnan tehoaineiden nopeutetulle hyväksymiselle EU:n tasolla ja lupien myöntämiselle biologisessa torjunnassa käytettäville tuotteille jäsenvaltioiden tasolla; katsoo, että tällaiseen kehykseen olisi liitettävä selkeät tietovaatimukset ja päivitetyt ohjeasiakirjat, jotta voidaan parantaa oikeusvarmuutta, tukea EU:n innovointitoimia ja edistää investointeja kestäviin vaihtoehtoihin; vaatii lisäksi, että komission olisi pyrittävä estämään markkinoiden pirstoutuminen ja vähentämään hallinnollista taakkaa;</w:t>
      </w:r>
    </w:p>
    <w:p w14:paraId="04555559" w14:textId="77777777" w:rsidR="000C2AEF" w:rsidRPr="00CE6FB8" w:rsidRDefault="000C2AEF" w:rsidP="006A4F00">
      <w:pPr>
        <w:pStyle w:val="NormalHanging12a"/>
        <w:widowControl/>
      </w:pPr>
      <w:r w:rsidRPr="00CE6FB8">
        <w:t>2.</w:t>
      </w:r>
      <w:r w:rsidRPr="00CE6FB8">
        <w:tab/>
        <w:t>toteaa, että sääntelyvarmuus helpottaa erityisesti pienten ja keskisuurten yritysten innovointitoimintaa ja edistää kilpailukykyisen biologisen torjunnan alan kehittämistä EU:ssa; korostaa lisäksi, että on tärkeää varmistaa lainsäädännön johdonmukaisuus ja yhdenmukaisuus asiaa koskevan EU:n lainsäädännön, myös asetuksen (EU) 2018/848</w:t>
      </w:r>
      <w:r w:rsidRPr="00CE6FB8">
        <w:rPr>
          <w:rStyle w:val="FootnoteReference"/>
        </w:rPr>
        <w:footnoteReference w:id="9"/>
      </w:r>
      <w:r w:rsidRPr="00CE6FB8">
        <w:t>, ja strategioiden kanssa ja painottaa, että tarvittaessa olisi annettava torjuntaeliöitä koskevia erityissäännöksiä;</w:t>
      </w:r>
    </w:p>
    <w:p w14:paraId="58B7EA0F" w14:textId="77777777" w:rsidR="000C2AEF" w:rsidRPr="00CE6FB8" w:rsidRDefault="000C2AEF" w:rsidP="006A4F00">
      <w:pPr>
        <w:pStyle w:val="NormalHanging12a"/>
        <w:widowControl/>
      </w:pPr>
      <w:r w:rsidRPr="00CE6FB8">
        <w:t>3.</w:t>
      </w:r>
      <w:r w:rsidRPr="00CE6FB8">
        <w:tab/>
        <w:t>korostaa, että torjuntaeliöillä on yleensä erilaiset riskiprofiilit kuin perinteisillä kemiallisilla kasvinsuojeluaineilla, koska niillä ei ole samoja ominaisuuksia, vaikutustapoja tai ekologisia vaikutuksia; korostaa kuitenkin, että ne eivät ole riskittömiä ja edellyttävät siksi asianmukaista tieteeseen perustuvaa riskinarviointia; korostaa, että riskinarviointimenetelmiä olisi mukautettava torjuntaeliöiden erityispiirteisiin ottaen asianmukaisesti huomioon alueelliset agronomiset erityispiirteet ja että samalla olisi varmistettava terveyden, muiden kuin kohdeorganismien, biologisen monimuotoisuuden ja ympäristön suojelun korkea taso yhteinen terveys -lähestymistavan ja ennalta varautumisen periaatteen mukaisesti; muistuttaa erityisesti tarpeesta arvioida torjuntaeliöiden mahdollisia vaikutuksia hyödyllisiin lajeihin, ekosysteemeihin ja biologiseen monimuotoisuuteen, myös silloin, kun eläviä organismeja, kuten mikro-organismeja, luonnollisia vihollisia tai steriilejä hyönteisiä tai niiden osia, tuodaan ympäristöön;</w:t>
      </w:r>
    </w:p>
    <w:p w14:paraId="229B1A2B" w14:textId="77777777" w:rsidR="000C2AEF" w:rsidRPr="00CE6FB8" w:rsidRDefault="000C2AEF" w:rsidP="006A4F00">
      <w:pPr>
        <w:pStyle w:val="NormalHanging12a"/>
        <w:widowControl/>
      </w:pPr>
      <w:r w:rsidRPr="00CE6FB8">
        <w:t>4.</w:t>
      </w:r>
      <w:r w:rsidRPr="00CE6FB8">
        <w:tab/>
        <w:t xml:space="preserve">kehottaa komissiota arvioimaan lainsäädäntöehdotukseen liittyvässä vaikutustenarvioinnissa nykyisten riskinarviointien soveltuvuutta biologisen torjunnan tehoaineiden hyväksymiseen ja lupien myöntämiseen biologisessa torjunnassa käytettäville tuotteille ja kehittämään tarvittaessa räätälöityjä riskinarviointikäytäntöjä kullekin biologiselle torjuntaratkaisulle; korostaa, että torjuntaeliöitä koskevilla riskinarvioinneilla on aina varmistettava kohdennettu, riittävä ja asianmukainen riskinhallinta sekä terveyden ja ympäristön suojelun korkea taso; korostaa, että lupamenettelyihin on sisällyttävä yhdenmukaistetut ympäristöön ja biologiseen monimuotoisuuteen kohdistuvia vaikutuksia koskevat kriteerit EU:n tasolla, jotta estetään jäsenvaltioiden väliset erot; korostaa, että tällaiset biologisessa torjunnassa käytettävät tuotteet saa hyväksyä vain, jos ne täyttävät asiaankuuluvat </w:t>
      </w:r>
      <w:r w:rsidRPr="00CE6FB8">
        <w:lastRenderedPageBreak/>
        <w:t>hyväksymiskriteerit</w:t>
      </w:r>
      <w:r w:rsidRPr="00CE6FB8">
        <w:rPr>
          <w:rStyle w:val="FootnoteReference"/>
        </w:rPr>
        <w:footnoteReference w:id="10"/>
      </w:r>
      <w:r w:rsidRPr="00CE6FB8">
        <w:t>, joilla taataan turvallinen ja tehokas käyttö, ja jos tehokkuus on tieteellisesti todennettu ja tulokset ovat saatavilla, mutta painottaa, että samalla on suojeltava liiketoiminnan kannalta arkaluonteisia tietoja; muistuttaa, että menettelyjä on yksinkertaistettava, jotta vältetään viivästykset, jotka haittaisivat innovoijia ja viljelijöitä EU:ssa; toteaa, että riskinarviointimenettelyjen olisi oltava avoimia ja selkeitä;</w:t>
      </w:r>
    </w:p>
    <w:p w14:paraId="3347997F" w14:textId="77777777" w:rsidR="000C2AEF" w:rsidRPr="00CE6FB8" w:rsidRDefault="000C2AEF" w:rsidP="00A22F19">
      <w:pPr>
        <w:pStyle w:val="NormalHanging12a"/>
        <w:keepNext/>
        <w:keepLines/>
        <w:widowControl/>
        <w:ind w:left="0" w:firstLine="0"/>
        <w:rPr>
          <w:b/>
          <w:bCs/>
          <w:i/>
          <w:iCs/>
        </w:rPr>
      </w:pPr>
      <w:r w:rsidRPr="00CE6FB8">
        <w:rPr>
          <w:b/>
          <w:i/>
        </w:rPr>
        <w:t>Asetuksen (EY) N:o 1107/2009 kohdennettu muuttaminen</w:t>
      </w:r>
    </w:p>
    <w:p w14:paraId="5CD8679D" w14:textId="77777777" w:rsidR="000C2AEF" w:rsidRPr="00CE6FB8" w:rsidRDefault="000C2AEF" w:rsidP="006A4F00">
      <w:pPr>
        <w:pStyle w:val="NormalHanging12a"/>
        <w:widowControl/>
        <w:ind w:hanging="501"/>
      </w:pPr>
      <w:r w:rsidRPr="00CE6FB8">
        <w:t>5.</w:t>
      </w:r>
      <w:r w:rsidRPr="00CE6FB8">
        <w:tab/>
        <w:t>kehottaa komissiota lyhyellä aikavälillä mukauttamaan nykyistä asetusta (EY) N:o 1107/2009 siten, että se kattaa erityisesti biologisen torjunnan tehoaineet ja biologisessa torjunnassa käytettävät tuotteet;</w:t>
      </w:r>
    </w:p>
    <w:p w14:paraId="750BE100" w14:textId="77777777" w:rsidR="000C2AEF" w:rsidRPr="00CE6FB8" w:rsidRDefault="000C2AEF" w:rsidP="006A4F00">
      <w:pPr>
        <w:pStyle w:val="NormalHanging12a"/>
        <w:widowControl/>
        <w:rPr>
          <w:szCs w:val="24"/>
        </w:rPr>
      </w:pPr>
      <w:r w:rsidRPr="00CE6FB8">
        <w:t>6.</w:t>
      </w:r>
      <w:r w:rsidRPr="00CE6FB8">
        <w:tab/>
        <w:t>pitää myönteisenä, että komissio aikoo osana ilmoitettua yksinkertaistamispakettia esittää asetuksen (EY) N:o 1107/2009 kohdennetun tarkistuksen, jossa keskitytään biologisen torjunnan tehoaineiden ja yksinomaan niitä sisältävien tuotteiden hyväksymiseen ja lupien myöntämiseen, jotta voidaan nopeuttaa biologisessa torjunnassa käytettäviä tuotteita koskevien hakemusten arviointia ja helpottaa jo hyväksyttyjen biologisen torjunnan tehoaineiden uusimisprosessia, mikä auttaa lisäämään käytettävissä olevien kasvinsuojeluaineiden tarjontaa lyhyellä aikavälillä ja tukemaan siirtymistä vähemmän haitallisia tehoaineita käyttäviin tuotantojärjestelmiin;</w:t>
      </w:r>
    </w:p>
    <w:p w14:paraId="63C3BD93" w14:textId="77777777" w:rsidR="000C2AEF" w:rsidRPr="00CE6FB8" w:rsidRDefault="000C2AEF" w:rsidP="00A22F19">
      <w:pPr>
        <w:pStyle w:val="NormalHanging12a"/>
        <w:keepNext/>
        <w:keepLines/>
        <w:widowControl/>
        <w:ind w:left="0" w:firstLine="0"/>
        <w:rPr>
          <w:b/>
          <w:bCs/>
          <w:i/>
          <w:iCs/>
        </w:rPr>
      </w:pPr>
      <w:r w:rsidRPr="00CE6FB8">
        <w:rPr>
          <w:b/>
          <w:i/>
        </w:rPr>
        <w:t>Vastavuoroinen tunnustaminen</w:t>
      </w:r>
    </w:p>
    <w:p w14:paraId="674CA4EA" w14:textId="77777777" w:rsidR="000C2AEF" w:rsidRPr="00CE6FB8" w:rsidRDefault="000C2AEF" w:rsidP="006A4F00">
      <w:pPr>
        <w:pStyle w:val="NormalHanging12a"/>
        <w:widowControl/>
        <w:rPr>
          <w:szCs w:val="24"/>
        </w:rPr>
      </w:pPr>
      <w:r w:rsidRPr="00CE6FB8">
        <w:t>7.</w:t>
      </w:r>
      <w:r w:rsidRPr="00CE6FB8">
        <w:tab/>
        <w:t>kannustaa jäsenvaltioita käyttämään asetuksen (EY) N:o 1107/2009 mukaista nykyistä vastavuoroista tunnustamismenettelyä biologisessa torjunnassa käytettävien tuotteiden lupamenettelyn nopeuttamiseksi, jotta voidaan parantaa biologisessa torjunnassa käytettävien tuotteiden käyttöönottoa ja saatavuutta kaikkialla EU:ssa; kehottaa komissiota kiinnittämään erityistä huomiota 40 artiklan täytäntöönpanoon ja käynnistämään tarvittaessa seuranta-aloitteita sen täytäntöönpanon varmistamiseksi kaikilta osin;</w:t>
      </w:r>
    </w:p>
    <w:p w14:paraId="025F9029" w14:textId="77777777" w:rsidR="000C2AEF" w:rsidRPr="00CE6FB8" w:rsidRDefault="000C2AEF" w:rsidP="006A4F00">
      <w:pPr>
        <w:pStyle w:val="NormalHanging12a"/>
        <w:widowControl/>
        <w:rPr>
          <w:szCs w:val="24"/>
        </w:rPr>
      </w:pPr>
      <w:r w:rsidRPr="00CE6FB8">
        <w:t>8.</w:t>
      </w:r>
      <w:r w:rsidRPr="00CE6FB8">
        <w:tab/>
        <w:t>toteaa, että asetuksen (EY) N:o 1107/2009 kohdennetulla muutoksella olisi vahvistettava ja edistettävä vastavuoroisen tunnustamisen periaatetta ja pantava se täytäntöön EU:n biologisen torjunnan lupamenettelyissä ja siten vähennettävä kansallisten arviointien päällekkäisyyttä noudattaen samalla ennalta varautumisen periaatetta ja ottaen huomioon paikallisten olosuhteiden väliset erot;</w:t>
      </w:r>
    </w:p>
    <w:p w14:paraId="272A1EA2" w14:textId="77777777" w:rsidR="000C2AEF" w:rsidRPr="00CE6FB8" w:rsidRDefault="000C2AEF" w:rsidP="006A4F00">
      <w:pPr>
        <w:pStyle w:val="NormalHanging12a"/>
        <w:widowControl/>
        <w:rPr>
          <w:rStyle w:val="Strong"/>
          <w:b w:val="0"/>
          <w:bCs w:val="0"/>
          <w:szCs w:val="24"/>
        </w:rPr>
      </w:pPr>
      <w:r w:rsidRPr="00CE6FB8">
        <w:t>9.</w:t>
      </w:r>
      <w:r w:rsidRPr="00CE6FB8">
        <w:tab/>
        <w:t xml:space="preserve">kehottaa komissiota laatimaan etenemissuunnitelman, jolla pyritään yksinomaan biologisessa torjunnassa käytettävien tuotteiden automaattiseen vastavuoroiseen tunnustamiseen ja antamaan hakijoille mahdollisuus hakea yhdellä hakemuksella samanaikaisesti lupaa biologisessa torjunnassa käytettävälle tuotteelle useassa jäsenvaltiossa ja jossa samalla varmistetaan terveyden ja ympäristön suojelun korkea taso, ja kehottaa komissiota harkitsemaan yhtä EU:n laajuista lupavyöhykettä, jolla varmistettaisiin, että samat tieteelliset normit, tehokkuuskriteerit ja turvallisuustasot täyttyvät todistetusti kaikkialla EU:ssa; korostaa, että tällaisen etenemissuunnitelman tavoitteena olisi oltava mahdollinen lainsäädäntökehys, joka laadittaisiin vasta perusteellisen ja tiukan vaikutustenarvioinnin jälkeen ja jota voitaisiin kehittää vaiheittain alkaen toimivaltaisten viranomaisten tehostetusta yhteistyöstä ja tietojen </w:t>
      </w:r>
      <w:r w:rsidRPr="00CE6FB8">
        <w:lastRenderedPageBreak/>
        <w:t>jakamisesta, minkä jälkeen virtaviivaistettaisiin asetuksen (EY) N:o 1107/2009 mukaisten biologisessa torjunnassa käytettävien tuotteiden vyöhykekohtaisia arviointimenettelyjä esimerkiksi antamalla esittelijöinä toimiville jäsenvaltioille tehtäväksi arvioida yhteistyössä kutakin muuta maantieteellistä aluetta edustavien jäsenvaltioiden kanssa kaikkien maantieteellisten alueiden lupaehtoja, jotta voidaan rakentaa keskinäistä luottamusta toimivaltaisten kansallisten viranomaisten välille, välttää byrokraattista päällekkäisyyttä, helpottaa kestävämpien ratkaisujen käyttöönottoa viljelijöiden keskuudessa ja parantaa yhdenmukaista markkinoille pääsyä säilyttäen samalla tiukat terveys- ja ympäristönsuojelunormit;</w:t>
      </w:r>
    </w:p>
    <w:p w14:paraId="15E5E700" w14:textId="77777777" w:rsidR="000C2AEF" w:rsidRPr="00CE6FB8" w:rsidRDefault="000C2AEF" w:rsidP="00A22F19">
      <w:pPr>
        <w:pStyle w:val="NormalHanging12a"/>
        <w:keepNext/>
        <w:keepLines/>
        <w:widowControl/>
        <w:ind w:left="0" w:firstLine="0"/>
        <w:rPr>
          <w:b/>
          <w:bCs/>
          <w:i/>
          <w:iCs/>
        </w:rPr>
      </w:pPr>
      <w:r w:rsidRPr="00CE6FB8">
        <w:rPr>
          <w:b/>
          <w:i/>
        </w:rPr>
        <w:t>Vähäiset käyttötarkoitukset</w:t>
      </w:r>
    </w:p>
    <w:p w14:paraId="2FDBB3AF" w14:textId="77777777" w:rsidR="000C2AEF" w:rsidRPr="00CE6FB8" w:rsidRDefault="000C2AEF" w:rsidP="006A4F00">
      <w:pPr>
        <w:pStyle w:val="NormalHanging12a"/>
        <w:widowControl/>
      </w:pPr>
      <w:r w:rsidRPr="00CE6FB8">
        <w:t>10.</w:t>
      </w:r>
      <w:r w:rsidRPr="00CE6FB8">
        <w:tab/>
        <w:t>kehottaa jäsenvaltioita helpottamaan ja tarvittaessa nopeuttamaan ainoastaan sellaisten kasvinsuojeluaineiden lupien laajentamista, jotka on jo hyväksytty ja jotka sisältävät biologisen torjunnan tehoaineita, koskemaan vähäisiä käyttötarkoituksia, mukaan lukien muun muassa tiukimmin valvotussa ympäristössä harjoitettava maatalous, ellei toimivaltainen viranomainen havaitse erityistä ja tieteellisesti perusteltua riskiä;</w:t>
      </w:r>
    </w:p>
    <w:p w14:paraId="1A88FB65" w14:textId="77777777" w:rsidR="000C2AEF" w:rsidRPr="00CE6FB8" w:rsidRDefault="000C2AEF" w:rsidP="006A4F00">
      <w:pPr>
        <w:pStyle w:val="NormalHanging12a"/>
        <w:widowControl/>
      </w:pPr>
      <w:r w:rsidRPr="00CE6FB8">
        <w:t>11.</w:t>
      </w:r>
      <w:r w:rsidRPr="00CE6FB8">
        <w:tab/>
        <w:t>kehottaa komissiota arvioimaan tapauskohtaisesti asetuksen (EY) N:o 1107/2009 51 artiklassa säädettyjen suojatoimien mukaisesti vaikutuksia, mukaan lukien riskit ja hyödyt, joita aiheutuu siitä, että ainoastaan jo hyväksytyt, biologisessa torjunnassa käytettäviä tuotteita sisältävät kasvinsuojeluaineet laajennetaan automaattisesti koskemaan vähäisiä käyttötarkoituksia;</w:t>
      </w:r>
    </w:p>
    <w:p w14:paraId="14211BB9" w14:textId="77777777" w:rsidR="000C2AEF" w:rsidRPr="00CE6FB8" w:rsidRDefault="000C2AEF" w:rsidP="006A4F00">
      <w:pPr>
        <w:pStyle w:val="NormalHanging12a"/>
        <w:widowControl/>
      </w:pPr>
      <w:r w:rsidRPr="00CE6FB8">
        <w:t>12.</w:t>
      </w:r>
      <w:r w:rsidRPr="00CE6FB8">
        <w:tab/>
        <w:t>kehottaa komissiota harkitsemaan biologisen torjunnan tehoaineiden ensimmäisen hyväksymisen ja uusimisen välisen enimmäisajan pidentämistä 25 vuoteen; kehottaa komissiota laatimaan luettelon biologisessa torjunnassa käytettävistä tuotteista, joille voidaan niiden profiilin, luonteen ja vaikutustavan perusteella myöntää lupa, jonka voimassaoloa voidaan pidentää enintään 25 vuoteen, kun kyseessä on ensimmäinen lupa, ja pitämään tätä luetteloa yllä; korostaa, että tällainen luettelo ei saa olla suljettu, sen on vastattava uusimpia tieteellisiä standardeja ja sen on oltava dynaaminen, mikä tarkoittaa, että luetteloon sisällyttämistä ei saa katsoa pysyväksi; kehottaa komissiota tarkistamaan ja päivittämään luetteloa säännöllisesti uusien tietojen tai tieteellisen kehityksen perusteella; kehottaa komissiota arvioimaan mahdollisia edellytyksiä, joiden täyttyessä biologisen torjunnan tehoaineille ja tuotteille, joiden riskiprofiilin on osoitettu olevan olematon tai merkityksetön, voitaisiin myöntää rajoituksetta voimassa oleva hyväksyntä ja lupa;</w:t>
      </w:r>
    </w:p>
    <w:p w14:paraId="55314D5D" w14:textId="77777777" w:rsidR="000C2AEF" w:rsidRPr="00CE6FB8" w:rsidRDefault="000C2AEF" w:rsidP="006A4F00">
      <w:pPr>
        <w:pStyle w:val="NormalHanging12a"/>
        <w:widowControl/>
        <w:rPr>
          <w:szCs w:val="24"/>
        </w:rPr>
      </w:pPr>
      <w:r w:rsidRPr="00CE6FB8">
        <w:t>13.</w:t>
      </w:r>
      <w:r w:rsidRPr="00CE6FB8">
        <w:tab/>
        <w:t>kehottaa lisäksi komissiota harkitsemaan tiettyjen vähäriskisten biologisten torjunta-aineiden luokkia koskevan hyväksymismekanismin luomista unionin tasolla;</w:t>
      </w:r>
    </w:p>
    <w:p w14:paraId="019ECB7D" w14:textId="77777777" w:rsidR="00A22F19" w:rsidRPr="00CE6FB8" w:rsidRDefault="000C2AEF" w:rsidP="00A22F19">
      <w:pPr>
        <w:pStyle w:val="NormalHanging12a"/>
        <w:keepNext/>
        <w:keepLines/>
        <w:widowControl/>
        <w:ind w:left="0" w:firstLine="0"/>
        <w:rPr>
          <w:b/>
          <w:i/>
        </w:rPr>
      </w:pPr>
      <w:r w:rsidRPr="00CE6FB8">
        <w:rPr>
          <w:b/>
          <w:i/>
        </w:rPr>
        <w:t>Nopeutetut menettelyt</w:t>
      </w:r>
    </w:p>
    <w:p w14:paraId="2E073A79" w14:textId="1D16754D" w:rsidR="000C2AEF" w:rsidRPr="00CE6FB8" w:rsidRDefault="000C2AEF" w:rsidP="006A4F00">
      <w:pPr>
        <w:pStyle w:val="NormalHanging12a"/>
        <w:widowControl/>
      </w:pPr>
      <w:r w:rsidRPr="00CE6FB8">
        <w:t>14.</w:t>
      </w:r>
      <w:r w:rsidRPr="00CE6FB8">
        <w:tab/>
        <w:t>suosittelee, että biologisten torjuntaratkaisujen lupamenettelyä ja luvan uusimismenettelyä samoin kuin hyväksymismenettelyä ja hyväksymisen uusimismenettelyä virtaviivaistetaan, optimoidaan ja nopeutetaan muun muassa ottamalla käyttöön nopeutettuja menettelyjä, jotta voidaan vähentää tarpeetonta hallinnollista taakkaa ja noudattaa paremmin arviointia koskevia lakisääteisiä määräaikoja ja samalla arvioida ja hallita asianmukaisesti asiaan liittyviä riskejä;</w:t>
      </w:r>
    </w:p>
    <w:p w14:paraId="665B0DDE" w14:textId="77777777" w:rsidR="000C2AEF" w:rsidRPr="00CE6FB8" w:rsidRDefault="000C2AEF" w:rsidP="006A4F00">
      <w:pPr>
        <w:pStyle w:val="NormalHanging12a"/>
        <w:widowControl/>
      </w:pPr>
      <w:r w:rsidRPr="00CE6FB8">
        <w:t>15.</w:t>
      </w:r>
      <w:r w:rsidRPr="00CE6FB8">
        <w:tab/>
        <w:t xml:space="preserve">korostaa kuitenkin, että biologisessa torjunnassa käytettävien tuotteiden markkinoille saattamista koskevien menettelyjen nopeuttamisessa on edelleen sovellettava tiukkaa </w:t>
      </w:r>
      <w:r w:rsidRPr="00CE6FB8">
        <w:lastRenderedPageBreak/>
        <w:t>tieteellistä arviointia, mukaan lukien riskianalyysi, joka kattaa myös muut kuin kohdeorganismit ja tehokkuuden erilaisissa asiaankuuluvissa ilmasto-olosuhteissa;</w:t>
      </w:r>
    </w:p>
    <w:p w14:paraId="4E2FFCA7" w14:textId="77777777" w:rsidR="000C2AEF" w:rsidRPr="00CE6FB8" w:rsidRDefault="000C2AEF" w:rsidP="00A22F19">
      <w:pPr>
        <w:pStyle w:val="NormalHanging12a"/>
        <w:keepNext/>
        <w:keepLines/>
        <w:widowControl/>
        <w:ind w:left="0" w:firstLine="0"/>
        <w:rPr>
          <w:b/>
          <w:bCs/>
          <w:i/>
          <w:iCs/>
        </w:rPr>
      </w:pPr>
      <w:r w:rsidRPr="00CE6FB8">
        <w:rPr>
          <w:b/>
          <w:i/>
        </w:rPr>
        <w:t>Väliaikainen lupa</w:t>
      </w:r>
    </w:p>
    <w:p w14:paraId="21FC67F0" w14:textId="77777777" w:rsidR="000C2AEF" w:rsidRPr="00CE6FB8" w:rsidRDefault="000C2AEF" w:rsidP="006A4F00">
      <w:pPr>
        <w:pStyle w:val="NormalHanging12a"/>
        <w:keepNext/>
        <w:keepLines/>
        <w:widowControl/>
      </w:pPr>
      <w:r w:rsidRPr="00CE6FB8">
        <w:t>16.</w:t>
      </w:r>
      <w:r w:rsidRPr="00CE6FB8">
        <w:tab/>
        <w:t>kehottaa komissiota asetuksen (EY) N:o 1107/2009 tarkistamisen yhteydessä muuttamaan 30 artiklaa, jotta voidaan harkita väliaikaisen luvan myöntämistä ainoastaan sellaisille biologisessa torjunnassa käytettäville kasvinsuojeluaineille, jotka täyttävät asetuksen asiaankuuluvat turvallisuuskriteerit; katsoo, että väliaikaisiin, ehdollisiin lupiin olisi yhdistettävä tarvittava seuranta; muistuttaa vakiintuneesta periaatteesta, jonka mukaan väliaikaista lupaa olisi tarkasteltava uudelleen ja se olisi peruutettava, jos uudet tiedot osoittavat, että terveydelle tai ympäristölle, myös muille kuin torjuttaville lajeille, aiheutuu riskejä, joita ei voida hyväksyä;</w:t>
      </w:r>
    </w:p>
    <w:p w14:paraId="6B2C30C9" w14:textId="77777777" w:rsidR="000C2AEF" w:rsidRPr="00CE6FB8" w:rsidRDefault="000C2AEF" w:rsidP="00A22F19">
      <w:pPr>
        <w:pStyle w:val="NormalHanging12a"/>
        <w:keepNext/>
        <w:keepLines/>
        <w:widowControl/>
        <w:ind w:left="0" w:firstLine="0"/>
        <w:rPr>
          <w:b/>
          <w:bCs/>
          <w:i/>
          <w:iCs/>
          <w:szCs w:val="24"/>
        </w:rPr>
      </w:pPr>
      <w:r w:rsidRPr="00CE6FB8">
        <w:rPr>
          <w:b/>
          <w:i/>
        </w:rPr>
        <w:t>Tulevaisuudennäkymät: strategia, puuteanalyysi ja pidemmän aikavälin lainsäädännöllinen näkökulma</w:t>
      </w:r>
    </w:p>
    <w:p w14:paraId="19587D9E" w14:textId="77777777" w:rsidR="000C2AEF" w:rsidRPr="00CE6FB8" w:rsidRDefault="000C2AEF" w:rsidP="006A4F00">
      <w:pPr>
        <w:pStyle w:val="NormalHanging12a"/>
        <w:widowControl/>
        <w:rPr>
          <w:szCs w:val="24"/>
        </w:rPr>
      </w:pPr>
      <w:r w:rsidRPr="00CE6FB8">
        <w:t>17.</w:t>
      </w:r>
      <w:r w:rsidRPr="00CE6FB8">
        <w:tab/>
        <w:t>kehottaa komissiota arvioimaan lainsäädäntöehdotukseensa liittyvässä vaikutustenarvioinnissa nykyisen lainsäädäntökehyksen ja riskinarviointien soveltuvuutta biologisen torjunnan tehoaineiden hyväksymiseen ja lupien myöntämiseen biologisessa torjunnassa käytettäville tuotteille muun muassa tietovaatimusten, hyväksymiskriteerien ja vastavuoroisen tunnustamisen osalta; kehottaa määrittämään ehdotukseen liittyvässä vaikutustenarvioinnissa alat, joilla nykyistä asetusta voitaisiin mukauttaa, jotta se soveltuisi paremmin biologisten torjuntaratkaisujen markkinoille saattamiseen, kuten strategisessa vuoropuhelussa kehotetaan, ja jotta voitaisiin tarjota viljelijöille heidän tarvitsemansa kehittyneempi ja kattavampi välineistö;</w:t>
      </w:r>
    </w:p>
    <w:p w14:paraId="72D7CDC5" w14:textId="77777777" w:rsidR="000C2AEF" w:rsidRPr="00CE6FB8" w:rsidRDefault="000C2AEF" w:rsidP="006A4F00">
      <w:pPr>
        <w:pStyle w:val="NormalHanging12a"/>
        <w:widowControl/>
      </w:pPr>
      <w:r w:rsidRPr="00CE6FB8">
        <w:t>18.</w:t>
      </w:r>
      <w:r w:rsidRPr="00CE6FB8">
        <w:tab/>
        <w:t>kehottaa komissiota laatimaan kattavan biologista torjuntaa koskevan strategian ja siihen liittyvän välineistön, jolla arvioidaan kasvinsuojelun odotettuja haasteita seuraavien kymmenen vuoden aikana tiettyjen viljelykasvien, tuholaisten ja tautien osalta ja jolla tuetaan vaihtoehtoisten kasvinsuojeluaineiden ja integroidun torjunnan toimenpiteiden kehittämistä, erityisesti käyttämällä tehokkaita ja kohtuuhintaisia vaihtoehtoja kasvinsuojelun puutteiden tunnistamiseksi ja markkinoilta poistamisen ennakoimiseksi, jotta käyttäjät voivat suunnitella riittävät siirtymäkaudet asteittaisen poistamisen aikana ja jotta voidaan luoda tulevaisuuden vaatimukset huomioon ottava ja tarkoituksenmukainen kehys;</w:t>
      </w:r>
    </w:p>
    <w:p w14:paraId="5BFDE152" w14:textId="77777777" w:rsidR="000C2AEF" w:rsidRPr="00CE6FB8" w:rsidRDefault="000C2AEF" w:rsidP="006A4F00">
      <w:pPr>
        <w:pStyle w:val="NormalHanging12a"/>
        <w:widowControl/>
        <w:rPr>
          <w:szCs w:val="24"/>
        </w:rPr>
      </w:pPr>
      <w:r w:rsidRPr="00CE6FB8">
        <w:t>19.</w:t>
      </w:r>
      <w:r w:rsidRPr="00CE6FB8">
        <w:tab/>
        <w:t>kehottaa komissiota tutkimaan mahdollisuutta antaa pidemmällä aikavälillä uusi erillinen biologista torjuntaa koskeva asetus, joka sisältäisi ehdot keskitetyn lähestymistavan soveltamiselle, jotta biologisten torjuntaratkaisujen arviointi-, hyväksymis- ja lupamenettelyt voidaan räätälöidä paremmin;</w:t>
      </w:r>
    </w:p>
    <w:p w14:paraId="18BBF525" w14:textId="77777777" w:rsidR="00A22F19" w:rsidRPr="00CE6FB8" w:rsidRDefault="000C2AEF" w:rsidP="00A22F19">
      <w:pPr>
        <w:pStyle w:val="NormalHanging12a"/>
        <w:keepNext/>
        <w:keepLines/>
        <w:widowControl/>
        <w:ind w:left="0" w:firstLine="0"/>
        <w:rPr>
          <w:b/>
          <w:i/>
        </w:rPr>
      </w:pPr>
      <w:r w:rsidRPr="00CE6FB8">
        <w:rPr>
          <w:b/>
          <w:i/>
        </w:rPr>
        <w:t>Käsittelyruuhkan purkaminen</w:t>
      </w:r>
    </w:p>
    <w:p w14:paraId="39413743" w14:textId="43F13CF2" w:rsidR="000C2AEF" w:rsidRPr="00CE6FB8" w:rsidRDefault="000C2AEF" w:rsidP="006A4F00">
      <w:pPr>
        <w:pStyle w:val="NormalHanging12a"/>
        <w:widowControl/>
        <w:rPr>
          <w:szCs w:val="24"/>
        </w:rPr>
      </w:pPr>
      <w:r w:rsidRPr="00CE6FB8">
        <w:t>20.</w:t>
      </w:r>
      <w:r w:rsidRPr="00CE6FB8">
        <w:tab/>
        <w:t xml:space="preserve">kehottaa tarvittaessa osoittamaan riittävät resurssit viivästyneiden biologista torjuntaa koskevien hakemusten käsittelyruuhkan purkamiseksi ja perustamaan pikakaistan edellyttäen, että torjuntaeliöiden hyväksymiseen on saatu kohdennettua lisärahoitusta asetuksen (EY) N:o 1107/2009 mukaisten tehoaineiden ja tuotteiden hyväksymis- ja lupamenettelyissä, ja samalla arvioimaan ja päivittämään hyväksymis- ja lupamenettelyjä tieteellisen ja teknisen kehityksen perusteella; korostaa, että biologisten torjuntaratkaisujen arvioinnin ja hyväksymisen nopeuttaminen ei saisi johtaa siihen, että </w:t>
      </w:r>
      <w:r w:rsidRPr="00CE6FB8">
        <w:lastRenderedPageBreak/>
        <w:t>perinteisten aineiden ja kasvinsuojeluaineiden riskinarviointi ja lupien myöntäminen viivästyvät entisestään tai että yli kymmenen vuotta markkinoilla olleiden aineiden ja kasvinsuojeluaineiden uudelleentarkastelu viivästyy, jotta voidaan varmistaa suojelun korkea taso;</w:t>
      </w:r>
    </w:p>
    <w:p w14:paraId="15F1D18B" w14:textId="77777777" w:rsidR="000C2AEF" w:rsidRPr="00CE6FB8" w:rsidRDefault="000C2AEF" w:rsidP="00A22F19">
      <w:pPr>
        <w:pStyle w:val="NormalHanging12a"/>
        <w:keepNext/>
        <w:keepLines/>
        <w:widowControl/>
        <w:ind w:left="0" w:firstLine="0"/>
        <w:rPr>
          <w:b/>
          <w:bCs/>
          <w:i/>
          <w:iCs/>
        </w:rPr>
      </w:pPr>
      <w:r w:rsidRPr="00CE6FB8">
        <w:rPr>
          <w:b/>
          <w:i/>
        </w:rPr>
        <w:t>Tuki hakijoille</w:t>
      </w:r>
    </w:p>
    <w:p w14:paraId="790090EB" w14:textId="77777777" w:rsidR="000C2AEF" w:rsidRPr="00CE6FB8" w:rsidRDefault="000C2AEF" w:rsidP="006A4F00">
      <w:pPr>
        <w:pStyle w:val="NormalHanging12a"/>
        <w:widowControl/>
      </w:pPr>
      <w:r w:rsidRPr="00CE6FB8">
        <w:t>21.</w:t>
      </w:r>
      <w:r w:rsidRPr="00CE6FB8">
        <w:tab/>
        <w:t>panee merkille nykyiset säännökset, jotka koskevat Euroopan kemikaaliviraston ja Euroopan lääkeviraston hakijoille tarjoamaa apua; kehottaa jäsenvaltioita ja EFSAa tarjoamaan teknistä tukea pienten ja keskisuurten yritysten hakemuksiin erityisesti hakemusten valmisteluvaiheessa ja soveltamaan samalla selkeitä suojatoimia eturistiriitojen välttämiseksi; kehottaa EFSAa noudattamaan edellä esitettyä ja perustamaan torjuntaeliöitä tuottaville pk-yrityksille keskitetyn asiointipisteen ja antamaan hakijoille selkeää ohjausta ja tukea asiakirja-aineiston laatimisessa sekä selventämään tietovaatimuksia ja hakemusten toimittamismenettelyjä, jotta voidaan parantaa hakemusten laatua ja siten vähentää viivästymisiä arviointi- ja lupamenettelyissä sekä helpottaa hyväksyttyjen torjuntaeliöiden saattamista EU:n markkinoille;</w:t>
      </w:r>
    </w:p>
    <w:p w14:paraId="25C475E4" w14:textId="77777777" w:rsidR="000C2AEF" w:rsidRPr="00CE6FB8" w:rsidRDefault="000C2AEF" w:rsidP="006A4F00">
      <w:pPr>
        <w:pStyle w:val="NormalHanging12a"/>
        <w:widowControl/>
        <w:rPr>
          <w:szCs w:val="24"/>
        </w:rPr>
      </w:pPr>
      <w:r w:rsidRPr="00CE6FB8">
        <w:t>22.</w:t>
      </w:r>
      <w:r w:rsidRPr="00CE6FB8">
        <w:tab/>
        <w:t>kehottaa jäsenvaltioita luomaan biologisessa torjunnassa käytettäviä tuotteita varten mukautettuja, ajallisesti tehokkaita, selkeitä ja helposti ymmärrettäviä hallinnollisia menettelyjä ja riskinarviointeja, jotka soveltuvat niiden vaikutustapaan ja tuotteen luonteeseen, sekä perustamaan erityisiä neuvontapalveluja;</w:t>
      </w:r>
    </w:p>
    <w:p w14:paraId="7CEB82AB" w14:textId="77777777" w:rsidR="000C2AEF" w:rsidRPr="00CE6FB8" w:rsidRDefault="000C2AEF" w:rsidP="006A4F00">
      <w:pPr>
        <w:pStyle w:val="NormalHanging12a"/>
        <w:widowControl/>
      </w:pPr>
      <w:r w:rsidRPr="00CE6FB8">
        <w:t>23.</w:t>
      </w:r>
      <w:r w:rsidRPr="00CE6FB8">
        <w:tab/>
        <w:t>kehottaa komissiota kiireellisesti hyväksymään biologisessa torjunnassa käytettäviä tuotteita koskevan päivitetyn ohjeasiakirjan, jotta voidaan edistää niiden käyttöönottoa ja lisätä johdonmukaisuutta kaikissa jäsenvaltioissa;</w:t>
      </w:r>
    </w:p>
    <w:p w14:paraId="7200C7F7" w14:textId="77777777" w:rsidR="000C2AEF" w:rsidRPr="00CE6FB8" w:rsidRDefault="000C2AEF" w:rsidP="00A22F19">
      <w:pPr>
        <w:pStyle w:val="NormalHanging12a"/>
        <w:keepNext/>
        <w:keepLines/>
        <w:widowControl/>
        <w:ind w:left="0" w:firstLine="0"/>
        <w:rPr>
          <w:b/>
          <w:bCs/>
          <w:i/>
          <w:iCs/>
          <w:szCs w:val="24"/>
        </w:rPr>
      </w:pPr>
      <w:r w:rsidRPr="00CE6FB8">
        <w:rPr>
          <w:b/>
          <w:i/>
        </w:rPr>
        <w:t>Direktiivin 2009/128/EY soveltaminen biologisten torjuntakeinojen edistämiseksi, myös integroidun torjunnan avulla</w:t>
      </w:r>
    </w:p>
    <w:p w14:paraId="230433A9" w14:textId="77777777" w:rsidR="000C2AEF" w:rsidRPr="00CE6FB8" w:rsidRDefault="000C2AEF" w:rsidP="006A4F00">
      <w:pPr>
        <w:pStyle w:val="NormalHanging12a"/>
        <w:widowControl/>
      </w:pPr>
      <w:r w:rsidRPr="00CE6FB8">
        <w:t>24.</w:t>
      </w:r>
      <w:r w:rsidRPr="00CE6FB8">
        <w:tab/>
        <w:t>kehottaa jäsenvaltioita sisällyttämään direktiivin 2009/128/EY mukaisiin kansallisiin toimintasuunnitelmiinsa etenkin suunniteltuja ja hyväksyttyjä toimenpiteitä biologisessa torjunnassa käytettävien tuotteiden ja muiden vähäriskisten tuotteiden lupamenettelyjen parantamiseksi;</w:t>
      </w:r>
    </w:p>
    <w:p w14:paraId="733EA7A5" w14:textId="77777777" w:rsidR="000C2AEF" w:rsidRPr="00CE6FB8" w:rsidRDefault="000C2AEF" w:rsidP="006A4F00">
      <w:pPr>
        <w:pStyle w:val="NormalHanging12a"/>
        <w:widowControl/>
      </w:pPr>
      <w:r w:rsidRPr="00CE6FB8">
        <w:t>25.</w:t>
      </w:r>
      <w:r w:rsidRPr="00CE6FB8">
        <w:tab/>
        <w:t>kehottaa komissiota ja jäsenvaltioita yhteistyössä viljelijöiden kanssa varmistamaan direktiivin 2009/128/EY tehokkaan täytäntöönpanon ja helpottamaan biologisessa torjunnassa käytettävien tuotteiden saatavuutta sekä tukemaan viljelijöitä siirtymisessä kohti kestävämpiä käytäntöjä;</w:t>
      </w:r>
    </w:p>
    <w:p w14:paraId="45B24932" w14:textId="77777777" w:rsidR="000C2AEF" w:rsidRPr="00CE6FB8" w:rsidRDefault="000C2AEF" w:rsidP="00DC60B6">
      <w:pPr>
        <w:pStyle w:val="NormalHanging12a"/>
        <w:keepNext/>
        <w:widowControl/>
        <w:rPr>
          <w:i/>
          <w:iCs/>
        </w:rPr>
      </w:pPr>
      <w:r w:rsidRPr="00CE6FB8">
        <w:rPr>
          <w:i/>
        </w:rPr>
        <w:t>Biologisten torjuntaratkaisujen mahdollisuudet</w:t>
      </w:r>
    </w:p>
    <w:p w14:paraId="24783E01" w14:textId="77777777" w:rsidR="00A22F19" w:rsidRPr="00CE6FB8" w:rsidRDefault="000C2AEF" w:rsidP="006A4F00">
      <w:pPr>
        <w:pStyle w:val="NormalHanging12a"/>
        <w:widowControl/>
      </w:pPr>
      <w:r w:rsidRPr="00CE6FB8">
        <w:t>26.</w:t>
      </w:r>
      <w:r w:rsidRPr="00CE6FB8">
        <w:tab/>
        <w:t xml:space="preserve">toteaa, että biologiseen torjuntaan perustuvilla lähestymistavoilla voidaan merkittävästi vähentää riippuvuutta tavanomaisista kasvinsuojeluaineista; toteaa, että asianmukaisesti huomioon otettuina biologiset torjuntaratkaisut voivat täydentää perinteisiä kasvinsuojeluaineita ja tarjota hyödyllisen lisän viljelijöiden laajaan ja tasapainoiseen välineistöön muiden kasvinsuojelumenetelmien ohella; korostaa, että torjuntaeliöiden tietyt ominaisuudet antavat niille erilaisen riskiprofiilin, joten ne voivat mahdollistaa kohdennetut toimet, joilla on mahdollisimman vähän muita kuin tavoite- tai jäännösvaikutuksia, mikä tekee niistä yhteensopivia integroidun torjunnan ja luonnonmukaisten viljelykäytäntöjen kanssa; korostaa, että biologisen torjunnan </w:t>
      </w:r>
      <w:r w:rsidRPr="00CE6FB8">
        <w:lastRenderedPageBreak/>
        <w:t>laajempi käyttöönotto voi siten merkittävästi edistää EU:n ympäristö-, ruokaturva- ja terveystavoitteiden saavuttamista, samalla kun ylläpidetään maatalouden tuottavuutta ja varmistetaan, että viljelijöitä ei jätetä ilman tehokkaita ja kohtuuhintaisia vaihtoehtoja viljelykasviensa suojelemiseen;</w:t>
      </w:r>
    </w:p>
    <w:p w14:paraId="469ABE73" w14:textId="7DB85A97" w:rsidR="000C2AEF" w:rsidRPr="00CE6FB8" w:rsidRDefault="000C2AEF" w:rsidP="006A4F00">
      <w:pPr>
        <w:pStyle w:val="NormalHanging12a"/>
        <w:widowControl/>
      </w:pPr>
      <w:r w:rsidRPr="00CE6FB8">
        <w:t>27.</w:t>
      </w:r>
      <w:r w:rsidRPr="00CE6FB8">
        <w:tab/>
        <w:t>toteaa, että biologisen torjunnan lupamenettelyä ja käyttöönottoa helpotettaessa olisi samalla tehostettava integroidun torjunnan käyttöönottoa ja vähennettävä perinteisiin kasvinsuojeluaineisiin liittyviä riskejä ja riippuvuutta niistä;</w:t>
      </w:r>
    </w:p>
    <w:p w14:paraId="39891579" w14:textId="0254CCA8" w:rsidR="000C2AEF" w:rsidRPr="00CE6FB8" w:rsidRDefault="00A4060F" w:rsidP="006A4F00">
      <w:pPr>
        <w:pStyle w:val="NormalHanging12a"/>
        <w:widowControl/>
        <w:rPr>
          <w:szCs w:val="24"/>
        </w:rPr>
      </w:pPr>
      <w:r w:rsidRPr="00CE6FB8">
        <w:t>28</w:t>
      </w:r>
      <w:r w:rsidR="000C2AEF" w:rsidRPr="00CE6FB8">
        <w:t>.</w:t>
      </w:r>
      <w:r w:rsidR="000C2AEF" w:rsidRPr="00CE6FB8">
        <w:tab/>
        <w:t>kehottaa komissiota varmistamaan direktiivin 2009/128/EY ja asetuksen (EY) N:o 1107/2009 mukaisen torjunta-aineiden kestävän käytön tehokkaan täytäntöönpanon ja noudattamisen valvonnan erityisesti lupapyyntöjen oikea-aikaisen käsittelyn ja integroidun torjunnan osalta; toteaa, että integroitua torjuntaa sovellettaessa viljelijät voivat aina vaihtoehtoisesti käyttää sallittuja tavanomaisia tuotteita, jotka täyttävät kaikki terveyttä ja ympäristöä koskevat turvallisuusvaatimukset;</w:t>
      </w:r>
    </w:p>
    <w:p w14:paraId="058C5B1F" w14:textId="77777777" w:rsidR="00A22F19" w:rsidRPr="00CE6FB8" w:rsidRDefault="000C2AEF" w:rsidP="00A22F19">
      <w:pPr>
        <w:pStyle w:val="NormalHanging12a"/>
        <w:keepNext/>
        <w:keepLines/>
        <w:widowControl/>
        <w:ind w:left="0" w:firstLine="0"/>
        <w:rPr>
          <w:b/>
          <w:i/>
        </w:rPr>
      </w:pPr>
      <w:r w:rsidRPr="00CE6FB8">
        <w:rPr>
          <w:b/>
          <w:i/>
        </w:rPr>
        <w:t>Suorituskyvyn ja resurssien arviointi</w:t>
      </w:r>
    </w:p>
    <w:p w14:paraId="1A32F6E6" w14:textId="5364EB2E" w:rsidR="000C2AEF" w:rsidRPr="00CE6FB8" w:rsidRDefault="00A4060F" w:rsidP="006A4F00">
      <w:pPr>
        <w:pStyle w:val="NormalHanging12a"/>
        <w:widowControl/>
      </w:pPr>
      <w:r w:rsidRPr="00CE6FB8">
        <w:t>29</w:t>
      </w:r>
      <w:r w:rsidR="000C2AEF" w:rsidRPr="00CE6FB8">
        <w:t>.</w:t>
      </w:r>
      <w:r w:rsidR="000C2AEF" w:rsidRPr="00CE6FB8">
        <w:tab/>
        <w:t>kehottaa komissiota ja jäsenvaltioita arvioimaan hallinnollista suorituskykyään ja institutionaalisia valmiuksiaan sekä EFSAlle ja asiaankuuluville kansallisille toimivaltaisille viranomaisille osoitettujen resurssien asianmukaisuutta sen varmistamiseksi, että ne voivat hoitaa tehtävänsä; korostaa, että jäsenvaltioiden ja EFSAn (uudelleen)arviointivalmiuksiin tarvitaan investointeja;</w:t>
      </w:r>
    </w:p>
    <w:p w14:paraId="3036850F" w14:textId="66A45FE1" w:rsidR="000C2AEF" w:rsidRPr="00CE6FB8" w:rsidRDefault="00A4060F" w:rsidP="006A4F00">
      <w:pPr>
        <w:pStyle w:val="NormalHanging12a"/>
        <w:widowControl/>
      </w:pPr>
      <w:r w:rsidRPr="00CE6FB8">
        <w:t>30</w:t>
      </w:r>
      <w:r w:rsidR="000C2AEF" w:rsidRPr="00CE6FB8">
        <w:t>.</w:t>
      </w:r>
      <w:r w:rsidR="000C2AEF" w:rsidRPr="00CE6FB8">
        <w:tab/>
        <w:t>kehottaa komissiota osoittamaan tarvittavat lisämäärärahat koulutukseen ja pätevän lisähenkilöstön, myös erityisasiantuntijoiden, palkkaamiseen EFSAan ja perustamaan EFSAn organisaatiorakenteeseen erityisiä ja riittäviä resursseja biologista torjuntaa varten, jotta voidaan estää tarpeettomat viivästykset biologisen torjunnan tehoaineiden hyväksymismenettelyssä sekä varmistaa räätälöidyt arvioinnit ja vähentää pullonkauloja; kehottaa komissiota toteuttamaan asianmukaisia jatkotoimia, jotta voidaan nopeuttaa hyväksymismenettelyä ja tehostaa biologisen torjunnan käyttöönottoa;</w:t>
      </w:r>
    </w:p>
    <w:p w14:paraId="369B706F" w14:textId="77777777" w:rsidR="000C2AEF" w:rsidRPr="00CE6FB8" w:rsidRDefault="000C2AEF" w:rsidP="00A22F19">
      <w:pPr>
        <w:pStyle w:val="NormalHanging12a"/>
        <w:keepNext/>
        <w:keepLines/>
        <w:widowControl/>
        <w:ind w:left="0" w:firstLine="0"/>
      </w:pPr>
      <w:r w:rsidRPr="00CE6FB8">
        <w:rPr>
          <w:b/>
          <w:i/>
        </w:rPr>
        <w:t>Jäsenvaltioiden vahva rahoitus</w:t>
      </w:r>
    </w:p>
    <w:p w14:paraId="04351FF4" w14:textId="44AC785C" w:rsidR="000C2AEF" w:rsidRPr="00CE6FB8" w:rsidRDefault="00A4060F" w:rsidP="006A4F00">
      <w:pPr>
        <w:pStyle w:val="NormalHanging12a"/>
        <w:widowControl/>
      </w:pPr>
      <w:r w:rsidRPr="00CE6FB8">
        <w:t>31</w:t>
      </w:r>
      <w:r w:rsidR="000C2AEF" w:rsidRPr="00CE6FB8">
        <w:t>.</w:t>
      </w:r>
      <w:r w:rsidR="000C2AEF" w:rsidRPr="00CE6FB8">
        <w:tab/>
        <w:t>kehottaa jäsenvaltioita varmistamaan, että asianomaisille kansallisille toimivaltaisille viranomaisille varataan riittävästi määrärahoja, joita tarvitaan viivästysten välttämiseksi biologisen torjunnan lupamenettelyissä ja biologisen torjunnan käyttöönoton vauhdittamiseksi; vaatii, että jäsenvaltioiden olisi taattava, että asianomaisilla kansallisilla toimivaltaisilla viranomaisilla on riittävät määrärahat, henkilöstö ja asiantuntemus, jotta ne voivat suorittaa (uudelleen)arvioinnit oikea-aikaisesti ja tehokkaasti; korostaa jäsenvaltioiden välisen parhaiden käytäntöjen vaihdon hyötyjä;</w:t>
      </w:r>
    </w:p>
    <w:p w14:paraId="05178E04" w14:textId="0BF1F979" w:rsidR="000C2AEF" w:rsidRPr="00CE6FB8" w:rsidRDefault="00A4060F" w:rsidP="006A4F00">
      <w:pPr>
        <w:pStyle w:val="NormalHanging12a"/>
        <w:widowControl/>
      </w:pPr>
      <w:r w:rsidRPr="00CE6FB8">
        <w:t>32</w:t>
      </w:r>
      <w:r w:rsidR="000C2AEF" w:rsidRPr="00CE6FB8">
        <w:t>.</w:t>
      </w:r>
      <w:r w:rsidR="000C2AEF" w:rsidRPr="00CE6FB8">
        <w:tab/>
        <w:t>kehottaa komissiota myös ehdottamaan toimenpiteitä ja määrittämään mekanismeja ja resursseja, joilla voidaan tukea jäsenvaltioita niiden lupamenettelyjen nopeuttamisessa; ehdottaa tässä yhteydessä, että komissio laatisi biologisessa torjunnassa käytettävien tuotteiden arvioinnissa tarvittavia vähimmäisresursseja ja -valmiuksia koskevat ohjeet, joita sovelletaan kaikissa EU:n jäsenvaltioissa;</w:t>
      </w:r>
    </w:p>
    <w:p w14:paraId="73AFCFAB" w14:textId="77777777" w:rsidR="000C2AEF" w:rsidRPr="00CE6FB8" w:rsidRDefault="000C2AEF" w:rsidP="00A22F19">
      <w:pPr>
        <w:pStyle w:val="NormalHanging12a"/>
        <w:keepNext/>
        <w:keepLines/>
        <w:widowControl/>
        <w:ind w:left="0" w:firstLine="0"/>
        <w:rPr>
          <w:b/>
          <w:bCs/>
          <w:i/>
          <w:iCs/>
          <w:szCs w:val="24"/>
        </w:rPr>
      </w:pPr>
      <w:r w:rsidRPr="00CE6FB8">
        <w:rPr>
          <w:b/>
          <w:i/>
        </w:rPr>
        <w:lastRenderedPageBreak/>
        <w:t>Tutkimus ja investoinnit</w:t>
      </w:r>
    </w:p>
    <w:p w14:paraId="3ABED75F" w14:textId="64CCB974" w:rsidR="000C2AEF" w:rsidRPr="00CE6FB8" w:rsidRDefault="00A4060F" w:rsidP="006A4F00">
      <w:pPr>
        <w:pStyle w:val="NormalHanging12a"/>
        <w:keepNext/>
        <w:keepLines/>
        <w:widowControl/>
      </w:pPr>
      <w:r w:rsidRPr="00CE6FB8">
        <w:t>33</w:t>
      </w:r>
      <w:r w:rsidR="000C2AEF" w:rsidRPr="00CE6FB8">
        <w:t>.</w:t>
      </w:r>
      <w:r w:rsidR="000C2AEF" w:rsidRPr="00CE6FB8">
        <w:tab/>
        <w:t>kehottaa komissiota ja jäsenvaltioita edistämään investointeja julkiseen ja yksityiseen tutkimukseen ja kumppanuuksiin biologisen torjunnan ja integroidun torjunnan strategioiden kehittämiseksi muun muassa tutkimuskeskusten, yliopistojen ja alueellisten innovaatiokeskittymien, EU:n innovaatiokumppanuuksien ja lippulaivahankkeiden avulla, keskittyen erityisesti pk-yrityksiin kohdennettujen ohjelmien avulla, sekä edistämään kilpailuympäristöä, joka mahdollistaa innovoinnin EU:ssa ja edistää sitä sekä vähentää EU:n maatalouden riippuvuuksia;</w:t>
      </w:r>
    </w:p>
    <w:p w14:paraId="465921EA" w14:textId="1677241D" w:rsidR="000C2AEF" w:rsidRPr="00CE6FB8" w:rsidRDefault="00A4060F" w:rsidP="006A4F00">
      <w:pPr>
        <w:pStyle w:val="NormalHanging12a"/>
        <w:widowControl/>
        <w:rPr>
          <w:rStyle w:val="Strong"/>
          <w:b w:val="0"/>
          <w:bCs w:val="0"/>
        </w:rPr>
      </w:pPr>
      <w:r w:rsidRPr="00CE6FB8">
        <w:t>34</w:t>
      </w:r>
      <w:r w:rsidR="000C2AEF" w:rsidRPr="00CE6FB8">
        <w:t>.</w:t>
      </w:r>
      <w:r w:rsidR="000C2AEF" w:rsidRPr="00CE6FB8">
        <w:rPr>
          <w:rStyle w:val="Strong"/>
        </w:rPr>
        <w:tab/>
        <w:t>korostaa biologisten torjuntamenetelmien tutkimuksen ja kehittämisen merkitystä tulevina vuosikymmeninä, erityisesti tutkimusta, jossa pyritään korjaamaan sellaisten tiettyjen viljelykasvien ja tuholaisten tai tautien yhdistelmiin liittyviä suojelupuutteita, joille on vain vähän tai ei lainkaan vaihtoehtoisia tuholaistorjuntaratkaisuja, jotta innovointi ja sääntelytoimet voidaan suunnata sinne, missä niitä kipeimmin tarvitaan;</w:t>
      </w:r>
    </w:p>
    <w:p w14:paraId="616760A9" w14:textId="77777777" w:rsidR="00A22F19" w:rsidRPr="00CE6FB8" w:rsidRDefault="000C2AEF" w:rsidP="00A22F19">
      <w:pPr>
        <w:pStyle w:val="NormalHanging12a"/>
        <w:keepNext/>
        <w:keepLines/>
        <w:widowControl/>
        <w:ind w:left="0" w:firstLine="0"/>
        <w:rPr>
          <w:b/>
          <w:i/>
        </w:rPr>
      </w:pPr>
      <w:r w:rsidRPr="00CE6FB8">
        <w:rPr>
          <w:b/>
          <w:i/>
        </w:rPr>
        <w:t>Viljelijöiden tiedonsaanti</w:t>
      </w:r>
    </w:p>
    <w:p w14:paraId="42C88910" w14:textId="024119AC" w:rsidR="000C2AEF" w:rsidRPr="00CE6FB8" w:rsidRDefault="00A4060F" w:rsidP="006A4F00">
      <w:pPr>
        <w:pStyle w:val="NormalHanging12a"/>
        <w:widowControl/>
      </w:pPr>
      <w:r w:rsidRPr="00CE6FB8">
        <w:t>35</w:t>
      </w:r>
      <w:r w:rsidR="000C2AEF" w:rsidRPr="00CE6FB8">
        <w:t>.</w:t>
      </w:r>
      <w:r w:rsidR="000C2AEF" w:rsidRPr="00CE6FB8">
        <w:tab/>
        <w:t>toteaa, että biologisen torjunnan käyttö edellyttää erilaisia lähestymistapoja, tietoja ja taitoja, jotka liittyvät erityisesti viljelykasveja suojelevien hyödyllisten lajien hoitoon; toteaa, että tämä on jo osittain sisällytetty integroituun torjuntaan ja muihin tuotantojärjestelmiin; korostaa kuitenkin, että tarvitaan lisää tietämystä, koulutusta, tietoa ja käytännön ohjeita biologisessa torjunnassa käytettävien tuotteiden tehokkaasta käytöstä ja tähän liittyvää yhteistyötä viljelijöiden kanssa;</w:t>
      </w:r>
    </w:p>
    <w:p w14:paraId="223EF897" w14:textId="114A9436" w:rsidR="000C2AEF" w:rsidRPr="00CE6FB8" w:rsidRDefault="00A4060F" w:rsidP="006A4F00">
      <w:pPr>
        <w:pStyle w:val="NormalHanging12a"/>
        <w:widowControl/>
      </w:pPr>
      <w:r w:rsidRPr="00CE6FB8">
        <w:t>36</w:t>
      </w:r>
      <w:r w:rsidR="000C2AEF" w:rsidRPr="00CE6FB8">
        <w:t>.</w:t>
      </w:r>
      <w:r w:rsidR="000C2AEF" w:rsidRPr="00CE6FB8">
        <w:tab/>
        <w:t>toteaa, että jäsenvaltioiden välillä on edelleen suuria eroja tiedon ja neuvontapalvelujen saatavuudessa; kehottaa tarjoamaan biologisten torjuntavaihtoehtojen käyttöä koskevaa neuvontaa riippumattomien neuvontajärjestelmien kautta, joilla on riittävät resurssit ja joiden olisi oltava jatkuvasti kaikkien viljelijöiden saatavilla;</w:t>
      </w:r>
    </w:p>
    <w:p w14:paraId="64D38129" w14:textId="35DAF8EC" w:rsidR="000C2AEF" w:rsidRPr="00CE6FB8" w:rsidRDefault="00A4060F" w:rsidP="006A4F00">
      <w:pPr>
        <w:pStyle w:val="NormalHanging12a"/>
        <w:widowControl/>
      </w:pPr>
      <w:r w:rsidRPr="00CE6FB8">
        <w:t>37</w:t>
      </w:r>
      <w:r w:rsidR="000C2AEF" w:rsidRPr="00CE6FB8">
        <w:t>.</w:t>
      </w:r>
      <w:r w:rsidR="000C2AEF" w:rsidRPr="00CE6FB8">
        <w:tab/>
        <w:t>kehottaa komissiota ja jäsenvaltioita yhteistyössä loppukäyttäjien kanssa tarjoamaan digitaalisen alustan, joka perustuu INSIGNIA-pilottihankkeeseen, mukaan lukien pölyttäjien pitkän aikavälin seuranta, ja parlamentin käynnistämään menestyksekkääseen, maanviljelijöille tarkoitettua integroidun torjunnan välineistöä (IPM toolbox for farmers) koskevaan pilottihankkeeseen, sellaisten hyvien käytäntöjen ja testattujen biologisten torjuntaratkaisujen levittämiseksi, joilla pyritään auttamaan viljelijöitä tekemään tietoon perustuvia päätöksiä tehokkaimmasta biologisen torjunnan tyypistä, kun otetaan huomioon tuhoojapopulaation rakenne ja asianomaisen tilan maaperä- ja ilmasto-olosuhteet; kehottaa lisäksi komissiota edistämään laajempaa välineistöä muun muassa tekemällä tästä digitaalisesta alustasta helpommin ja kaikilla EU:n kielillä saatavilla olevan pysyvän välineen ja varmistamaan kaikkien asiaankuuluvien sidosryhmien osallistumisen;</w:t>
      </w:r>
    </w:p>
    <w:p w14:paraId="210EE69A" w14:textId="3BAA78F2" w:rsidR="000C2AEF" w:rsidRPr="00CE6FB8" w:rsidRDefault="00A4060F" w:rsidP="006A4F00">
      <w:pPr>
        <w:pStyle w:val="NormalHanging12a"/>
        <w:widowControl/>
      </w:pPr>
      <w:r w:rsidRPr="00CE6FB8">
        <w:t>38</w:t>
      </w:r>
      <w:r w:rsidR="000C2AEF" w:rsidRPr="00CE6FB8">
        <w:t>.</w:t>
      </w:r>
      <w:r w:rsidR="000C2AEF" w:rsidRPr="00CE6FB8">
        <w:tab/>
        <w:t xml:space="preserve">korostaa tarvetta lisätä tiedonsaantia kouluttamalla viljelijöitä, jotta voidaan kehittää teknisiä valmiuksia malliverkostojen, vertaisvaihdon ja paikallisen teknisen, myös taloudellisen, tuen avulla biologisten torjunnan turvallisen, tehokkaan ja laajan käytön edistämiseksi; toteaa, että on hyödyllistä seurata biologisen torjunnan käyttöönottoa koskevan tiedon saatavuutta ja parhaiden käytäntöjen levittämistä; panee merkille jäsenvaltioiden ja EU:n nykyiset mahdollisuudet yhteisrahoittaa ja kannustaa viljelijöiden kouluttamista investoinneilla tai neuvontapalvelujen avulla, joita maatilojen neuvontajärjestelmät tarjoavat yhteisen maatalouspolitiikan puitteissa; </w:t>
      </w:r>
      <w:r w:rsidR="000C2AEF" w:rsidRPr="00CE6FB8">
        <w:lastRenderedPageBreak/>
        <w:t>kehottaa komissiota ja jäsenvaltioita tarjoamaan asianmukaista tukea biologista torjuntaa koskevaan koulutukseen, tekniseen tukeen ja käytännön ohjeistukseen sekä pohtimaan, miten tällaista vapaaehtoista koulutusta voitaisiin parhaiten edistää useampien viljelijöiden kannustamiseksi ottamaan käyttöön biologista torjuntaa ja integroitua torjuntaa;</w:t>
      </w:r>
    </w:p>
    <w:p w14:paraId="53B15A37" w14:textId="77777777" w:rsidR="000C2AEF" w:rsidRPr="00CE6FB8" w:rsidRDefault="000C2AEF" w:rsidP="00A22F19">
      <w:pPr>
        <w:pStyle w:val="NormalHanging12a"/>
        <w:keepNext/>
        <w:keepLines/>
        <w:widowControl/>
        <w:ind w:left="0" w:firstLine="0"/>
        <w:rPr>
          <w:b/>
          <w:bCs/>
          <w:i/>
          <w:iCs/>
        </w:rPr>
      </w:pPr>
      <w:r w:rsidRPr="00CE6FB8">
        <w:rPr>
          <w:b/>
          <w:i/>
        </w:rPr>
        <w:t>Kaikkien toimijoiden yhteistyö</w:t>
      </w:r>
    </w:p>
    <w:p w14:paraId="55DED9A1" w14:textId="7DEFB425" w:rsidR="000C2AEF" w:rsidRPr="00CE6FB8" w:rsidRDefault="00A4060F" w:rsidP="006A4F00">
      <w:pPr>
        <w:pStyle w:val="NormalHanging12a"/>
        <w:widowControl/>
      </w:pPr>
      <w:r w:rsidRPr="00CE6FB8">
        <w:t>39</w:t>
      </w:r>
      <w:r w:rsidR="000C2AEF" w:rsidRPr="00CE6FB8">
        <w:t>.</w:t>
      </w:r>
      <w:r w:rsidR="000C2AEF" w:rsidRPr="00CE6FB8">
        <w:tab/>
        <w:t>kehottaa lisäämään tieteellistä tutkimusta, tietämyksen vaihtoa, yhteistyötä ja valmiuksien kehittämistä kaikkien niiden asiaankuuluvien toimijoiden välillä, jotka osallistuvat biologisen torjunnan ja parhaiden käytäntöjen kehittämiseen, hyväksymiseen, lupien myöntämiseen, käyttöönottoon ja levittämiseen integroidun torjunnan täytäntöönpanossa kaikkialla EU:ssa sekä tietämyksen ja parhaiden käytäntöjen vaihtamiseen EU:n ulkopuolisissa maissa olevien kumppaneiden kanssa;</w:t>
      </w:r>
    </w:p>
    <w:p w14:paraId="614FD3AC" w14:textId="77777777" w:rsidR="000C2AEF" w:rsidRPr="00CE6FB8" w:rsidRDefault="000C2AEF" w:rsidP="00A22F19">
      <w:pPr>
        <w:pStyle w:val="NormalHanging12a"/>
        <w:keepNext/>
        <w:keepLines/>
        <w:widowControl/>
        <w:ind w:left="0" w:firstLine="0"/>
        <w:rPr>
          <w:b/>
          <w:bCs/>
          <w:i/>
          <w:iCs/>
        </w:rPr>
      </w:pPr>
      <w:r w:rsidRPr="00CE6FB8">
        <w:rPr>
          <w:b/>
          <w:i/>
        </w:rPr>
        <w:t>Neuvontajärjestelmien rahoitus</w:t>
      </w:r>
    </w:p>
    <w:p w14:paraId="4E7853B0" w14:textId="1131CF35" w:rsidR="000C2AEF" w:rsidRPr="00CE6FB8" w:rsidRDefault="00A4060F" w:rsidP="006A4F00">
      <w:pPr>
        <w:pStyle w:val="NormalHanging12a"/>
        <w:widowControl/>
      </w:pPr>
      <w:r w:rsidRPr="00CE6FB8">
        <w:t>40</w:t>
      </w:r>
      <w:r w:rsidR="000C2AEF" w:rsidRPr="00CE6FB8">
        <w:t>.</w:t>
      </w:r>
      <w:r w:rsidR="000C2AEF" w:rsidRPr="00CE6FB8">
        <w:tab/>
        <w:t>kehottaa sisällyttämään jäsenvaltioiden kansallisiin toimintasuunnitelmiin yksityiskohtaiset tiedot neuvontajärjestelmän rahoituksesta sekä biologista torjuntaa ja integroitua torjuntaa koskevasta koulutuksesta ja valmiuksista; korostaa, että integroidun torjunnan viljelykasvi- ja tuholaiskohtaisten ohjeiden kehittäminen ja saatavuus on edelleen epäjohdonmukaista jäsenvaltioiden välillä; kannustaa jäsenvaltioita tarkistamaan kansallisia toimintasuunnitelmiaan, jotta voidaan vahvistaa viljelijöiden mahdollisuutta saada alueelliset olosuhteet huomioon ottavia viljelykasvi- ja tuholaiskohtaisia ohjeita, myös biologisista torjuntavaihtoehdoista, torjuntavaihtoehtojen mahdollisesta sisällyttämisestä integroidun torjunnan ohjelmiin ja yhteensopivuudesta muiden kasvinsuojeluaineiden kanssa, jos niitä on saatavilla ja tämä on tarkoituksenmukaista;</w:t>
      </w:r>
    </w:p>
    <w:p w14:paraId="792F577B" w14:textId="77777777" w:rsidR="000C2AEF" w:rsidRPr="00CE6FB8" w:rsidRDefault="000C2AEF" w:rsidP="00A22F19">
      <w:pPr>
        <w:pStyle w:val="NormalHanging12a"/>
        <w:keepNext/>
        <w:keepLines/>
        <w:widowControl/>
        <w:ind w:left="0" w:firstLine="0"/>
        <w:rPr>
          <w:b/>
          <w:bCs/>
          <w:i/>
          <w:iCs/>
        </w:rPr>
      </w:pPr>
      <w:r w:rsidRPr="00CE6FB8">
        <w:rPr>
          <w:b/>
          <w:i/>
        </w:rPr>
        <w:t>Edistymisen seuranta</w:t>
      </w:r>
    </w:p>
    <w:p w14:paraId="283C1401" w14:textId="2071DF35" w:rsidR="000C2AEF" w:rsidRPr="00CE6FB8" w:rsidRDefault="00A4060F" w:rsidP="006A4F00">
      <w:pPr>
        <w:pStyle w:val="NormalHanging12a"/>
        <w:widowControl/>
      </w:pPr>
      <w:r w:rsidRPr="00CE6FB8">
        <w:t>41</w:t>
      </w:r>
      <w:r w:rsidR="000C2AEF" w:rsidRPr="00CE6FB8">
        <w:t>.</w:t>
      </w:r>
      <w:r w:rsidR="000C2AEF" w:rsidRPr="00CE6FB8">
        <w:tab/>
        <w:t>kehottaa komissiota seuraamaan säännöllisesti biologisten torjuntaratkaisujen markkinoille saattamista, saatavuutta ja kohtuuhintaisuutta;</w:t>
      </w:r>
    </w:p>
    <w:p w14:paraId="23D829D4" w14:textId="1F4257D0" w:rsidR="000C2AEF" w:rsidRPr="00CE6FB8" w:rsidRDefault="00A4060F" w:rsidP="006A4F00">
      <w:pPr>
        <w:pStyle w:val="NormalHanging12a"/>
        <w:widowControl/>
      </w:pPr>
      <w:r w:rsidRPr="00CE6FB8">
        <w:t>42</w:t>
      </w:r>
      <w:r w:rsidR="000C2AEF" w:rsidRPr="00CE6FB8">
        <w:t>.</w:t>
      </w:r>
      <w:r w:rsidR="000C2AEF" w:rsidRPr="00CE6FB8">
        <w:tab/>
        <w:t>kehottaa komissiota seuraamaan EU:n ja jäsenvaltioiden edistymistä biologisten torjuntaratkaisujen hyväksymisessä ja lupien myöntämisessä ja tarkastelemaan hakemusten määrää, niihin liittyviä hallinnollisia valmiuksia, henkilöstömääriä ja kohdennettuja määrärahoja ja erityisesti sellaisen pikakaistan täytäntöönpanoa, jolle on osoitettu erityiset lisäresurssit lupien myöntämiseksi biologisessa torjunnassa käytettäville tuotteille, kunhan se on perustettu; kehottaa komissiota julkaisemaan kertomuksen havainnoista ja toimittamaan sen parlamentille ja neuvostolle;</w:t>
      </w:r>
    </w:p>
    <w:p w14:paraId="36C97E16" w14:textId="77777777" w:rsidR="000C2AEF" w:rsidRPr="00CE6FB8" w:rsidRDefault="000C2AEF" w:rsidP="00A22F19">
      <w:pPr>
        <w:pStyle w:val="NormalHanging12a"/>
        <w:keepNext/>
        <w:keepLines/>
        <w:widowControl/>
        <w:ind w:left="0" w:firstLine="0"/>
        <w:rPr>
          <w:b/>
          <w:bCs/>
          <w:i/>
          <w:iCs/>
        </w:rPr>
      </w:pPr>
      <w:r w:rsidRPr="00CE6FB8">
        <w:rPr>
          <w:b/>
          <w:i/>
        </w:rPr>
        <w:t>Syrjäisimmät alueet</w:t>
      </w:r>
    </w:p>
    <w:p w14:paraId="10DFEF20" w14:textId="6C0DE92C" w:rsidR="00A22F19" w:rsidRPr="00CE6FB8" w:rsidRDefault="00A4060F" w:rsidP="006A4F00">
      <w:pPr>
        <w:pStyle w:val="NormalHanging12a"/>
        <w:widowControl/>
      </w:pPr>
      <w:r w:rsidRPr="00CE6FB8">
        <w:t>43</w:t>
      </w:r>
      <w:r w:rsidR="000C2AEF" w:rsidRPr="00CE6FB8">
        <w:t>.</w:t>
      </w:r>
      <w:r w:rsidR="000C2AEF" w:rsidRPr="00CE6FB8">
        <w:tab/>
        <w:t>kehottaa komissiota ja jäsenvaltioita varmistamaan, että EU:n syrjäisimmät alueet voivat hyötyä biologisen torjunnan käyttöönotosta huolehtimalla siitä, että lupamenettelyissä otetaan huomioon alueiden ainutlaatuiset agroekologiset olosuhteet ja tuholaisprofiilit sekä tarjoamalla kohdennettua koulutusta, neuvontapalveluja ja rahoitustukea näiden alueiden viljelijöille ja pk-yrityksille; kehottaa kehittämään viljelykasvi- ja tuholaiskohtaisia ohjeita ja tietoalustoja, joissa otetaan huomioon syrjäisimpien alueiden olosuhteet, jotta voidaan parantaa niiden mahdollisuuksia käyttää turvallisia, tehokkaita ja kestäviä biologisia torjuntaratkaisuja;</w:t>
      </w:r>
    </w:p>
    <w:p w14:paraId="1C9CE93F" w14:textId="55F41BEB" w:rsidR="000C2AEF" w:rsidRPr="00CE6FB8" w:rsidRDefault="000C2AEF" w:rsidP="006A4F00">
      <w:pPr>
        <w:pStyle w:val="NormalHanging12a"/>
        <w:widowControl/>
        <w:jc w:val="center"/>
      </w:pPr>
      <w:r w:rsidRPr="00CE6FB8">
        <w:lastRenderedPageBreak/>
        <w:t>°</w:t>
      </w:r>
    </w:p>
    <w:p w14:paraId="4AACC744" w14:textId="77777777" w:rsidR="000C2AEF" w:rsidRPr="00CE6FB8" w:rsidRDefault="000C2AEF" w:rsidP="006A4F00">
      <w:pPr>
        <w:pStyle w:val="NormalHanging12a"/>
        <w:widowControl/>
        <w:jc w:val="center"/>
      </w:pPr>
      <w:r w:rsidRPr="00CE6FB8">
        <w:t>°</w:t>
      </w:r>
      <w:r w:rsidRPr="00CE6FB8">
        <w:tab/>
        <w:t>°</w:t>
      </w:r>
    </w:p>
    <w:p w14:paraId="3C3E2E76" w14:textId="6AC66EF3" w:rsidR="00E365E1" w:rsidRPr="00CE6FB8" w:rsidRDefault="00A4060F" w:rsidP="00817470">
      <w:pPr>
        <w:pStyle w:val="NormalHanging12a"/>
        <w:widowControl/>
      </w:pPr>
      <w:r w:rsidRPr="00CE6FB8">
        <w:t>44</w:t>
      </w:r>
      <w:r w:rsidR="000C2AEF" w:rsidRPr="00CE6FB8">
        <w:t>.</w:t>
      </w:r>
      <w:r w:rsidR="000C2AEF" w:rsidRPr="00CE6FB8">
        <w:tab/>
        <w:t>kehottaa puhemiestä välittämään tämän päätöslauselman neuvostolle ja komissiolle sekä jäsenvaltioiden hallituksille ja parlamenteille.</w:t>
      </w:r>
    </w:p>
    <w:sectPr w:rsidR="00E365E1" w:rsidRPr="00CE6FB8" w:rsidSect="000C5B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3B867" w14:textId="77777777" w:rsidR="006F047E" w:rsidRPr="000C5BF8" w:rsidRDefault="006F047E">
      <w:r w:rsidRPr="000C5BF8">
        <w:separator/>
      </w:r>
    </w:p>
  </w:endnote>
  <w:endnote w:type="continuationSeparator" w:id="0">
    <w:p w14:paraId="00C5CEC6" w14:textId="77777777" w:rsidR="006F047E" w:rsidRPr="000C5BF8" w:rsidRDefault="006F047E">
      <w:r w:rsidRPr="000C5B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BAF61" w14:textId="77777777" w:rsidR="006F047E" w:rsidRPr="000C5BF8" w:rsidRDefault="006F047E">
      <w:r w:rsidRPr="000C5BF8">
        <w:separator/>
      </w:r>
    </w:p>
  </w:footnote>
  <w:footnote w:type="continuationSeparator" w:id="0">
    <w:p w14:paraId="67344BCB" w14:textId="77777777" w:rsidR="006F047E" w:rsidRPr="000C5BF8" w:rsidRDefault="006F047E">
      <w:r w:rsidRPr="000C5BF8">
        <w:continuationSeparator/>
      </w:r>
    </w:p>
  </w:footnote>
  <w:footnote w:id="1">
    <w:p w14:paraId="74F1904A" w14:textId="222EB88A" w:rsidR="000C2AEF" w:rsidRPr="000C5BF8" w:rsidRDefault="000C2AEF" w:rsidP="000C5BF8">
      <w:pPr>
        <w:pStyle w:val="FootnoteText"/>
        <w:ind w:left="567" w:hanging="567"/>
        <w:rPr>
          <w:iCs/>
          <w:sz w:val="24"/>
          <w:lang w:val="fi-FI"/>
        </w:rPr>
      </w:pPr>
      <w:r w:rsidRPr="000C5BF8">
        <w:rPr>
          <w:rStyle w:val="FootnoteReference"/>
          <w:sz w:val="24"/>
          <w:lang w:val="fi-FI"/>
        </w:rPr>
        <w:footnoteRef/>
      </w:r>
      <w:r w:rsidR="000C5BF8" w:rsidRPr="000C5BF8">
        <w:rPr>
          <w:sz w:val="24"/>
          <w:lang w:val="fi-FI"/>
        </w:rPr>
        <w:t xml:space="preserve"> </w:t>
      </w:r>
      <w:r w:rsidR="000C5BF8" w:rsidRPr="000C5BF8">
        <w:rPr>
          <w:sz w:val="24"/>
          <w:lang w:val="fi-FI"/>
        </w:rPr>
        <w:tab/>
      </w:r>
      <w:r w:rsidRPr="000C5BF8">
        <w:rPr>
          <w:sz w:val="24"/>
          <w:lang w:val="fi-FI"/>
        </w:rPr>
        <w:t xml:space="preserve">EUVL L 309, 24.11.2009, s. 1, ELI: </w:t>
      </w:r>
      <w:hyperlink r:id="rId1" w:tooltip="Linkki asiakirjaan sen ELI-tunnukseen perustuvan URI-osoitteen kautta." w:history="1">
        <w:r w:rsidRPr="000C5BF8">
          <w:rPr>
            <w:rStyle w:val="Hyperlink"/>
            <w:sz w:val="24"/>
            <w:lang w:val="fi-FI"/>
          </w:rPr>
          <w:t>http://data.europa.eu/eli/reg/2009/1107/oj</w:t>
        </w:r>
      </w:hyperlink>
      <w:r w:rsidRPr="000C5BF8">
        <w:rPr>
          <w:sz w:val="24"/>
          <w:lang w:val="fi-FI"/>
        </w:rPr>
        <w:t>.</w:t>
      </w:r>
    </w:p>
  </w:footnote>
  <w:footnote w:id="2">
    <w:p w14:paraId="72395AB8" w14:textId="07BAE124" w:rsidR="000C2AEF" w:rsidRPr="00A4060F" w:rsidRDefault="000C2AEF" w:rsidP="000C5BF8">
      <w:pPr>
        <w:pStyle w:val="FootnoteText"/>
        <w:ind w:left="567" w:hanging="567"/>
        <w:rPr>
          <w:sz w:val="24"/>
          <w:lang w:val="fr-BE"/>
        </w:rPr>
      </w:pPr>
      <w:r w:rsidRPr="000C5BF8">
        <w:rPr>
          <w:rStyle w:val="FootnoteReference"/>
          <w:sz w:val="24"/>
          <w:lang w:val="fi-FI"/>
        </w:rPr>
        <w:footnoteRef/>
      </w:r>
      <w:r w:rsidR="000C5BF8" w:rsidRPr="00A4060F">
        <w:rPr>
          <w:sz w:val="24"/>
          <w:lang w:val="fr-BE"/>
        </w:rPr>
        <w:t xml:space="preserve"> </w:t>
      </w:r>
      <w:r w:rsidR="000C5BF8" w:rsidRPr="00A4060F">
        <w:rPr>
          <w:sz w:val="24"/>
          <w:lang w:val="fr-BE"/>
        </w:rPr>
        <w:tab/>
      </w:r>
      <w:r w:rsidRPr="00A4060F">
        <w:rPr>
          <w:sz w:val="24"/>
          <w:lang w:val="fr-BE"/>
        </w:rPr>
        <w:t>EUVL L 331, 27.12.2022, s. 6, ELI: </w:t>
      </w:r>
      <w:hyperlink r:id="rId2" w:tooltip="Linkki asiakirjaan sen ELI-tunnukseen perustuvan URI-osoitteen kautta." w:history="1">
        <w:r w:rsidRPr="00A4060F">
          <w:rPr>
            <w:rStyle w:val="Hyperlink"/>
            <w:sz w:val="24"/>
            <w:lang w:val="fr-BE"/>
          </w:rPr>
          <w:t>http://data.europa.eu/eli/dec/2022/2572/oj</w:t>
        </w:r>
      </w:hyperlink>
      <w:r w:rsidRPr="00A4060F">
        <w:rPr>
          <w:sz w:val="24"/>
          <w:lang w:val="fr-BE"/>
        </w:rPr>
        <w:t>.</w:t>
      </w:r>
    </w:p>
  </w:footnote>
  <w:footnote w:id="3">
    <w:p w14:paraId="1D5A3E28" w14:textId="082B0520" w:rsidR="000C2AEF" w:rsidRPr="00A4060F" w:rsidRDefault="000C2AEF" w:rsidP="000C5BF8">
      <w:pPr>
        <w:pStyle w:val="FootnoteText"/>
        <w:ind w:left="567" w:hanging="567"/>
        <w:rPr>
          <w:sz w:val="24"/>
          <w:lang w:val="fr-BE"/>
        </w:rPr>
      </w:pPr>
      <w:r w:rsidRPr="000C5BF8">
        <w:rPr>
          <w:rStyle w:val="FootnoteReference"/>
          <w:sz w:val="24"/>
          <w:lang w:val="fi-FI"/>
        </w:rPr>
        <w:footnoteRef/>
      </w:r>
      <w:r w:rsidR="000C5BF8" w:rsidRPr="00A4060F">
        <w:rPr>
          <w:sz w:val="24"/>
          <w:lang w:val="fr-BE"/>
        </w:rPr>
        <w:t xml:space="preserve"> </w:t>
      </w:r>
      <w:r w:rsidR="000C5BF8" w:rsidRPr="00A4060F">
        <w:rPr>
          <w:sz w:val="24"/>
          <w:lang w:val="fr-BE"/>
        </w:rPr>
        <w:tab/>
      </w:r>
      <w:r w:rsidRPr="00A4060F">
        <w:rPr>
          <w:sz w:val="24"/>
          <w:lang w:val="fr-BE"/>
        </w:rPr>
        <w:t>EUVL L 309, 24.11.2009, s. 71, ELI: </w:t>
      </w:r>
      <w:hyperlink r:id="rId3" w:tooltip="Linkki asiakirjaan sen ELI-tunnukseen perustuvan URI-osoitteen kautta." w:history="1">
        <w:r w:rsidRPr="00A4060F">
          <w:rPr>
            <w:rStyle w:val="Hyperlink"/>
            <w:sz w:val="24"/>
            <w:lang w:val="fr-BE"/>
          </w:rPr>
          <w:t>http://data.europa.eu/eli/dir/2009/128/oj</w:t>
        </w:r>
      </w:hyperlink>
      <w:r w:rsidRPr="00A4060F">
        <w:rPr>
          <w:sz w:val="24"/>
          <w:lang w:val="fr-BE"/>
        </w:rPr>
        <w:t>.</w:t>
      </w:r>
    </w:p>
  </w:footnote>
  <w:footnote w:id="4">
    <w:p w14:paraId="2A0F3B01" w14:textId="70CF0657" w:rsidR="000C2AEF" w:rsidRPr="00A4060F" w:rsidRDefault="000C2AEF" w:rsidP="000C5BF8">
      <w:pPr>
        <w:pStyle w:val="FootnoteText"/>
        <w:ind w:left="567" w:hanging="567"/>
        <w:rPr>
          <w:sz w:val="24"/>
          <w:lang w:val="fr-BE"/>
        </w:rPr>
      </w:pPr>
      <w:r w:rsidRPr="000C5BF8">
        <w:rPr>
          <w:rStyle w:val="FootnoteReference"/>
          <w:sz w:val="24"/>
          <w:lang w:val="fi-FI"/>
        </w:rPr>
        <w:footnoteRef/>
      </w:r>
      <w:r w:rsidR="000C5BF8" w:rsidRPr="00A4060F">
        <w:rPr>
          <w:sz w:val="24"/>
          <w:lang w:val="fr-BE"/>
        </w:rPr>
        <w:t xml:space="preserve"> </w:t>
      </w:r>
      <w:r w:rsidR="000C5BF8" w:rsidRPr="00A4060F">
        <w:rPr>
          <w:sz w:val="24"/>
          <w:lang w:val="fr-BE"/>
        </w:rPr>
        <w:tab/>
      </w:r>
      <w:r w:rsidRPr="00A4060F">
        <w:rPr>
          <w:sz w:val="24"/>
          <w:lang w:val="fr-BE"/>
        </w:rPr>
        <w:t>EUVL C, C/2024/4227, 24.7.2024, ELI: </w:t>
      </w:r>
      <w:hyperlink r:id="rId4" w:tgtFrame="_blank" w:tooltip="Linkki asiakirjaan sen ELI-tunnukseen perustuvan URI-osoitteen kautta." w:history="1">
        <w:r w:rsidRPr="00A4060F">
          <w:rPr>
            <w:rStyle w:val="Hyperlink"/>
            <w:sz w:val="24"/>
            <w:lang w:val="fr-BE"/>
          </w:rPr>
          <w:t>http://data.europa.eu/eli/C/2024/4227/oj</w:t>
        </w:r>
      </w:hyperlink>
      <w:r w:rsidRPr="00A4060F">
        <w:rPr>
          <w:sz w:val="24"/>
          <w:lang w:val="fr-BE"/>
        </w:rPr>
        <w:t>.</w:t>
      </w:r>
    </w:p>
  </w:footnote>
  <w:footnote w:id="5">
    <w:p w14:paraId="2557713A" w14:textId="312AFD67" w:rsidR="000C2AEF" w:rsidRPr="00A4060F" w:rsidRDefault="000C2AEF" w:rsidP="000C5BF8">
      <w:pPr>
        <w:pStyle w:val="FootnoteText"/>
        <w:ind w:left="567" w:hanging="567"/>
        <w:rPr>
          <w:sz w:val="24"/>
          <w:lang w:val="fr-BE"/>
        </w:rPr>
      </w:pPr>
      <w:r w:rsidRPr="000C5BF8">
        <w:rPr>
          <w:rStyle w:val="FootnoteReference"/>
          <w:sz w:val="24"/>
          <w:lang w:val="fi-FI"/>
        </w:rPr>
        <w:footnoteRef/>
      </w:r>
      <w:r w:rsidR="000C5BF8" w:rsidRPr="00A4060F">
        <w:rPr>
          <w:sz w:val="24"/>
          <w:lang w:val="fr-BE"/>
        </w:rPr>
        <w:t xml:space="preserve"> </w:t>
      </w:r>
      <w:r w:rsidR="000C5BF8" w:rsidRPr="00A4060F">
        <w:rPr>
          <w:sz w:val="24"/>
          <w:lang w:val="fr-BE"/>
        </w:rPr>
        <w:tab/>
      </w:r>
      <w:r w:rsidRPr="00A4060F">
        <w:rPr>
          <w:sz w:val="24"/>
          <w:lang w:val="fr-BE"/>
        </w:rPr>
        <w:t>EUVL C 411, 27.11.2020, s. 48.</w:t>
      </w:r>
    </w:p>
  </w:footnote>
  <w:footnote w:id="6">
    <w:p w14:paraId="269F8C13" w14:textId="3D813068" w:rsidR="000C2AEF" w:rsidRPr="00A4060F" w:rsidRDefault="000C2AEF" w:rsidP="000C5BF8">
      <w:pPr>
        <w:pStyle w:val="FootnoteText"/>
        <w:ind w:left="567" w:hanging="567"/>
        <w:rPr>
          <w:sz w:val="24"/>
          <w:lang w:val="fr-BE"/>
        </w:rPr>
      </w:pPr>
      <w:r w:rsidRPr="000C5BF8">
        <w:rPr>
          <w:rStyle w:val="FootnoteReference"/>
          <w:sz w:val="24"/>
          <w:lang w:val="fi-FI"/>
        </w:rPr>
        <w:footnoteRef/>
      </w:r>
      <w:r w:rsidR="000C5BF8" w:rsidRPr="00A4060F">
        <w:rPr>
          <w:sz w:val="24"/>
          <w:lang w:val="fr-BE"/>
        </w:rPr>
        <w:t xml:space="preserve"> </w:t>
      </w:r>
      <w:r w:rsidR="000C5BF8" w:rsidRPr="00A4060F">
        <w:rPr>
          <w:sz w:val="24"/>
          <w:lang w:val="fr-BE"/>
        </w:rPr>
        <w:tab/>
      </w:r>
      <w:r w:rsidRPr="00A4060F">
        <w:rPr>
          <w:sz w:val="24"/>
          <w:lang w:val="fr-BE"/>
        </w:rPr>
        <w:t>https://food.ec.europa.eu/plants/pesticides/eu-pesticides-database_en.</w:t>
      </w:r>
    </w:p>
  </w:footnote>
  <w:footnote w:id="7">
    <w:p w14:paraId="51CD6BC0" w14:textId="24DDAA73" w:rsidR="000C2AEF" w:rsidRPr="000C5BF8" w:rsidRDefault="000C2AEF" w:rsidP="000C5BF8">
      <w:pPr>
        <w:pStyle w:val="FootnoteText"/>
        <w:ind w:left="567" w:hanging="567"/>
        <w:rPr>
          <w:sz w:val="24"/>
          <w:lang w:val="fi-FI"/>
        </w:rPr>
      </w:pPr>
      <w:r w:rsidRPr="000C5BF8">
        <w:rPr>
          <w:rStyle w:val="FootnoteReference"/>
          <w:sz w:val="24"/>
          <w:lang w:val="fi-FI"/>
        </w:rPr>
        <w:footnoteRef/>
      </w:r>
      <w:r w:rsidR="000C5BF8" w:rsidRPr="000C5BF8">
        <w:rPr>
          <w:sz w:val="24"/>
          <w:lang w:val="fi-FI"/>
        </w:rPr>
        <w:t xml:space="preserve"> </w:t>
      </w:r>
      <w:r w:rsidR="000C5BF8" w:rsidRPr="000C5BF8">
        <w:rPr>
          <w:sz w:val="24"/>
          <w:lang w:val="fi-FI"/>
        </w:rPr>
        <w:tab/>
      </w:r>
      <w:r w:rsidRPr="000C5BF8">
        <w:rPr>
          <w:sz w:val="24"/>
          <w:lang w:val="fi-FI"/>
        </w:rPr>
        <w:t>Esimerkiksi invasiivinen luonne tai allergeenisuus.</w:t>
      </w:r>
    </w:p>
  </w:footnote>
  <w:footnote w:id="8">
    <w:p w14:paraId="50AB7D17" w14:textId="565E6C61" w:rsidR="000C2AEF" w:rsidRPr="000C5BF8" w:rsidRDefault="000C2AEF" w:rsidP="000C5BF8">
      <w:pPr>
        <w:pStyle w:val="FootnoteText"/>
        <w:ind w:left="567" w:hanging="567"/>
        <w:rPr>
          <w:sz w:val="24"/>
          <w:lang w:val="fi-FI"/>
        </w:rPr>
      </w:pPr>
      <w:r w:rsidRPr="000C5BF8">
        <w:rPr>
          <w:rStyle w:val="FootnoteReference"/>
          <w:color w:val="000000" w:themeColor="text1"/>
          <w:sz w:val="24"/>
          <w:lang w:val="fi-FI"/>
        </w:rPr>
        <w:footnoteRef/>
      </w:r>
      <w:r w:rsidR="000C5BF8" w:rsidRPr="000C5BF8">
        <w:rPr>
          <w:sz w:val="24"/>
          <w:lang w:val="fi-FI"/>
        </w:rPr>
        <w:t xml:space="preserve"> </w:t>
      </w:r>
      <w:r w:rsidR="000C5BF8" w:rsidRPr="000C5BF8">
        <w:rPr>
          <w:sz w:val="24"/>
          <w:lang w:val="fi-FI"/>
        </w:rPr>
        <w:tab/>
      </w:r>
      <w:r w:rsidRPr="000C5BF8">
        <w:rPr>
          <w:sz w:val="24"/>
          <w:lang w:val="fi-FI"/>
        </w:rPr>
        <w:t>19. helmikuuta 2025 annettu komission tiedonanto ”Maataloutta ja elintarvikkeita koskeva visio – Maatalous- ja elintarvikealasta houkutteleva tuleville sukupolville” (COM(2025)0075).</w:t>
      </w:r>
    </w:p>
  </w:footnote>
  <w:footnote w:id="9">
    <w:p w14:paraId="5DEABB1D" w14:textId="1D4902D0" w:rsidR="000C2AEF" w:rsidRPr="000C5BF8" w:rsidRDefault="000C2AEF" w:rsidP="000C5BF8">
      <w:pPr>
        <w:pStyle w:val="FootnoteText"/>
        <w:ind w:left="567" w:hanging="567"/>
        <w:rPr>
          <w:sz w:val="24"/>
          <w:lang w:val="fi-FI"/>
        </w:rPr>
      </w:pPr>
      <w:r w:rsidRPr="000C5BF8">
        <w:rPr>
          <w:rStyle w:val="FootnoteReference"/>
          <w:color w:val="000000" w:themeColor="text1"/>
          <w:sz w:val="24"/>
          <w:lang w:val="fi-FI"/>
        </w:rPr>
        <w:footnoteRef/>
      </w:r>
      <w:r w:rsidR="000C5BF8" w:rsidRPr="000C5BF8">
        <w:rPr>
          <w:sz w:val="24"/>
          <w:lang w:val="fi-FI"/>
        </w:rPr>
        <w:t xml:space="preserve"> </w:t>
      </w:r>
      <w:r w:rsidR="000C5BF8" w:rsidRPr="000C5BF8">
        <w:rPr>
          <w:sz w:val="24"/>
          <w:lang w:val="fi-FI"/>
        </w:rPr>
        <w:tab/>
      </w:r>
      <w:r w:rsidRPr="000C5BF8">
        <w:rPr>
          <w:sz w:val="24"/>
          <w:lang w:val="fi-FI"/>
        </w:rPr>
        <w:t>Euroopan parlamentin ja neuvoston asetus (EU) 2018/848, annettu 30. toukokuuta 2018, luonnonmukaisesta tuotannosta ja luonnonmukaisesti tuotettujen tuotteiden merkinnöistä ja neuvoston asetuksen (EY) N:o 834/2007 kumoamisesta (EUVL L 150, 14.6.2018, s. 1, ELI:</w:t>
      </w:r>
      <w:r w:rsidRPr="000C5BF8">
        <w:rPr>
          <w:color w:val="000000" w:themeColor="text1"/>
          <w:sz w:val="24"/>
          <w:lang w:val="fi-FI"/>
        </w:rPr>
        <w:t> </w:t>
      </w:r>
      <w:hyperlink r:id="rId5" w:tooltip="Linkki asiakirjaan sen ELI-tunnukseen perustuvan URI-osoitteen kautta." w:history="1">
        <w:r w:rsidRPr="000C5BF8">
          <w:rPr>
            <w:rStyle w:val="Hyperlink"/>
            <w:sz w:val="24"/>
            <w:lang w:val="fi-FI"/>
          </w:rPr>
          <w:t>http://data.europa.eu/eli/reg/2018/848/oj</w:t>
        </w:r>
      </w:hyperlink>
      <w:r w:rsidRPr="000C5BF8">
        <w:rPr>
          <w:color w:val="000000" w:themeColor="text1"/>
          <w:sz w:val="24"/>
          <w:lang w:val="fi-FI"/>
        </w:rPr>
        <w:t>).</w:t>
      </w:r>
    </w:p>
  </w:footnote>
  <w:footnote w:id="10">
    <w:p w14:paraId="1119269F" w14:textId="61DECF8B" w:rsidR="000C2AEF" w:rsidRPr="000C5BF8" w:rsidRDefault="000C2AEF" w:rsidP="000C5BF8">
      <w:pPr>
        <w:pStyle w:val="FootnoteText"/>
        <w:ind w:left="567" w:hanging="567"/>
        <w:rPr>
          <w:sz w:val="24"/>
          <w:lang w:val="fi-FI"/>
        </w:rPr>
      </w:pPr>
      <w:r w:rsidRPr="000C5BF8">
        <w:rPr>
          <w:rStyle w:val="FootnoteReference"/>
          <w:sz w:val="24"/>
          <w:lang w:val="fi-FI"/>
        </w:rPr>
        <w:footnoteRef/>
      </w:r>
      <w:r w:rsidR="000C5BF8" w:rsidRPr="000C5BF8">
        <w:rPr>
          <w:sz w:val="24"/>
          <w:lang w:val="fi-FI"/>
        </w:rPr>
        <w:t xml:space="preserve"> </w:t>
      </w:r>
      <w:r w:rsidR="000C5BF8" w:rsidRPr="000C5BF8">
        <w:rPr>
          <w:sz w:val="24"/>
          <w:lang w:val="fi-FI"/>
        </w:rPr>
        <w:tab/>
      </w:r>
      <w:r w:rsidRPr="000C5BF8">
        <w:rPr>
          <w:sz w:val="24"/>
          <w:lang w:val="fi-FI"/>
        </w:rPr>
        <w:t>Esimerkiksi asetuksen (EY) N:o 1107/2009 4 artiklan 1–4 kohdan ja liitteessä II olevan 3.6–10 kohdan nojalla.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2545012">
    <w:abstractNumId w:val="9"/>
  </w:num>
  <w:num w:numId="2" w16cid:durableId="1451050536">
    <w:abstractNumId w:val="9"/>
  </w:num>
  <w:num w:numId="3" w16cid:durableId="2027557926">
    <w:abstractNumId w:val="7"/>
  </w:num>
  <w:num w:numId="4" w16cid:durableId="389112256">
    <w:abstractNumId w:val="7"/>
  </w:num>
  <w:num w:numId="5" w16cid:durableId="2064909534">
    <w:abstractNumId w:val="6"/>
  </w:num>
  <w:num w:numId="6" w16cid:durableId="1526675909">
    <w:abstractNumId w:val="6"/>
  </w:num>
  <w:num w:numId="7" w16cid:durableId="372389221">
    <w:abstractNumId w:val="5"/>
  </w:num>
  <w:num w:numId="8" w16cid:durableId="120268097">
    <w:abstractNumId w:val="5"/>
  </w:num>
  <w:num w:numId="9" w16cid:durableId="1490294812">
    <w:abstractNumId w:val="4"/>
  </w:num>
  <w:num w:numId="10" w16cid:durableId="1753309925">
    <w:abstractNumId w:val="4"/>
  </w:num>
  <w:num w:numId="11" w16cid:durableId="518587124">
    <w:abstractNumId w:val="8"/>
  </w:num>
  <w:num w:numId="12" w16cid:durableId="1860001775">
    <w:abstractNumId w:val="8"/>
  </w:num>
  <w:num w:numId="13" w16cid:durableId="464740184">
    <w:abstractNumId w:val="3"/>
  </w:num>
  <w:num w:numId="14" w16cid:durableId="949701438">
    <w:abstractNumId w:val="3"/>
  </w:num>
  <w:num w:numId="15" w16cid:durableId="558833323">
    <w:abstractNumId w:val="2"/>
  </w:num>
  <w:num w:numId="16" w16cid:durableId="1313753567">
    <w:abstractNumId w:val="2"/>
  </w:num>
  <w:num w:numId="17" w16cid:durableId="1928494987">
    <w:abstractNumId w:val="1"/>
  </w:num>
  <w:num w:numId="18" w16cid:durableId="556169317">
    <w:abstractNumId w:val="1"/>
  </w:num>
  <w:num w:numId="19" w16cid:durableId="426312537">
    <w:abstractNumId w:val="0"/>
  </w:num>
  <w:num w:numId="20" w16cid:durableId="1135099898">
    <w:abstractNumId w:val="0"/>
  </w:num>
  <w:num w:numId="21" w16cid:durableId="798376807">
    <w:abstractNumId w:val="9"/>
  </w:num>
  <w:num w:numId="22" w16cid:durableId="366030193">
    <w:abstractNumId w:val="7"/>
  </w:num>
  <w:num w:numId="23" w16cid:durableId="1756514731">
    <w:abstractNumId w:val="6"/>
  </w:num>
  <w:num w:numId="24" w16cid:durableId="1915434817">
    <w:abstractNumId w:val="5"/>
  </w:num>
  <w:num w:numId="25" w16cid:durableId="33504881">
    <w:abstractNumId w:val="4"/>
  </w:num>
  <w:num w:numId="26" w16cid:durableId="286204892">
    <w:abstractNumId w:val="8"/>
  </w:num>
  <w:num w:numId="27" w16cid:durableId="699284027">
    <w:abstractNumId w:val="3"/>
  </w:num>
  <w:num w:numId="28" w16cid:durableId="1472281897">
    <w:abstractNumId w:val="2"/>
  </w:num>
  <w:num w:numId="29" w16cid:durableId="535774634">
    <w:abstractNumId w:val="1"/>
  </w:num>
  <w:num w:numId="30" w16cid:durableId="784539903">
    <w:abstractNumId w:val="0"/>
  </w:num>
  <w:num w:numId="31" w16cid:durableId="1277564323">
    <w:abstractNumId w:val="9"/>
  </w:num>
  <w:num w:numId="32" w16cid:durableId="633219777">
    <w:abstractNumId w:val="7"/>
  </w:num>
  <w:num w:numId="33" w16cid:durableId="806553305">
    <w:abstractNumId w:val="6"/>
  </w:num>
  <w:num w:numId="34" w16cid:durableId="2099522053">
    <w:abstractNumId w:val="5"/>
  </w:num>
  <w:num w:numId="35" w16cid:durableId="238293551">
    <w:abstractNumId w:val="4"/>
  </w:num>
  <w:num w:numId="36" w16cid:durableId="1878010223">
    <w:abstractNumId w:val="8"/>
  </w:num>
  <w:num w:numId="37" w16cid:durableId="550457093">
    <w:abstractNumId w:val="3"/>
  </w:num>
  <w:num w:numId="38" w16cid:durableId="1579369027">
    <w:abstractNumId w:val="2"/>
  </w:num>
  <w:num w:numId="39" w16cid:durableId="1470199166">
    <w:abstractNumId w:val="1"/>
  </w:num>
  <w:num w:numId="40" w16cid:durableId="915896290">
    <w:abstractNumId w:val="0"/>
  </w:num>
  <w:num w:numId="41" w16cid:durableId="496384376">
    <w:abstractNumId w:val="10"/>
  </w:num>
  <w:num w:numId="42" w16cid:durableId="1453674924">
    <w:abstractNumId w:val="10"/>
  </w:num>
  <w:num w:numId="43" w16cid:durableId="1561480717">
    <w:abstractNumId w:val="10"/>
  </w:num>
  <w:num w:numId="44" w16cid:durableId="608925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FI"/>
    <w:docVar w:name="dvnumam" w:val="0"/>
    <w:docVar w:name="dvpe" w:val="774.306"/>
    <w:docVar w:name="dvrapporteur" w:val="Esittelijä: "/>
    <w:docVar w:name="dvtitre" w:val="Euroopan parlamentin päätöslauselma xx. xxxkuuta 2025 torjuntaeliöiden nopeamman rekisteröinnin ja käyttöönoton varmistamisesta(2025/2086(INI))"/>
  </w:docVars>
  <w:rsids>
    <w:rsidRoot w:val="006F047E"/>
    <w:rsid w:val="00002272"/>
    <w:rsid w:val="00064002"/>
    <w:rsid w:val="000677B9"/>
    <w:rsid w:val="000831BA"/>
    <w:rsid w:val="000A42CC"/>
    <w:rsid w:val="000C2AEF"/>
    <w:rsid w:val="000C5BF8"/>
    <w:rsid w:val="000E7DD9"/>
    <w:rsid w:val="0010095E"/>
    <w:rsid w:val="00125B37"/>
    <w:rsid w:val="00187494"/>
    <w:rsid w:val="001F32AE"/>
    <w:rsid w:val="002767FF"/>
    <w:rsid w:val="002B18FE"/>
    <w:rsid w:val="002B5493"/>
    <w:rsid w:val="00343214"/>
    <w:rsid w:val="00361C00"/>
    <w:rsid w:val="0037330E"/>
    <w:rsid w:val="00395FA1"/>
    <w:rsid w:val="003E15D4"/>
    <w:rsid w:val="0040416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4F00"/>
    <w:rsid w:val="006F047E"/>
    <w:rsid w:val="006F74FA"/>
    <w:rsid w:val="00731ADD"/>
    <w:rsid w:val="00733092"/>
    <w:rsid w:val="00734777"/>
    <w:rsid w:val="00747932"/>
    <w:rsid w:val="00751A4A"/>
    <w:rsid w:val="00756632"/>
    <w:rsid w:val="00762C74"/>
    <w:rsid w:val="00786EC0"/>
    <w:rsid w:val="007D1690"/>
    <w:rsid w:val="007E22AD"/>
    <w:rsid w:val="00817416"/>
    <w:rsid w:val="00817470"/>
    <w:rsid w:val="00842779"/>
    <w:rsid w:val="00865F67"/>
    <w:rsid w:val="00881A7B"/>
    <w:rsid w:val="008840E5"/>
    <w:rsid w:val="00887B3E"/>
    <w:rsid w:val="00891123"/>
    <w:rsid w:val="008C2AC6"/>
    <w:rsid w:val="00930C23"/>
    <w:rsid w:val="0093193B"/>
    <w:rsid w:val="009509D8"/>
    <w:rsid w:val="00950B64"/>
    <w:rsid w:val="00981893"/>
    <w:rsid w:val="00A1687D"/>
    <w:rsid w:val="00A22F19"/>
    <w:rsid w:val="00A4060F"/>
    <w:rsid w:val="00A43E52"/>
    <w:rsid w:val="00A4678D"/>
    <w:rsid w:val="00A778C7"/>
    <w:rsid w:val="00AB441E"/>
    <w:rsid w:val="00AB6293"/>
    <w:rsid w:val="00AE0928"/>
    <w:rsid w:val="00AF3B82"/>
    <w:rsid w:val="00B12E95"/>
    <w:rsid w:val="00B22876"/>
    <w:rsid w:val="00B558F0"/>
    <w:rsid w:val="00BB2CD3"/>
    <w:rsid w:val="00BD3D6C"/>
    <w:rsid w:val="00BD48FE"/>
    <w:rsid w:val="00BD7BD8"/>
    <w:rsid w:val="00BE6ADC"/>
    <w:rsid w:val="00C05BFE"/>
    <w:rsid w:val="00C23CD4"/>
    <w:rsid w:val="00C61C0C"/>
    <w:rsid w:val="00C941CB"/>
    <w:rsid w:val="00CC2357"/>
    <w:rsid w:val="00CE6FB8"/>
    <w:rsid w:val="00CF071A"/>
    <w:rsid w:val="00CF136F"/>
    <w:rsid w:val="00D058B8"/>
    <w:rsid w:val="00D50FFD"/>
    <w:rsid w:val="00D56C11"/>
    <w:rsid w:val="00D7445A"/>
    <w:rsid w:val="00D834A0"/>
    <w:rsid w:val="00D872DF"/>
    <w:rsid w:val="00D91E21"/>
    <w:rsid w:val="00DA7FCD"/>
    <w:rsid w:val="00DC60B6"/>
    <w:rsid w:val="00E365E1"/>
    <w:rsid w:val="00E820A4"/>
    <w:rsid w:val="00EB006A"/>
    <w:rsid w:val="00EB4772"/>
    <w:rsid w:val="00ED169E"/>
    <w:rsid w:val="00ED4235"/>
    <w:rsid w:val="00F04346"/>
    <w:rsid w:val="00F075DC"/>
    <w:rsid w:val="00F149E9"/>
    <w:rsid w:val="00F5134D"/>
    <w:rsid w:val="00F61769"/>
    <w:rsid w:val="00F74202"/>
    <w:rsid w:val="00F87713"/>
    <w:rsid w:val="00FA0C8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C70B4"/>
  <w15:chartTrackingRefBased/>
  <w15:docId w15:val="{B62C53A0-CDD5-461B-B51A-3D3C3E1D8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C2AEF"/>
    <w:pPr>
      <w:spacing w:after="240"/>
      <w:ind w:left="567" w:hanging="567"/>
    </w:pPr>
  </w:style>
  <w:style w:type="paragraph" w:customStyle="1" w:styleId="EPComma">
    <w:name w:val="EPComma"/>
    <w:basedOn w:val="Normal"/>
    <w:rsid w:val="000C2AEF"/>
    <w:pPr>
      <w:spacing w:before="480" w:after="240"/>
    </w:pPr>
  </w:style>
  <w:style w:type="character" w:styleId="Hyperlink">
    <w:name w:val="Hyperlink"/>
    <w:basedOn w:val="DefaultParagraphFont"/>
    <w:unhideWhenUsed/>
    <w:rsid w:val="000C2AEF"/>
    <w:rPr>
      <w:color w:val="0000FF"/>
      <w:u w:val="single"/>
    </w:rPr>
  </w:style>
  <w:style w:type="paragraph" w:styleId="NormalWeb">
    <w:name w:val="Normal (Web)"/>
    <w:basedOn w:val="Normal"/>
    <w:uiPriority w:val="99"/>
    <w:unhideWhenUsed/>
    <w:rsid w:val="000C2AEF"/>
    <w:pPr>
      <w:widowControl/>
      <w:spacing w:before="100" w:beforeAutospacing="1" w:after="100" w:afterAutospacing="1"/>
    </w:pPr>
    <w:rPr>
      <w:szCs w:val="24"/>
    </w:rPr>
  </w:style>
  <w:style w:type="character" w:styleId="Strong">
    <w:name w:val="Strong"/>
    <w:basedOn w:val="DefaultParagraphFont"/>
    <w:uiPriority w:val="22"/>
    <w:qFormat/>
    <w:rsid w:val="000C2AEF"/>
    <w:rPr>
      <w:b/>
      <w:bCs/>
    </w:rPr>
  </w:style>
  <w:style w:type="character" w:customStyle="1" w:styleId="NormalHanging12aChar">
    <w:name w:val="NormalHanging12a Char"/>
    <w:basedOn w:val="DefaultParagraphFont"/>
    <w:link w:val="NormalHanging12a"/>
    <w:rsid w:val="000C2AEF"/>
    <w:rPr>
      <w:sz w:val="24"/>
      <w:lang w:val="fi-FI"/>
    </w:rPr>
  </w:style>
  <w:style w:type="paragraph" w:styleId="Footer">
    <w:name w:val="footer"/>
    <w:basedOn w:val="Normal"/>
    <w:link w:val="FooterChar"/>
    <w:rsid w:val="006A4F00"/>
    <w:pPr>
      <w:tabs>
        <w:tab w:val="center" w:pos="4513"/>
        <w:tab w:val="right" w:pos="9026"/>
      </w:tabs>
    </w:pPr>
  </w:style>
  <w:style w:type="character" w:customStyle="1" w:styleId="FooterChar">
    <w:name w:val="Footer Char"/>
    <w:basedOn w:val="DefaultParagraphFont"/>
    <w:link w:val="Footer"/>
    <w:rsid w:val="006A4F00"/>
    <w:rPr>
      <w:sz w:val="24"/>
      <w:lang w:val="fi-FI"/>
    </w:rPr>
  </w:style>
  <w:style w:type="paragraph" w:styleId="Revision">
    <w:name w:val="Revision"/>
    <w:hidden/>
    <w:uiPriority w:val="99"/>
    <w:semiHidden/>
    <w:rsid w:val="00A4060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5" Type="http://schemas.openxmlformats.org/officeDocument/2006/relationships/hyperlink" Target="http://data.europa.eu/eli/reg/2018/848/oj"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3835</Words>
  <Characters>34495</Characters>
  <Application>Microsoft Office Word</Application>
  <DocSecurity>0</DocSecurity>
  <Lines>1437</Lines>
  <Paragraphs>532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EDWARDS Katariina</cp:lastModifiedBy>
  <cp:revision>2</cp:revision>
  <cp:lastPrinted>2004-11-19T15:42:00Z</cp:lastPrinted>
  <dcterms:created xsi:type="dcterms:W3CDTF">2026-01-20T12:40:00Z</dcterms:created>
  <dcterms:modified xsi:type="dcterms:W3CDTF">2026-01-20T12:40:00Z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A10-0234/2025</vt:lpwstr>
  </property>
  <property fmtid="{D5CDD505-2E9C-101B-9397-08002B2CF9AE}" pid="4" name="&lt;Type&gt;">
    <vt:lpwstr>RR</vt:lpwstr>
  </property>
</Properties>
</file>