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6CCA" w14:paraId="6629DD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8B7768" w14:textId="77777777" w:rsidR="00751A4A" w:rsidRPr="00306CCA" w:rsidRDefault="006923D2" w:rsidP="0010095E">
            <w:pPr>
              <w:pStyle w:val="EPName"/>
            </w:pPr>
            <w:r w:rsidRPr="00306CCA">
              <w:t>Europski parlament</w:t>
            </w:r>
          </w:p>
          <w:p w14:paraId="00708A8E" w14:textId="77777777" w:rsidR="00751A4A" w:rsidRPr="00306C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6CCA">
              <w:t>2024</w:t>
            </w:r>
            <w:r w:rsidR="00817416" w:rsidRPr="00306CCA">
              <w:t>-202</w:t>
            </w:r>
            <w:r w:rsidRPr="00306CCA">
              <w:t>9</w:t>
            </w:r>
          </w:p>
        </w:tc>
        <w:tc>
          <w:tcPr>
            <w:tcW w:w="2268" w:type="dxa"/>
            <w:shd w:val="clear" w:color="auto" w:fill="auto"/>
          </w:tcPr>
          <w:p w14:paraId="78801EC8" w14:textId="77777777" w:rsidR="00751A4A" w:rsidRPr="00306CCA" w:rsidRDefault="00187494" w:rsidP="0010095E">
            <w:pPr>
              <w:pStyle w:val="EPLogo"/>
            </w:pPr>
            <w:r w:rsidRPr="00306CCA">
              <w:rPr>
                <w:noProof/>
                <w:lang w:eastAsia="ja-JP"/>
              </w:rPr>
              <w:drawing>
                <wp:inline distT="0" distB="0" distL="0" distR="0" wp14:anchorId="1655A878" wp14:editId="6F2CCC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23BD88" w14:textId="77777777" w:rsidR="00D058B8" w:rsidRPr="00306CCA" w:rsidRDefault="00D058B8" w:rsidP="004C5D52">
      <w:pPr>
        <w:pStyle w:val="LineTop"/>
      </w:pPr>
    </w:p>
    <w:p w14:paraId="492B0D88" w14:textId="77777777" w:rsidR="00680577" w:rsidRPr="00306CCA" w:rsidRDefault="006923D2" w:rsidP="00680577">
      <w:pPr>
        <w:pStyle w:val="EPBodyTA1"/>
      </w:pPr>
      <w:r w:rsidRPr="00306CCA">
        <w:t>USVOJENI TEKSTOVI</w:t>
      </w:r>
    </w:p>
    <w:p w14:paraId="13B2EF74" w14:textId="77777777" w:rsidR="00D058B8" w:rsidRPr="00306CCA" w:rsidRDefault="00D058B8" w:rsidP="00D058B8">
      <w:pPr>
        <w:pStyle w:val="LineBottom"/>
      </w:pPr>
    </w:p>
    <w:p w14:paraId="5298EED6" w14:textId="35CEBF2B" w:rsidR="006923D2" w:rsidRPr="00306CCA" w:rsidRDefault="006923D2" w:rsidP="006923D2">
      <w:pPr>
        <w:pStyle w:val="ATHeading1"/>
      </w:pPr>
      <w:bookmarkStart w:id="0" w:name="TANumber"/>
      <w:r w:rsidRPr="00306CCA">
        <w:t>P10_TA(2025)0</w:t>
      </w:r>
      <w:r w:rsidR="008B0A08">
        <w:t>284</w:t>
      </w:r>
      <w:bookmarkEnd w:id="0"/>
    </w:p>
    <w:p w14:paraId="500F5C56" w14:textId="77777777" w:rsidR="006923D2" w:rsidRPr="00306CCA" w:rsidRDefault="006923D2" w:rsidP="006923D2">
      <w:pPr>
        <w:pStyle w:val="ATHeading2"/>
      </w:pPr>
      <w:bookmarkStart w:id="1" w:name="title"/>
      <w:r w:rsidRPr="00306CCA">
        <w:t>Osiguravanje brže registracije i primjene sredstava za biološku kontrolu</w:t>
      </w:r>
      <w:bookmarkEnd w:id="1"/>
    </w:p>
    <w:p w14:paraId="78562BDA" w14:textId="77777777" w:rsidR="006923D2" w:rsidRPr="00306CCA" w:rsidRDefault="006923D2" w:rsidP="006923D2">
      <w:pPr>
        <w:rPr>
          <w:i/>
          <w:vanish/>
        </w:rPr>
      </w:pPr>
      <w:r w:rsidRPr="00306CCA">
        <w:rPr>
          <w:i/>
        </w:rPr>
        <w:fldChar w:fldCharType="begin"/>
      </w:r>
      <w:r w:rsidRPr="00306CCA">
        <w:rPr>
          <w:i/>
        </w:rPr>
        <w:instrText xml:space="preserve"> TC"(</w:instrText>
      </w:r>
      <w:bookmarkStart w:id="2" w:name="DocNumber"/>
      <w:r w:rsidRPr="00306CCA">
        <w:rPr>
          <w:i/>
        </w:rPr>
        <w:instrText>A10-0234/2025</w:instrText>
      </w:r>
      <w:bookmarkEnd w:id="2"/>
      <w:r w:rsidRPr="00306CCA">
        <w:rPr>
          <w:i/>
        </w:rPr>
        <w:instrText xml:space="preserve"> - Izvjestitelji: Alexander </w:instrText>
      </w:r>
      <w:proofErr w:type="spellStart"/>
      <w:r w:rsidRPr="00306CCA">
        <w:rPr>
          <w:i/>
        </w:rPr>
        <w:instrText>Bernhuber</w:instrText>
      </w:r>
      <w:proofErr w:type="spellEnd"/>
      <w:r w:rsidRPr="00306CCA">
        <w:rPr>
          <w:i/>
        </w:rPr>
        <w:instrText xml:space="preserve">, Anna </w:instrText>
      </w:r>
      <w:proofErr w:type="spellStart"/>
      <w:r w:rsidRPr="00306CCA">
        <w:rPr>
          <w:i/>
        </w:rPr>
        <w:instrText>Strolenberg</w:instrText>
      </w:r>
      <w:proofErr w:type="spellEnd"/>
      <w:r w:rsidRPr="00306CCA">
        <w:rPr>
          <w:i/>
        </w:rPr>
        <w:instrText xml:space="preserve">)"\l3 \n&gt; \* MERGEFORMAT </w:instrText>
      </w:r>
      <w:r w:rsidRPr="00306CCA">
        <w:rPr>
          <w:i/>
        </w:rPr>
        <w:fldChar w:fldCharType="end"/>
      </w:r>
    </w:p>
    <w:p w14:paraId="1CDD3785" w14:textId="77777777" w:rsidR="006923D2" w:rsidRPr="00306CCA" w:rsidRDefault="006923D2" w:rsidP="006923D2">
      <w:pPr>
        <w:rPr>
          <w:vanish/>
        </w:rPr>
      </w:pPr>
      <w:bookmarkStart w:id="3" w:name="Commission"/>
      <w:r w:rsidRPr="00306CCA">
        <w:rPr>
          <w:vanish/>
        </w:rPr>
        <w:t>Odbor za okoliš, klimu i sigurnost hrane, Odbor za poljoprivredu i ruralni razvoj</w:t>
      </w:r>
      <w:bookmarkEnd w:id="3"/>
    </w:p>
    <w:p w14:paraId="6DA79D64" w14:textId="77777777" w:rsidR="006923D2" w:rsidRPr="00306CCA" w:rsidRDefault="006923D2" w:rsidP="006923D2">
      <w:pPr>
        <w:rPr>
          <w:vanish/>
        </w:rPr>
      </w:pPr>
      <w:bookmarkStart w:id="4" w:name="PE"/>
      <w:r w:rsidRPr="00306CCA">
        <w:rPr>
          <w:vanish/>
        </w:rPr>
        <w:t>PE774.306</w:t>
      </w:r>
      <w:bookmarkEnd w:id="4"/>
    </w:p>
    <w:p w14:paraId="524DE862" w14:textId="04C9215A" w:rsidR="006923D2" w:rsidRPr="00306CCA" w:rsidRDefault="006923D2" w:rsidP="006923D2">
      <w:pPr>
        <w:pStyle w:val="ATHeading3"/>
      </w:pPr>
      <w:bookmarkStart w:id="5" w:name="Sujet"/>
      <w:r w:rsidRPr="00306CCA">
        <w:t xml:space="preserve">Rezolucija Europskog parlamenta od </w:t>
      </w:r>
      <w:r w:rsidR="00306CCA">
        <w:t>25</w:t>
      </w:r>
      <w:r w:rsidRPr="00306CCA">
        <w:t xml:space="preserve">. </w:t>
      </w:r>
      <w:r w:rsidR="00306CCA">
        <w:t xml:space="preserve">studenoga </w:t>
      </w:r>
      <w:r w:rsidRPr="00306CCA">
        <w:t>2025. o osiguravanju brže registracije i primjene sredstava za biološku kontrolu</w:t>
      </w:r>
      <w:bookmarkEnd w:id="5"/>
      <w:r w:rsidRPr="00306CCA">
        <w:t xml:space="preserve"> </w:t>
      </w:r>
      <w:bookmarkStart w:id="6" w:name="References"/>
      <w:r w:rsidRPr="00306CCA">
        <w:t>(2025/2086(INI))</w:t>
      </w:r>
      <w:bookmarkEnd w:id="6"/>
    </w:p>
    <w:p w14:paraId="5C958E71" w14:textId="77777777" w:rsidR="001841DB" w:rsidRPr="00306CCA" w:rsidRDefault="001841DB" w:rsidP="001841DB">
      <w:pPr>
        <w:pStyle w:val="EPComma"/>
      </w:pPr>
      <w:r w:rsidRPr="00306CCA">
        <w:rPr>
          <w:i/>
        </w:rPr>
        <w:t>Europski parlament</w:t>
      </w:r>
      <w:r w:rsidRPr="00306CCA">
        <w:t>,</w:t>
      </w:r>
    </w:p>
    <w:p w14:paraId="708672F8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članke 114. i 191. Ugovora o funkcioniranju Europske unije,</w:t>
      </w:r>
    </w:p>
    <w:p w14:paraId="70F57FD7" w14:textId="1F6CF733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Uredbu (EZ) br. 1107/2009 Europskog parlamenta i Vijeća od 21. listopada 2009. o stavljanju na tržište sredstava za zaštitu bilja i stavljanju izvan snage direktiva Vijeća 79/117/EEZ i 91/414/EEZ</w:t>
      </w:r>
      <w:r w:rsidRPr="00306CCA">
        <w:rPr>
          <w:rStyle w:val="FootnoteReference"/>
        </w:rPr>
        <w:footnoteReference w:id="1"/>
      </w:r>
      <w:r w:rsidRPr="00306CCA">
        <w:t>,</w:t>
      </w:r>
    </w:p>
    <w:p w14:paraId="15363CBD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Komisijin Prijedlog Uredbe Europskog parlamenta i Vijeća od 22. lipnja 2022. o održivoj upotrebi sredstava za zaštitu bilja i izmjeni Uredbe (EU) 2021/2115 (COM(2022)0305),</w:t>
      </w:r>
    </w:p>
    <w:p w14:paraId="5CC4EC36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svoj nacrt rezolucije o utvrđivanju pravne definicije i kategorizacije tvari za biološku kontrolu u održivoj upotrebi sredstava za zaštitu bilja,</w:t>
      </w:r>
    </w:p>
    <w:p w14:paraId="09A6AD63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komunikaciju Komisije od 20. svibnja 2020. naslovljenu „Strategija ,od polja do stola’ – za pravedan, zdrav i ekološki prihvatljiv prehrambeni sustav” (COM(2020)0381) i komunikaciju Komisije od 20. svibnja 2020. naslovljenu „Strategija EU-a za bioraznolikost do 2030. – Vraćanje prirode u naše živote” (COM(2020)0380),</w:t>
      </w:r>
    </w:p>
    <w:p w14:paraId="5A56534E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zajedničke rasprave Odbora za okoliš, klimu i sigurnost hrane te Odbora za poljoprivredu i ruralni razvoj u skladu s člankom 59. Poslovnika,</w:t>
      </w:r>
    </w:p>
    <w:p w14:paraId="3CC6B4D9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rPr>
          <w:b/>
          <w:i/>
        </w:rPr>
        <w:tab/>
      </w:r>
      <w:r w:rsidRPr="00306CCA">
        <w:t xml:space="preserve">uzimajući u obzir odgovor Komisije na Odluku Vijeća (EU) 2022/2572 od 19. prosinca 2022. o zahtjevu Komisiji da podnese studiju kojom se dopunjuje procjena učinka Prijedloga uredbe Europskog parlamenta i Vijeća o održivoj upotrebi sredstava za zaštitu bilja i izmjeni Uredbe (EU) 2021/2115 Europskog parlamenta i Vijeća i da </w:t>
      </w:r>
      <w:r w:rsidRPr="00306CCA">
        <w:lastRenderedPageBreak/>
        <w:t>predloži daljnje mjere, ako je to primjereno s obzirom na rezultate studije</w:t>
      </w:r>
      <w:r w:rsidRPr="00306CCA">
        <w:rPr>
          <w:rStyle w:val="FootnoteReference"/>
        </w:rPr>
        <w:footnoteReference w:id="2"/>
      </w:r>
      <w:r w:rsidRPr="00306CCA">
        <w:t>,</w:t>
      </w:r>
    </w:p>
    <w:p w14:paraId="2E14B6AF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komunikaciju Komisije od 19. veljače 2025. naslovljenu „Vizija za poljoprivredu i hranu: zajedničko oblikovanje privlačnog poljoprivrednog i prehrambenog sektora EU-a za buduće generacije” (COM(2025)0075),</w:t>
      </w:r>
    </w:p>
    <w:p w14:paraId="6BB126D9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Direktivu 2009/128/EZ Europskog parlamenta i Vijeća od 21. listopada 2009. o uspostavi okvira za djelovanje Zajednice u postizanju održive upotrebe pesticida</w:t>
      </w:r>
      <w:r w:rsidRPr="00306CCA">
        <w:rPr>
          <w:rStyle w:val="FootnoteReference"/>
        </w:rPr>
        <w:footnoteReference w:id="3"/>
      </w:r>
      <w:r w:rsidRPr="00306CCA">
        <w:t>,</w:t>
      </w:r>
    </w:p>
    <w:p w14:paraId="062C336B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svoju Rezoluciju od 23. studenoga 2023. naslovljenu „Revizija Inicijative EU-a za oprašivače – Novi plan za oprašivače”</w:t>
      </w:r>
      <w:r w:rsidRPr="00306CCA">
        <w:rPr>
          <w:rStyle w:val="FootnoteReference"/>
        </w:rPr>
        <w:footnoteReference w:id="4"/>
      </w:r>
      <w:r w:rsidRPr="00306CCA">
        <w:t>,</w:t>
      </w:r>
    </w:p>
    <w:p w14:paraId="68BD4897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 xml:space="preserve">uzimajući u obzir Odluku 15/4 donesenu 19. prosinca 2022. na Konferenciji stranaka Konvencije Ujedinjenih naroda o bioraznolikosti naslovljenu „Globalni okvir za bioraznolikost iz </w:t>
      </w:r>
      <w:proofErr w:type="spellStart"/>
      <w:r w:rsidRPr="00306CCA">
        <w:t>Kunminga</w:t>
      </w:r>
      <w:proofErr w:type="spellEnd"/>
      <w:r w:rsidRPr="00306CCA">
        <w:t xml:space="preserve"> i Montreala”,</w:t>
      </w:r>
    </w:p>
    <w:p w14:paraId="4096B5F4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komunikaciju Komisije od 12. svibnja 2021. naslovljenu „Put prema zdravom planetu za sve – Akcijski plan EU-a: Prema postizanju nulte stope onečišćenja zraka, vode i tla” (COM(2021)0400),</w:t>
      </w:r>
    </w:p>
    <w:p w14:paraId="70CF1719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svoju Rezoluciju od 16. siječnja 2019. o postupku Unije za odobravanje pesticida</w:t>
      </w:r>
      <w:r w:rsidRPr="00306CCA">
        <w:rPr>
          <w:rStyle w:val="FootnoteReference"/>
        </w:rPr>
        <w:footnoteReference w:id="5"/>
      </w:r>
      <w:r w:rsidRPr="00306CCA">
        <w:t>,</w:t>
      </w:r>
    </w:p>
    <w:p w14:paraId="53B60288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članak 55. Poslovnika,</w:t>
      </w:r>
    </w:p>
    <w:p w14:paraId="088BFD57" w14:textId="77777777" w:rsidR="001841DB" w:rsidRPr="00306CCA" w:rsidRDefault="001841DB" w:rsidP="001841DB">
      <w:pPr>
        <w:pStyle w:val="NormalHanging12a"/>
      </w:pPr>
      <w:r w:rsidRPr="00306CCA">
        <w:t>–</w:t>
      </w:r>
      <w:r w:rsidRPr="00306CCA">
        <w:tab/>
        <w:t>uzimajući u obzir izvješće Odbora za okoliš, klimu i sigurnost hrane i Odbora za poljoprivredu i ruralni razvoj (A10</w:t>
      </w:r>
      <w:r w:rsidRPr="00306CCA">
        <w:noBreakHyphen/>
        <w:t>0234/2025),</w:t>
      </w:r>
    </w:p>
    <w:p w14:paraId="7D82B597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A.</w:t>
      </w:r>
      <w:r w:rsidRPr="00306CCA">
        <w:tab/>
        <w:t>budući da je proizvod za zaštitu bilja proizvod koji sadrži tvar koja sprečava, uništava ili kontrolira štetni organizam (dalje u tekstu: „štetnik”); budući da je biološka kontrola, koja je ili prirodnog podrijetla ili je, ako je sintetičkog podrijetla, identična prirodi, način kontrole štetnika i bolesti upotrebom drugih organizama ili njihovih dijelova, često u kombinaciji s fizičkim metodama, kako bi se poremetili reproduktivni ciklusi štetnika ili ograničila osjetljivost usjeva na štetnike;</w:t>
      </w:r>
    </w:p>
    <w:p w14:paraId="1A7D4A88" w14:textId="77777777" w:rsidR="001841DB" w:rsidRPr="00306CCA" w:rsidRDefault="001841DB" w:rsidP="001841DB">
      <w:pPr>
        <w:pStyle w:val="NormalHanging12a"/>
      </w:pPr>
      <w:r w:rsidRPr="00306CCA">
        <w:t>B.</w:t>
      </w:r>
      <w:r w:rsidRPr="00306CCA">
        <w:tab/>
        <w:t>budući da u skladu s Uredbom (EZ) br. 1107/2009 aktivne tvari moraju biti odobrene na razini EU-a prije nego što države članice mogu odobriti proizvode za zaštitu bilja koji ih sadrže; budući da trenutačni popis od oko 420 odobrenih aktivnih tvari obuhvaća i tradicionalne aktivne tvari i sve veći broj aktivnih tvari za biološku kontrolu</w:t>
      </w:r>
      <w:r w:rsidRPr="00306CCA">
        <w:rPr>
          <w:rStyle w:val="FootnoteReference"/>
        </w:rPr>
        <w:footnoteReference w:id="6"/>
      </w:r>
      <w:r w:rsidRPr="00306CCA">
        <w:t xml:space="preserve">; budući da je odobravanje proizvoda za biološku kontrolu također obuhvaćeno Uredbom (EZ) br. 1107/2009; budući da se do 2028. očekuje više od 100 zahtjeva za odobrenje sredstava za biološku kontrolu na tržištu EU-a i da ti zahtjevi možda neće biti odobreni prije razdoblja od 2031. do 2037.; budući da od podnošenja zahtjeva za odobrenje sredstva za biološku kontrolu do njegova stavljanja na tržište može proći između 10 i 15 godina, ovisno o njegovoj klasifikaciji; budući da dugotrajan postupak odobravanja utječe na </w:t>
      </w:r>
      <w:r w:rsidRPr="00306CCA">
        <w:lastRenderedPageBreak/>
        <w:t>dostupnost rješenja za zaštitu bilja; budući da, iako nemaju isti profil rizičnosti kao konvencionalni proizvodi za zaštitu bilja, proizvodi za biološku kontrolu u nekim slučajevima ipak mogu predstavljati rizike</w:t>
      </w:r>
      <w:r w:rsidRPr="00306CCA">
        <w:rPr>
          <w:rStyle w:val="FootnoteReference"/>
        </w:rPr>
        <w:footnoteReference w:id="7"/>
      </w:r>
      <w:r w:rsidRPr="00306CCA">
        <w:t xml:space="preserve"> i zahtijevati metode procjene rizika prilagođene načinu djelovanja i prirodi proizvoda kako bi se procijenila njihova sigurnost i učinkovitost; budući da bi taj zahtjev trebao biti proporcionalan riziku i da je konkurentno i znanstveno utemeljeno regulatorno okruženje koje pogoduje inovacijama ključno za osiguravanje održivosti i produktivnosti u poljoprivredno-prehrambenom sektoru EU-a;</w:t>
      </w:r>
    </w:p>
    <w:p w14:paraId="53A113CE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C.</w:t>
      </w:r>
      <w:r w:rsidRPr="00306CCA">
        <w:tab/>
        <w:t>budući da na razini EU-a još ne postoji usklađena pravna definicija biološke kontrole;</w:t>
      </w:r>
    </w:p>
    <w:p w14:paraId="65819BDA" w14:textId="77777777" w:rsidR="001841DB" w:rsidRPr="00306CCA" w:rsidRDefault="001841DB" w:rsidP="001841DB">
      <w:pPr>
        <w:pStyle w:val="NormalHanging12a"/>
      </w:pPr>
      <w:r w:rsidRPr="00306CCA">
        <w:t>D.</w:t>
      </w:r>
      <w:r w:rsidRPr="00306CCA">
        <w:tab/>
        <w:t>budući da rješenja za biološku kontrolu mogu biti aktivne tvari i sredstva, biološka kontrola s pomoću beskralježnjaka koji suzbijaju štetnike i bolesti, kao i proizvodi koji sadržavaju jednu ili više aktivnih tvari za biološku kontrolu; budući da se rješenja za biološku kontrolu upotrebljavaju kao dio holističkih strategija za zdravlje bilja, koje mogu obuhvaćati i preventivne agronomske mjere i druge pristupe kako bi se optimizirala njihova učinkovitost i osiguralo da se upotrebljavaju kao dopuna drugim metodama i da se koriste na temelju potreba;</w:t>
      </w:r>
    </w:p>
    <w:p w14:paraId="3844E81E" w14:textId="77777777" w:rsidR="001841DB" w:rsidRPr="00306CCA" w:rsidRDefault="001841DB" w:rsidP="001841DB">
      <w:pPr>
        <w:pStyle w:val="NormalHanging12a"/>
      </w:pPr>
      <w:r w:rsidRPr="00306CCA">
        <w:t>E.</w:t>
      </w:r>
      <w:r w:rsidRPr="00306CCA">
        <w:tab/>
        <w:t xml:space="preserve">budući da se biološka kontrola može odvijati putem: (a) živih makroorganizama i mikroorganizama, (b) </w:t>
      </w:r>
      <w:proofErr w:type="spellStart"/>
      <w:r w:rsidRPr="00306CCA">
        <w:t>semiokemikalija</w:t>
      </w:r>
      <w:proofErr w:type="spellEnd"/>
      <w:r w:rsidRPr="00306CCA">
        <w:t>, (c) ekstrakata iz prirodnih izvora, posebno iz biljaka i algi, te tvari koje proizvode mikroorganizmi, (d) tvari identičnih onima koje proizvode biološki organizmi ili koje su sastojci bioloških organizama i (e) anorganskih tvari koje se pojavljuju u prirodi, osim teških metala i njihovih soli;</w:t>
      </w:r>
    </w:p>
    <w:p w14:paraId="46898C48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F.</w:t>
      </w:r>
      <w:r w:rsidRPr="00306CCA">
        <w:tab/>
        <w:t xml:space="preserve">budući da biološka kontrola s pomoću beskralježnjaka, kao što su korisni kukci grabežljivci, uključujući </w:t>
      </w:r>
      <w:proofErr w:type="spellStart"/>
      <w:r w:rsidRPr="00306CCA">
        <w:t>parazitoide</w:t>
      </w:r>
      <w:proofErr w:type="spellEnd"/>
      <w:r w:rsidRPr="00306CCA">
        <w:t xml:space="preserve">, grinje i </w:t>
      </w:r>
      <w:proofErr w:type="spellStart"/>
      <w:r w:rsidRPr="00306CCA">
        <w:t>nematode</w:t>
      </w:r>
      <w:proofErr w:type="spellEnd"/>
      <w:r w:rsidRPr="00306CCA">
        <w:t>, već ima ključnu ulogu u sustavima integrirane zaštite bilja i ekološke poljoprivrede; budući da, za razliku od proizvoda za biološku kontrolu koji se temelje na tvarima, ta sredstva trenutačno nisu obuhvaćena Uredbom (EZ) br. 1107/2009 te i dalje podliježu različitim i rascjepkanim nacionalnim pravilima; budući da bi brži postupci odobravanja makroorganizama, uz istodobno održavanje visokih sigurnosnih standarda za zdravlje i okoliš, povećali njihovu dostupnost na tržištu i pomogli u rješavanju pitanja zdravlja bilja;</w:t>
      </w:r>
    </w:p>
    <w:p w14:paraId="25D787A4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G.</w:t>
      </w:r>
      <w:r w:rsidRPr="00306CCA">
        <w:tab/>
        <w:t xml:space="preserve">budući da se rješenja za biološku kontrolu često međusobno kombiniraju u mješavine </w:t>
      </w:r>
      <w:proofErr w:type="spellStart"/>
      <w:r w:rsidRPr="00306CCA">
        <w:t>semiokemikalija</w:t>
      </w:r>
      <w:proofErr w:type="spellEnd"/>
      <w:r w:rsidRPr="00306CCA">
        <w:t xml:space="preserve">, biljnih ekstrakata ili mikrobnih zajednica koje povećavaju učinkovitost rješenja, ciljaju višestruke štetnike ili bolesti i poboljšavaju prilagodljivost okoliša te se često primjenjuju u okviru drugih tehnika kontrole štetnika, npr. integrirane zaštite bilja; budući da zbog toga nije uvijek moguće zamijeniti </w:t>
      </w:r>
      <w:proofErr w:type="spellStart"/>
      <w:r w:rsidRPr="00306CCA">
        <w:t>jednan</w:t>
      </w:r>
      <w:proofErr w:type="spellEnd"/>
      <w:r w:rsidRPr="00306CCA">
        <w:t xml:space="preserve"> konvencionalan proizvod za zaštitu bilja jednim proizvodom za biološku kontrolu;</w:t>
      </w:r>
    </w:p>
    <w:p w14:paraId="587B5E1E" w14:textId="77777777" w:rsidR="001841DB" w:rsidRPr="00306CCA" w:rsidRDefault="001841DB" w:rsidP="001841DB">
      <w:pPr>
        <w:pStyle w:val="NormalHanging12a"/>
      </w:pPr>
      <w:r w:rsidRPr="00306CCA">
        <w:t>H.</w:t>
      </w:r>
      <w:r w:rsidRPr="00306CCA">
        <w:tab/>
        <w:t>budući da se biološka kontrola često povezuje s nižim razinama toksičnosti, postojanosti i onečišćenja okoliša te da ona uz odgovarajuću pozornost može dopuniti konvencionalne proizvode za zaštitu bilja; budući da to poljoprivrednicima u nekim slučajevima može omogućiti da smanje svoju ovisnost o upotrebi konvencionalnih proizvoda za zaštitu bilja pružanjem sigurnih i učinkovitih dodatnih instrumenata za poljoprivrednike, što doprinosi zdravijem tlu i smanjuje učinke na biološku raznolikost, ekosustave, kvalitetu vode, prehrambene lance i javno zdravlje;</w:t>
      </w:r>
    </w:p>
    <w:p w14:paraId="0FD67FF1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lastRenderedPageBreak/>
        <w:t>I.</w:t>
      </w:r>
      <w:r w:rsidRPr="00306CCA">
        <w:tab/>
        <w:t>budući da bi se brzom obradom i stavljanjem biološke kontrole na tržište EU-a povećala dostupnost i pružila prilika za borbu protiv otpornosti štetnika i bolesti na postojeće proizvode za zaštitu bilja; budući da bi se time doprinijelo promicanju održivijih poljoprivrednih praksi i povećala otpornost i konkurentnost poljoprivrednog sektora tako što bi poljoprivrednici imali na raspolaganju najširi mogući paket instrumenata za suzbijanje štetnika;</w:t>
      </w:r>
    </w:p>
    <w:p w14:paraId="32F6E844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J.</w:t>
      </w:r>
      <w:r w:rsidRPr="00306CCA">
        <w:tab/>
        <w:t>budući da Komisija u svojoj Viziji za poljoprivredu i hranu</w:t>
      </w:r>
      <w:r w:rsidRPr="00306CCA">
        <w:rPr>
          <w:rStyle w:val="FootnoteReference"/>
        </w:rPr>
        <w:footnoteReference w:id="8"/>
      </w:r>
      <w:r w:rsidRPr="00306CCA">
        <w:t xml:space="preserve"> iz 2025. navodi: „poljoprivrednicima je potreban napredniji paket instrumenata kako bi mogli raditi u skladu s prirodom i ostvariti zadane ciljeve. Taj paket instrumenata zahtijeva uravnoteženu kombinaciju bolje usmjerene javne potpore u okviru budućeg ZPP-a, ulaganja u prirodna rješenja, više gospodarskih poticaja, prilagođene savjete koji se temelje na napretku u istraživanju i inovacijama te prilagodljivije regulatorno okruženje. Jedan je primjer cilj EU-a da smanji upotrebu štetnih pesticida. To je važno i za dugoročnu otpornost poljoprivrede i za zaštitu prirode i zdravlja. Međutim, uvođenje alternativa u obliku bioloških ili inovativnih proizvoda za zaštitu bilja niskog rizika ne provodi se jednakom brzinom kao povlačenje aktivnih tvari s tržišta EU-a. Ako se taj trend nastavi, može utjecati na sposobnost EU-a da zajamči proizvodnju hrane. Komisija će stoga pažljivo promisliti o svakoj daljnjoj zabrani pesticida ako za njih još ne postoji alternativa, osim ako neki pesticid predstavlja prijetnju za zdravlje ljudi ili okoliš, o kojem ovisi održivost poljoprivrede.” </w:t>
      </w:r>
    </w:p>
    <w:p w14:paraId="45393685" w14:textId="77777777" w:rsidR="001841DB" w:rsidRPr="00306CCA" w:rsidRDefault="001841DB" w:rsidP="001841DB">
      <w:pPr>
        <w:pStyle w:val="NormalHanging12a"/>
      </w:pPr>
      <w:r w:rsidRPr="00306CCA">
        <w:t>K.</w:t>
      </w:r>
      <w:r w:rsidRPr="00306CCA">
        <w:tab/>
        <w:t>budući da EFSA-i i nadležnim tijelima država članica često nedostaju stručno znanje, iskustvo i resursi potrebni za obradu zahtjeva za biološku kontrolu, posebno u pogledu mikrobiologije; budući da bi, kako bi se olakšalo njihovo uvođenje na tržište, smjernice i zahtjevi u pogledu podataka trebali odgovarati posebnim značajkama rješenja za biološku kontrolu, izbjegavajući prekomjerno opterećenje, troškove, dugotrajne postupke odobravanja i zakonske rokove; budući da bi brži, cjenovno pristupačniji i jednostavniji postupci odobravanja proizvoda za biološku kontrolu mogli pomoći u privlačenju više ulaganja u EU i jačanju njegova globalnog vodstva u održivoj zaštiti bilja;</w:t>
      </w:r>
    </w:p>
    <w:p w14:paraId="3EED6089" w14:textId="77777777" w:rsidR="001841DB" w:rsidRPr="00306CCA" w:rsidRDefault="001841DB" w:rsidP="001841DB">
      <w:pPr>
        <w:pStyle w:val="NormalHanging12a"/>
      </w:pPr>
      <w:r w:rsidRPr="00306CCA">
        <w:t>L.</w:t>
      </w:r>
      <w:r w:rsidRPr="00306CCA">
        <w:tab/>
        <w:t xml:space="preserve">budući da učinkovito uvođenje proizvoda </w:t>
      </w:r>
      <w:proofErr w:type="spellStart"/>
      <w:r w:rsidRPr="00306CCA">
        <w:t>biokontrole</w:t>
      </w:r>
      <w:proofErr w:type="spellEnd"/>
      <w:r w:rsidRPr="00306CCA">
        <w:t xml:space="preserve"> često ovisi o prilagođenim praksama, čime se naglašava potreba za kontinuiranim ulaganjem u osposobljavanje, infrastrukturu i savjetodavnu potporu kako bi se osigurala njihova uspješna primjena;</w:t>
      </w:r>
    </w:p>
    <w:p w14:paraId="339D47E7" w14:textId="77777777" w:rsidR="001841DB" w:rsidRPr="00306CCA" w:rsidRDefault="001841DB" w:rsidP="001841DB">
      <w:pPr>
        <w:pStyle w:val="NormalHanging12a"/>
      </w:pPr>
      <w:r w:rsidRPr="00306CCA">
        <w:t>M.</w:t>
      </w:r>
      <w:r w:rsidRPr="00306CCA">
        <w:tab/>
        <w:t>budući da mala i srednja poduzeća za biološku kontrolu sa sjedištem u EU-u čine oko 70 % sektora biološke kontrole u EU-u; budući da su ta poduzeća ključni pokretači održivih inovacija; budući da odobravanje aktivnih tvari za proizvode za zaštitu bilja, uključujući sredstva za biološku kontrolu u EU-u, podrazumijeva znatne troškove, pri čemu se procjenjuje da ukupna ulaganja, uključujući generiranje podataka, regulatorne naknade i nacionalna odobrenja, iznose između 1,5 i 4 milijuna EUR po tvari;</w:t>
      </w:r>
    </w:p>
    <w:p w14:paraId="33DC447B" w14:textId="77777777" w:rsidR="001841DB" w:rsidRPr="00306CCA" w:rsidRDefault="001841DB" w:rsidP="001841DB">
      <w:pPr>
        <w:pStyle w:val="NormalHanging12a"/>
        <w:ind w:left="0" w:firstLine="0"/>
        <w:rPr>
          <w:b/>
          <w:bCs/>
          <w:i/>
          <w:iCs/>
        </w:rPr>
      </w:pPr>
      <w:r w:rsidRPr="00306CCA">
        <w:rPr>
          <w:b/>
          <w:i/>
        </w:rPr>
        <w:t>Pravne definicije, područje primjene i načela</w:t>
      </w:r>
    </w:p>
    <w:p w14:paraId="243BFB2D" w14:textId="77777777" w:rsidR="001841DB" w:rsidRPr="00306CCA" w:rsidRDefault="001841DB" w:rsidP="001841DB">
      <w:pPr>
        <w:pStyle w:val="NormalHanging12a"/>
      </w:pPr>
      <w:r w:rsidRPr="00306CCA">
        <w:t>1.</w:t>
      </w:r>
      <w:r w:rsidRPr="00306CCA">
        <w:tab/>
        <w:t xml:space="preserve">poziva Komisiju da na razini EU-a utvrdi jasnu pravnu definiciju rješenja za biološku kontrolu, kao i okvir za ubrzano odobravanje aktivnih tvari za biološku kontrolu na </w:t>
      </w:r>
      <w:r w:rsidRPr="00306CCA">
        <w:lastRenderedPageBreak/>
        <w:t>razini EU-a i za odobravanje proizvoda za biološku kontrolu na razini država članica; smatra da bi takav okvir trebao biti popraćen jasnim zahtjevima u pogledu podataka i ažuriranim smjernicama kako bi se povećala pravna sigurnost, potaknuli inovacijski napori EU-a i promicala ulaganja u održive alternative; nadalje, ustraje u tome da bi Komisija trebala nastojati spriječiti fragmentaciju tržišta i smanjiti administrativno opterećenje;</w:t>
      </w:r>
    </w:p>
    <w:p w14:paraId="2C1FB4AE" w14:textId="77777777" w:rsidR="001841DB" w:rsidRPr="00306CCA" w:rsidRDefault="001841DB" w:rsidP="001841DB">
      <w:pPr>
        <w:pStyle w:val="NormalHanging12a"/>
      </w:pPr>
      <w:r w:rsidRPr="00306CCA">
        <w:t>2.</w:t>
      </w:r>
      <w:r w:rsidRPr="00306CCA">
        <w:tab/>
        <w:t>napominje da će regulatorna sigurnost olakšati inovacije, posebno među malim i srednjim poduzećima, i potaknuti razvoj konkurentnog sektora biološke kontrole u EU-u; nadalje, naglašava važnost zakonodavne usklađenosti i dosljednosti s relevantnim zakonima EU-a, uključujući Uredbu (EU) 2018/848</w:t>
      </w:r>
      <w:r w:rsidRPr="00306CCA">
        <w:rPr>
          <w:rStyle w:val="FootnoteReference"/>
        </w:rPr>
        <w:footnoteReference w:id="9"/>
      </w:r>
      <w:r w:rsidRPr="00306CCA">
        <w:t>, i relevantnim strategijama te, prema potrebi, osiguravanja posebnih odredbi o sredstvima za biološku kontrolu;</w:t>
      </w:r>
    </w:p>
    <w:p w14:paraId="57634E0D" w14:textId="77777777" w:rsidR="001841DB" w:rsidRPr="00306CCA" w:rsidRDefault="001841DB" w:rsidP="001841DB">
      <w:pPr>
        <w:pStyle w:val="NormalHanging12a"/>
      </w:pPr>
      <w:r w:rsidRPr="00306CCA">
        <w:t>3.</w:t>
      </w:r>
      <w:r w:rsidRPr="00306CCA">
        <w:tab/>
        <w:t xml:space="preserve">ističe da sredstva za biološku kontrolu općenito imaju različite profile rizičnosti od konvencionalnih kemijskih proizvoda za zaštitu bilja jer nemaju ista svojstva, načine djelovanja ni ekološke učinke; naglašava, međutim, da ona ipak nose određene rizike i da je stoga potrebna odgovarajuća znanstveno utemeljena procjena rizika; naglašava da bi metode procjene rizika trebalo prilagoditi posebnim značajkama sredstava za biološku kontrolu, istodobno osiguravajući da se na odgovarajući način uzmu u obzir regionalne agronomske posebnosti, kao i visoka razina zaštite zdravlja, </w:t>
      </w:r>
      <w:proofErr w:type="spellStart"/>
      <w:r w:rsidRPr="00306CCA">
        <w:t>neciljanih</w:t>
      </w:r>
      <w:proofErr w:type="spellEnd"/>
      <w:r w:rsidRPr="00306CCA">
        <w:t xml:space="preserve"> organizama, biološke raznolikosti i okoliša, u skladu s pristupom „Jedno zdravlje” i načelom predostrožnosti; posebno podsjeća na potrebu za procjenom njihovih potencijalnih učinaka na korisne vrste, ekosustave i biološku raznolikost, među ostalim kada se živi organizmi, kao što su mikroorganizmi, prirodni neprijatelji, sterilni kukci ili njihovi sastavni dijelovi, unose u okoliš;</w:t>
      </w:r>
    </w:p>
    <w:p w14:paraId="17B63692" w14:textId="77777777" w:rsidR="001841DB" w:rsidRPr="00306CCA" w:rsidRDefault="001841DB" w:rsidP="001841DB">
      <w:pPr>
        <w:pStyle w:val="NormalHanging12a"/>
      </w:pPr>
      <w:r w:rsidRPr="00306CCA">
        <w:t>4.</w:t>
      </w:r>
      <w:r w:rsidRPr="00306CCA">
        <w:tab/>
        <w:t>poziva Komisiju da u procjeni učinka koja se prilaže zakonodavnom prijedlogu ocijeni primjerenost postojećih procjena rizika prilikom odobravanja aktivnih tvari koje vrše biološku kontrolu i prilikom odobravanja proizvoda za biološku kontrolu, te da po potrebi razvije prilagođene protokole za procjenu rizika za svaku kategoriju biološke kontrole; naglašava da se pri procjeni rizika za sredstva za biološku kontrolu uvijek mora osigurati ciljano, odgovarajuće i pravilno upravljanje rizikom te visoka razina zaštite zdravlja i okoliša; naglašava da postupci odobravanja moraju uključivati usklađene kriterije utjecaja na okoliš i biološku raznolikost na razini EU-a kako bi se spriječile razlike među državama članicama; naglašava da se takvi proizvodi za biološku kontrolu smiju odobriti samo ako ispunjavaju relevantne kriterije za odobravanje</w:t>
      </w:r>
      <w:r w:rsidRPr="00306CCA">
        <w:rPr>
          <w:rStyle w:val="FootnoteReference"/>
        </w:rPr>
        <w:footnoteReference w:id="10"/>
      </w:r>
      <w:r w:rsidRPr="00306CCA">
        <w:t xml:space="preserve"> kojima se jamči sigurna i učinkovita uporaba, znanstveno provjerena učinkovitost i dostupnost rezultata, uz istodobnu zaštitu osjetljivih poslovnih informacija; podsjeća da se postupci moraju pojednostavniti kako bi se izbjeglo čekanje koje bi inovatore i poljoprivrednike u EU-u stavilo u nepovoljan položaj; napominje da bi postupci procjene rizika trebali biti transparentni i jasni;</w:t>
      </w:r>
    </w:p>
    <w:p w14:paraId="44583D74" w14:textId="77777777" w:rsidR="001841DB" w:rsidRPr="00306CCA" w:rsidRDefault="001841DB" w:rsidP="00306CCA">
      <w:pPr>
        <w:pStyle w:val="NormalHanging12a"/>
        <w:ind w:left="0" w:firstLine="0"/>
        <w:rPr>
          <w:b/>
          <w:bCs/>
          <w:i/>
          <w:iCs/>
        </w:rPr>
      </w:pPr>
      <w:r w:rsidRPr="00306CCA">
        <w:rPr>
          <w:b/>
          <w:i/>
        </w:rPr>
        <w:t>Ciljana izmjena Uredbe (EZ) br. 1107/2009</w:t>
      </w:r>
    </w:p>
    <w:p w14:paraId="083A70BF" w14:textId="77777777" w:rsidR="001841DB" w:rsidRPr="00306CCA" w:rsidRDefault="001841DB" w:rsidP="00306CCA">
      <w:pPr>
        <w:pStyle w:val="NormalHanging12a"/>
        <w:tabs>
          <w:tab w:val="left" w:pos="709"/>
        </w:tabs>
        <w:spacing w:before="240"/>
      </w:pPr>
      <w:r w:rsidRPr="00306CCA">
        <w:lastRenderedPageBreak/>
        <w:t>5.</w:t>
      </w:r>
      <w:r w:rsidRPr="00306CCA">
        <w:tab/>
        <w:t>poziva Komisiju da u kratkom roku prilagodi postojeću Uredbu (EZ) br. 1107/2009 kako bi se njome obuhvatile aktivne tvari koje vrše biološku kontrolu i proizvodi za biološku kontrolu;</w:t>
      </w:r>
    </w:p>
    <w:p w14:paraId="45040E8D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6.</w:t>
      </w:r>
      <w:r w:rsidRPr="00306CCA">
        <w:tab/>
        <w:t>pozdravlja Komisijino predstojeće predstavljanje ciljane revizije Uredbe (EZ) br. 1107/2009 u okviru najavljenog paketa pojednostavnjenja, s naglaskom na odobravanju aktivnih tvari koje vrše biološku kontrolu i proizvoda koji sadržavaju isključivo te tvari, kako bi se omogućila ubrzana procjena zahtjeva za odobrenje proizvoda za biološku kontrolu i olakšao postupak obnove već odobrenih aktivnih tvari za biološku kontrolu, da bi se u kratkom roku povećala opskrba dostupnim proizvodima za zaštitu bilja i podržao prelazak na proizvodne sustave u kojima se upotrebljavaju manje štetne aktivne tvari;</w:t>
      </w:r>
    </w:p>
    <w:p w14:paraId="47AF15C8" w14:textId="77777777" w:rsidR="001841DB" w:rsidRPr="00306CCA" w:rsidRDefault="001841DB" w:rsidP="00306CCA">
      <w:pPr>
        <w:pStyle w:val="NormalHanging12a"/>
        <w:ind w:left="0" w:firstLine="0"/>
        <w:rPr>
          <w:b/>
          <w:bCs/>
          <w:i/>
          <w:iCs/>
        </w:rPr>
      </w:pPr>
      <w:r w:rsidRPr="00306CCA">
        <w:rPr>
          <w:b/>
          <w:i/>
        </w:rPr>
        <w:t>Uzajamno priznavanje</w:t>
      </w:r>
    </w:p>
    <w:p w14:paraId="22E37C57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7.</w:t>
      </w:r>
      <w:r w:rsidRPr="00306CCA">
        <w:tab/>
        <w:t>potiče države članice na primjenu postojećeg postupka uzajamnog priznavanja u skladu s člankom 40. Uredbe (EZ) br. 1107/2009 kako bi ubrzale postupak odobravanja proizvoda za biološku kontrolu i unaprijedile prihvaćanje i dostupnost proizvoda za biološku kontrolu diljem EU-a; poziva Komisiju da posebnu pozornost posveti provedbi članka 40. i da pokrene popratne inicijative kako bi se, prema potrebi, osigurala njegova potpuna provedba;</w:t>
      </w:r>
    </w:p>
    <w:p w14:paraId="0C25D18D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8.</w:t>
      </w:r>
      <w:r w:rsidRPr="00306CCA">
        <w:tab/>
        <w:t>napominje da bi se ciljanom izmjenom Uredbe (EZ) br. 1107/2009 trebalo ojačati, olakšati i operacionalizirati načelo uzajamnog priznavanja u pogledu postupaka EU-a za odobravanje biološke kontrole, čime bi se smanjilo udvostručavanje nacionalnih procjena uz poštovanje načela predostrožnosti i razlika među lokalnim uvjetima;</w:t>
      </w:r>
    </w:p>
    <w:p w14:paraId="21E4CDB0" w14:textId="77777777" w:rsidR="001841DB" w:rsidRPr="00306CCA" w:rsidRDefault="001841DB" w:rsidP="001841DB">
      <w:pPr>
        <w:pStyle w:val="NormalHanging12a"/>
        <w:rPr>
          <w:rStyle w:val="Strong"/>
          <w:b w:val="0"/>
          <w:bCs w:val="0"/>
          <w:szCs w:val="24"/>
        </w:rPr>
      </w:pPr>
      <w:r w:rsidRPr="00306CCA">
        <w:t>9.</w:t>
      </w:r>
      <w:r w:rsidRPr="00306CCA">
        <w:tab/>
        <w:t>poziva Komisiju da izradi plan za automatsko uzajamno priznavanje proizvoda za isključivo biološku kontrolu i mogućnost da podnositelji zahtjeva istodobno podnesu prijavu s jedinstvenom dokumentacijom za proizvod za biološku kontrolu u nekoliko država članica, uz istodobno osiguravanje visoke razine zaštite zdravlja i okoliša, te da razmotri uspostavu jedinstvene zone odobravanja na razini EU-a kojom bi se osiguralo dokazivo ispunjavanje istih znanstvenih standarda, kriterija učinkovitosti i razina sigurnosti diljem EU-a; naglašava da bi takav plan trebao biti usmjeren na potencijalni zakonodavni okvir koji bi podlijegao pouzdanoj i strogoj procjeni učinka i koji bi se trebao uspostaviti tek nakon nje, te koji bi se mogao postupno razvijati, počevši s pojačanom suradnjom i razmjenom podataka među nadležnim tijelima, a zatim pojednostavnjenjem postupaka procjene po zonama za proizvode za biološku kontrolu u skladu s Uredbom (EZ) br. 1107/2009, kao što je zaduživanje država članica izvjestiteljica da u suradnji s državama članicama iz svih drugih geografskih zona procijene uvjete za odobrenje u svim geografskim zonama kako bi se izgradilo uzajamno povjerenje među nadležnim nacionalnim tijelima i izbjeglo birokratsko udvostručavanje, kako bi se poljoprivrednicima olakšalo prihvaćanje održivijih rješenja i kako bi se poboljšao ujednačen pristup tržištu uz istodobno zadržavanje strogih standarda za zaštitu zdravlja i okoliša;</w:t>
      </w:r>
    </w:p>
    <w:p w14:paraId="61B3AD01" w14:textId="77777777" w:rsidR="001841DB" w:rsidRPr="00306CCA" w:rsidRDefault="001841DB" w:rsidP="00306CCA">
      <w:pPr>
        <w:pStyle w:val="NormalHanging12a"/>
        <w:ind w:left="0" w:firstLine="0"/>
        <w:rPr>
          <w:b/>
          <w:bCs/>
          <w:i/>
          <w:iCs/>
        </w:rPr>
      </w:pPr>
      <w:r w:rsidRPr="00306CCA">
        <w:rPr>
          <w:b/>
          <w:i/>
        </w:rPr>
        <w:t>Neznatna upotreba</w:t>
      </w:r>
    </w:p>
    <w:p w14:paraId="4500F7EC" w14:textId="77777777" w:rsidR="001841DB" w:rsidRPr="00306CCA" w:rsidRDefault="001841DB" w:rsidP="001841DB">
      <w:pPr>
        <w:pStyle w:val="NormalHanging12a"/>
      </w:pPr>
      <w:r w:rsidRPr="00306CCA">
        <w:t>10.</w:t>
      </w:r>
      <w:r w:rsidRPr="00306CCA">
        <w:tab/>
        <w:t xml:space="preserve">poziva države članice da prema potrebi olakšaju i ubrzaju isključivo proširenje odobrenja za proizvode za zaštitu bilja koji su već odobreni i sadrže aktivne tvari koje vrše biološku kontrolu kako bi se obuhvatila neznatna upotreba, uključujući, ali ne </w:t>
      </w:r>
      <w:r w:rsidRPr="00306CCA">
        <w:lastRenderedPageBreak/>
        <w:t>ograničavajući se na, poljoprivredu u najkontroliranijim uvjetima, osim ako nadležno tijelo utvrdi poseban i znanstveno opravdan rizik;</w:t>
      </w:r>
    </w:p>
    <w:p w14:paraId="5133FC8A" w14:textId="77777777" w:rsidR="001841DB" w:rsidRPr="00306CCA" w:rsidRDefault="001841DB" w:rsidP="001841DB">
      <w:pPr>
        <w:pStyle w:val="NormalHanging12a"/>
      </w:pPr>
      <w:r w:rsidRPr="00306CCA">
        <w:t>11.</w:t>
      </w:r>
      <w:r w:rsidRPr="00306CCA">
        <w:tab/>
        <w:t>poziva Komisiju da na pojedinačnoj osnovi procijeni učinak, uključujući rizike i koristi, automatskog proširenja isključivo proizvoda za zaštitu bilja koji su već odobreni i koji sadrže sredstva za biološku kontrolu kako bi se obuhvatila neznatna upotreba u skladu sa zaštitnim mjerama utvrđenima u članku 51. Uredbe (EZ) br. 1107/2009;</w:t>
      </w:r>
    </w:p>
    <w:p w14:paraId="526C11DF" w14:textId="77777777" w:rsidR="001841DB" w:rsidRPr="00306CCA" w:rsidRDefault="001841DB" w:rsidP="001841DB">
      <w:pPr>
        <w:pStyle w:val="NormalHanging12a"/>
      </w:pPr>
      <w:r w:rsidRPr="00306CCA">
        <w:t>12.</w:t>
      </w:r>
      <w:r w:rsidRPr="00306CCA">
        <w:tab/>
        <w:t>poziva Komisiju da razmotri produljenje maksimalnog trajanja prvog odobrenja i obnove odobrenja za aktivne tvari koje vrše biološku kontrolu do 25 godina; poziva Komisiju da uspostavi i ažurira popis proizvoda za biološku kontrolu koji bi, na temelju profila, prirode i načina djelovanja, mogli ispunjavati uvjete za produljenje prvog odobrenja na razdoblje do 25 godina; naglašava da se takav popis ne smije zatvoriti i da mora odražavati najnovije znanstvene standarde te ostati dinamičan, što znači da se uvrštavanje na popis ne smije smatrati trajnim; poziva Komisiju da periodično preispituje i ažurira popis u svjetlu novih podataka i znanstvenih dostignuća; poziva Komisiju da procijeni moguće uvjete pod kojima bi se aktivne tvari i proizvodi za biološku kontrolu za koje je dokazano da nemaju rizičan profil ili da je profil rizičnosti zanemariv mogli odobriti na neodređeno vrijeme;</w:t>
      </w:r>
    </w:p>
    <w:p w14:paraId="16F68CC1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13.</w:t>
      </w:r>
      <w:r w:rsidRPr="00306CCA">
        <w:tab/>
        <w:t xml:space="preserve">nadalje, poziva Komisiju da razmotri uspostavu mehanizma odobravanja za posebne kategorije </w:t>
      </w:r>
      <w:proofErr w:type="spellStart"/>
      <w:r w:rsidRPr="00306CCA">
        <w:t>niskorizičnih</w:t>
      </w:r>
      <w:proofErr w:type="spellEnd"/>
      <w:r w:rsidRPr="00306CCA">
        <w:t xml:space="preserve"> </w:t>
      </w:r>
      <w:proofErr w:type="spellStart"/>
      <w:r w:rsidRPr="00306CCA">
        <w:t>biokontrola</w:t>
      </w:r>
      <w:proofErr w:type="spellEnd"/>
      <w:r w:rsidRPr="00306CCA">
        <w:t xml:space="preserve"> na razini Unije;</w:t>
      </w:r>
    </w:p>
    <w:p w14:paraId="0B827B71" w14:textId="77777777" w:rsidR="001841DB" w:rsidRPr="00306CCA" w:rsidRDefault="001841DB" w:rsidP="00306CCA">
      <w:pPr>
        <w:pStyle w:val="NormalWeb"/>
        <w:widowControl w:val="0"/>
        <w:spacing w:before="0" w:beforeAutospacing="0" w:after="240" w:afterAutospacing="0"/>
        <w:rPr>
          <w:b/>
          <w:bCs/>
          <w:i/>
          <w:iCs/>
        </w:rPr>
      </w:pPr>
      <w:r w:rsidRPr="00306CCA">
        <w:rPr>
          <w:b/>
          <w:i/>
        </w:rPr>
        <w:t xml:space="preserve">Ubrzani postupci </w:t>
      </w:r>
    </w:p>
    <w:p w14:paraId="27C661CA" w14:textId="77777777" w:rsidR="001841DB" w:rsidRPr="00306CCA" w:rsidRDefault="001841DB" w:rsidP="001841DB">
      <w:pPr>
        <w:pStyle w:val="NormalHanging12a"/>
      </w:pPr>
      <w:r w:rsidRPr="00306CCA">
        <w:t>14.</w:t>
      </w:r>
      <w:r w:rsidRPr="00306CCA">
        <w:tab/>
        <w:t>preporučuje racionalizaciju, optimizaciju i ubrzavanje postupka autorizacije, kao i postupaka ponovne autorizacije, odobravanja i ponovnog odobravanja rješenja za biološku kontrolu, među ostalim uspostavom ubrzanih postupaka, kako bi se smanjila nepotrebna birokratska opterećenja radi boljeg usklađivanja s rokovima pravne evaluacije uz pravilnu procjenu povezanog rizika i upravljanje njime;</w:t>
      </w:r>
    </w:p>
    <w:p w14:paraId="00A23DA8" w14:textId="77777777" w:rsidR="001841DB" w:rsidRPr="00306CCA" w:rsidRDefault="001841DB" w:rsidP="001841DB">
      <w:pPr>
        <w:pStyle w:val="NormalHanging12a"/>
      </w:pPr>
      <w:r w:rsidRPr="00306CCA">
        <w:t>15.</w:t>
      </w:r>
      <w:r w:rsidRPr="00306CCA">
        <w:tab/>
        <w:t xml:space="preserve">naglašava, međutim, da svaki ubrzani postupak stavljanja proizvoda za biološku kontrolu na tržište i dalje mora podlijegati strogoj znanstvenoj procjeni, uključujući analizu rizika koja obuhvaća i </w:t>
      </w:r>
      <w:proofErr w:type="spellStart"/>
      <w:r w:rsidRPr="00306CCA">
        <w:t>neciljane</w:t>
      </w:r>
      <w:proofErr w:type="spellEnd"/>
      <w:r w:rsidRPr="00306CCA">
        <w:t xml:space="preserve"> organizme i učinkovitost u nizu relevantnih klimatskih uvjeta;</w:t>
      </w:r>
    </w:p>
    <w:p w14:paraId="6B23FD24" w14:textId="77777777" w:rsidR="001841DB" w:rsidRPr="00306CCA" w:rsidRDefault="001841DB" w:rsidP="001841DB">
      <w:pPr>
        <w:rPr>
          <w:b/>
          <w:bCs/>
          <w:i/>
          <w:iCs/>
        </w:rPr>
      </w:pPr>
      <w:r w:rsidRPr="00306CCA">
        <w:rPr>
          <w:b/>
          <w:i/>
        </w:rPr>
        <w:t>Privremeno odobrenje</w:t>
      </w:r>
    </w:p>
    <w:p w14:paraId="5EB3473D" w14:textId="77777777" w:rsidR="001841DB" w:rsidRPr="00306CCA" w:rsidRDefault="001841DB" w:rsidP="00306CCA">
      <w:pPr>
        <w:pStyle w:val="NormalHanging12a"/>
        <w:spacing w:before="240"/>
      </w:pPr>
      <w:r w:rsidRPr="00306CCA">
        <w:t>16.</w:t>
      </w:r>
      <w:r w:rsidRPr="00306CCA">
        <w:tab/>
        <w:t xml:space="preserve">poziva Komisiju da u svojoj reviziji Uredbe (EZ) br. 1107/2009 izmijeni članak 30. kako bi se razmotrilo dopuštanje privremenog odobrenja samo za sredstva za zaštitu bilja za biološku kontrolu koja ispunjavaju relevantne sigurnosne kriterije iz tog članka; smatra da bi privremena, uvjetna odobrenja trebala biti popraćena potrebnim praćenjem; podsjeća na utvrđeno načelo da bi, ako novi podaci pokažu neprihvatljiv rizik za zdravlje ili okoliš, uključujući </w:t>
      </w:r>
      <w:proofErr w:type="spellStart"/>
      <w:r w:rsidRPr="00306CCA">
        <w:t>neciljane</w:t>
      </w:r>
      <w:proofErr w:type="spellEnd"/>
      <w:r w:rsidRPr="00306CCA">
        <w:t xml:space="preserve"> vrste, trebalo preispitati i povući privremeno odobrenje;</w:t>
      </w:r>
    </w:p>
    <w:p w14:paraId="1EC0C99A" w14:textId="77777777" w:rsidR="001841DB" w:rsidRPr="00306CCA" w:rsidRDefault="001841DB" w:rsidP="00306CCA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306CCA">
        <w:rPr>
          <w:b/>
          <w:i/>
        </w:rPr>
        <w:t>Gledajući prema naprijed: strategija, analiza nedostataka i dugoročnija zakonodavna perspektiva</w:t>
      </w:r>
    </w:p>
    <w:p w14:paraId="6502D5A3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17.</w:t>
      </w:r>
      <w:r w:rsidRPr="00306CCA">
        <w:tab/>
        <w:t xml:space="preserve">poziva Komisiju da u procjeni učinka priloženoj svojem zakonodavnom prijedlogu ocijeni primjerenost postojećeg zakonodavnog okvira i procjena rizika tijekom odobravanja aktivnih tvari koje vrše biološku kontrolu i odobravanja proizvoda za </w:t>
      </w:r>
      <w:r w:rsidRPr="00306CCA">
        <w:lastRenderedPageBreak/>
        <w:t>biološku kontrolu, među ostalim u pogledu zahtjeva za podatke, kriterija za odobrenje i uzajamnog priznavanja; poziva na popratnu procjenu učinka kako bi se utvrdila područja u kojima bi se postojeća uredba mogla prilagoditi kako bi bila prikladnija za stavljanje rješenja za biološku kontrolu na tržište, kako je zatraženo u strateškom dijalogu, te kako bi se ispunila potreba poljoprivrednika za naprednijim i sveobuhvatnijim paketom instrumenata;</w:t>
      </w:r>
    </w:p>
    <w:p w14:paraId="38CAAD00" w14:textId="77777777" w:rsidR="001841DB" w:rsidRPr="00306CCA" w:rsidRDefault="001841DB" w:rsidP="001841DB">
      <w:pPr>
        <w:pStyle w:val="NormalHanging12a"/>
      </w:pPr>
      <w:r w:rsidRPr="00306CCA">
        <w:t>18.</w:t>
      </w:r>
      <w:r w:rsidRPr="00306CCA">
        <w:tab/>
        <w:t>poziva Komisiju da osigura sveobuhvatnu strategiju biološke kontrole i skup alata za procjenu očekivanih izazova u zaštiti usjeva u sljedećih 10 godina za određene usjeve, štetnike i bolesti kako bi se podržao razvoj alternativnih mjera za sredstva za zaštitu bilja i integriranu zaštitu bilja, posebno upotrebom učinkovitih i cjenovno pristupačnih alternativa za utvrđivanje nedostataka u zaštiti bilja i predviđanje povlačenja s tržišta, kako bi se korisnicima omogućilo planiranje dostatnih prijelaznih razdoblja tijekom postupnog ukidanja s ciljem stvaranja okvira prilagođenog budućim potrebama;</w:t>
      </w:r>
    </w:p>
    <w:p w14:paraId="525BAA39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19.</w:t>
      </w:r>
      <w:r w:rsidRPr="00306CCA">
        <w:tab/>
        <w:t>poziva Komisiju da razmotri dugoročnu mogućnost nove samostalne uredbe o biološkoj kontroli, uključujući uvjete pod kojima se može primijeniti centralizirani pristup, kako bi se bolje prilagodili postupci procjene, odobravanja i autorizacije rješenja za biološku kontrolu;</w:t>
      </w:r>
    </w:p>
    <w:p w14:paraId="219E22A7" w14:textId="77777777" w:rsidR="001841DB" w:rsidRPr="00306CCA" w:rsidRDefault="001841DB" w:rsidP="00306CCA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306CCA">
        <w:rPr>
          <w:b/>
          <w:i/>
        </w:rPr>
        <w:t xml:space="preserve">Rješavanje zaostataka </w:t>
      </w:r>
    </w:p>
    <w:p w14:paraId="4AA42141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20.</w:t>
      </w:r>
      <w:r w:rsidRPr="00306CCA">
        <w:tab/>
        <w:t>poziva, prema potrebi, na dodjelu dostatnih sredstava za rješavanje zaostataka u odgođenim zahtjevima za biološku kontrolu, uz uspostavu prioritetne trake, pod uvjetom da je primila namjenska dodatna sredstva za odobravanje sredstava za biološku kontrolu, u okviru postupaka odobravanja aktivnih tvari i proizvoda u skladu s Uredbom (EZ) br. 1107/2009, uz istodobnu procjenu i ažuriranje postupaka odobravanja na temelju znanstvenog i tehničkog razvoja; naglašava da ubrzavanje procjene i odobravanja rješenja za biološku kontrolu ne bi smjelo dovesti do daljnjeg kašnjenja u procjeni rizika i odobravanju konvencionalnih tvari i sredstava za zaštitu bilja ili kašnjenja u preispitivanju onih koji su na tržištu više od 10 godina, kako bi se osigurala visoka razina zaštite;</w:t>
      </w:r>
    </w:p>
    <w:p w14:paraId="159CAA7C" w14:textId="77777777" w:rsidR="001841DB" w:rsidRPr="00306CCA" w:rsidRDefault="001841DB" w:rsidP="001841DB">
      <w:pPr>
        <w:pStyle w:val="NormalHanging12a"/>
        <w:rPr>
          <w:b/>
          <w:bCs/>
          <w:i/>
          <w:iCs/>
        </w:rPr>
      </w:pPr>
      <w:r w:rsidRPr="00306CCA">
        <w:rPr>
          <w:b/>
          <w:i/>
        </w:rPr>
        <w:t>Potpora podnositeljima zahtjeva</w:t>
      </w:r>
    </w:p>
    <w:p w14:paraId="364511CB" w14:textId="77777777" w:rsidR="001841DB" w:rsidRPr="00306CCA" w:rsidRDefault="001841DB" w:rsidP="001841DB">
      <w:pPr>
        <w:pStyle w:val="NormalHanging12a"/>
      </w:pPr>
      <w:r w:rsidRPr="00306CCA">
        <w:t>21.</w:t>
      </w:r>
      <w:r w:rsidRPr="00306CCA">
        <w:tab/>
        <w:t>prima na znanje postojeće odredbe o pomoći podnositeljima zahtjeva iz Europske agencije za kemikalije i Europske agencije za lijekove; poziva države članice i EFSA-u da pruže tehničku potporu za zahtjeve malih i srednjih poduzeća, posebno tijekom postupka pripreme zahtjeva, uz primjenu jasnih zaštitnih mjera kako bi se izbjegli sukobi interesa; poziva EFSA-u da, poštujući prethodno navedeno, uspostavi jedinstvenu kontaktnu točku za MSP-ove koji proizvode sredstva za biološku kontrolu te da podnositeljima zahtjeva pruži jasne smjernice i potporu u pripremi dokumentacije, pružajući objašnjenja zahtjeva u pogledu podataka i postupaka podnošenja, u cilju poboljšanja kvalitete zahtjeva, čime bi se smanjila kašnjenja u postupku procjene i odobravanja te olakšalo stavljanje odobrenih sredstava za biološku kontrolu na tržište EU-a;</w:t>
      </w:r>
    </w:p>
    <w:p w14:paraId="12C85BCF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22.</w:t>
      </w:r>
      <w:r w:rsidRPr="00306CCA">
        <w:tab/>
        <w:t>poziva države članice da uspostave vremenski učinkovite, jasne i lako razumljive administrativne postupke prilagođene proizvodima za biološku kontrolu i procjene rizika primjerene njihovu načinu djelovanja i prirodi proizvoda te da uspostave namjenske službe za pomoć;</w:t>
      </w:r>
    </w:p>
    <w:p w14:paraId="2B76DD7B" w14:textId="77777777" w:rsidR="001841DB" w:rsidRPr="00306CCA" w:rsidRDefault="001841DB" w:rsidP="001841DB">
      <w:pPr>
        <w:pStyle w:val="NormalHanging12a"/>
      </w:pPr>
      <w:r w:rsidRPr="00306CCA">
        <w:lastRenderedPageBreak/>
        <w:t>23.</w:t>
      </w:r>
      <w:r w:rsidRPr="00306CCA">
        <w:tab/>
        <w:t>poziva Komisiju da hitno donese ažurirane smjernice specifične za proizvode za biološku kontrolu kako bi se promicala njihova primjena i povećala dosljednost u svim državama članicama;</w:t>
      </w:r>
    </w:p>
    <w:p w14:paraId="0A1B83E4" w14:textId="77777777" w:rsidR="001841DB" w:rsidRPr="00306CCA" w:rsidRDefault="001841DB" w:rsidP="00306CCA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306CCA">
        <w:rPr>
          <w:b/>
          <w:i/>
        </w:rPr>
        <w:t>Primjena Direktive 2009/128/EZ radi promicanja bioloških kontrola, među ostalim putem integrirane zaštite bilja</w:t>
      </w:r>
    </w:p>
    <w:p w14:paraId="5C9F6AE3" w14:textId="77777777" w:rsidR="001841DB" w:rsidRPr="00306CCA" w:rsidRDefault="001841DB" w:rsidP="001841DB">
      <w:pPr>
        <w:pStyle w:val="NormalHanging12a"/>
      </w:pPr>
      <w:r w:rsidRPr="00306CCA">
        <w:t>24.</w:t>
      </w:r>
      <w:r w:rsidRPr="00306CCA">
        <w:tab/>
        <w:t xml:space="preserve">poziva države članice da u svoje nacionalne akcijske planove u skladu s Direktivom 2009/128/EZ osobito uključe planirane i donesene mjere za poboljšanje postupaka odobravanja za proizvode za biološku kontrolu i druge </w:t>
      </w:r>
      <w:proofErr w:type="spellStart"/>
      <w:r w:rsidRPr="00306CCA">
        <w:t>niskorizične</w:t>
      </w:r>
      <w:proofErr w:type="spellEnd"/>
      <w:r w:rsidRPr="00306CCA">
        <w:t xml:space="preserve"> proizvode;</w:t>
      </w:r>
    </w:p>
    <w:p w14:paraId="6AD474FB" w14:textId="77777777" w:rsidR="001841DB" w:rsidRPr="00306CCA" w:rsidRDefault="001841DB" w:rsidP="001841DB">
      <w:pPr>
        <w:pStyle w:val="NormalHanging12a"/>
      </w:pPr>
      <w:r w:rsidRPr="00306CCA">
        <w:t>25.</w:t>
      </w:r>
      <w:r w:rsidRPr="00306CCA">
        <w:tab/>
        <w:t>također poziva Komisiju i države članice da u suradnji s poljoprivrednicima osiguraju učinkovitu provedbu Direktive 2009/128/EZ, kojom se uspostavlja lakši pristup proizvodima za biološku kontrolu, te da poljoprivrednicima pruže potporu u usvajanju održivijih praksi;</w:t>
      </w:r>
    </w:p>
    <w:p w14:paraId="7398BE50" w14:textId="77777777" w:rsidR="001841DB" w:rsidRPr="00306CCA" w:rsidRDefault="001841DB" w:rsidP="001841DB">
      <w:pPr>
        <w:pStyle w:val="NormalHanging12a"/>
        <w:rPr>
          <w:i/>
          <w:iCs/>
        </w:rPr>
      </w:pPr>
      <w:r w:rsidRPr="00306CCA">
        <w:rPr>
          <w:b/>
          <w:bCs/>
          <w:i/>
        </w:rPr>
        <w:t>Potencijal rješenja za biološku kontrolu</w:t>
      </w:r>
    </w:p>
    <w:p w14:paraId="45C9EA17" w14:textId="77777777" w:rsidR="001841DB" w:rsidRPr="00306CCA" w:rsidRDefault="001841DB" w:rsidP="001841DB">
      <w:pPr>
        <w:pStyle w:val="NormalHanging12a"/>
        <w:rPr>
          <w:szCs w:val="24"/>
        </w:rPr>
      </w:pPr>
      <w:r w:rsidRPr="00306CCA">
        <w:t>26.</w:t>
      </w:r>
      <w:r w:rsidRPr="00306CCA">
        <w:tab/>
        <w:t xml:space="preserve">prepoznaje veliku mogućnost pristupâ biološke kontrole kako bi se smanjila ovisnost o konvencionalnim sredstvima za zaštitu bilja; napominje da rješenja za biološku kontrolu mogu dopuniti konvencionalna sredstva za zaštitu bilja ako se posveti odgovarajuća pozornost, što ih čini korisnim dodatkom širokom i uravnoteženom paketu instrumenata za poljoprivrednike uz druge metode zaštite usjeva; naglašava da posebne značajke sredstava za biološku kontrolu pružaju drugačiji profil rizika kako bi mogla ponuditi ciljano djelovanje s manjim </w:t>
      </w:r>
      <w:proofErr w:type="spellStart"/>
      <w:r w:rsidRPr="00306CCA">
        <w:t>neciljanim</w:t>
      </w:r>
      <w:proofErr w:type="spellEnd"/>
      <w:r w:rsidRPr="00306CCA">
        <w:t xml:space="preserve"> ili preostalim učincima, što ih čini kompatibilnijima s integriranom zaštitom bilja, a posebno s praksama ekološkog uzgoja; ustraje u tome da šira primjena biološke kontrole stoga može znatno doprinijeti postizanju ciljeva EU-a u području okoliša, sigurnosti opskrbe hranom i zdravlja, uz istodobno održavanje poljoprivredne produktivnosti i osiguravanje da poljoprivrednici ne ostanu bez učinkovitih i cjenovno pristupačnih alternativa za zaštitu svojih usjeva; </w:t>
      </w:r>
    </w:p>
    <w:p w14:paraId="6E2644E7" w14:textId="77777777" w:rsidR="001841DB" w:rsidRPr="00306CCA" w:rsidRDefault="001841DB" w:rsidP="001841DB">
      <w:pPr>
        <w:pStyle w:val="NormalHanging12a"/>
      </w:pPr>
      <w:r w:rsidRPr="00306CCA">
        <w:t>27.</w:t>
      </w:r>
      <w:r w:rsidRPr="00306CCA">
        <w:tab/>
        <w:t>napominje da bi olakšavanje odobravanja i primjene biološke kontrole trebalo biti povezano s povećanjem primjene integrirane zaštite bilja i smanjenjem rizika povezanih s konvencionalnim sredstvima za zaštitu bilja i ovisnosti o njima;</w:t>
      </w:r>
    </w:p>
    <w:p w14:paraId="4D2E35DF" w14:textId="4C243340" w:rsidR="001841DB" w:rsidRPr="00306CCA" w:rsidRDefault="001841DB" w:rsidP="001841DB">
      <w:pPr>
        <w:pStyle w:val="NormalHanging12a"/>
        <w:rPr>
          <w:szCs w:val="24"/>
        </w:rPr>
      </w:pPr>
      <w:r w:rsidRPr="00306CCA">
        <w:t>2</w:t>
      </w:r>
      <w:r w:rsidR="00A5252A">
        <w:t>8</w:t>
      </w:r>
      <w:r w:rsidRPr="00306CCA">
        <w:t>.</w:t>
      </w:r>
      <w:r w:rsidRPr="00306CCA">
        <w:tab/>
        <w:t>poziva Komisiju da osigura učinkovitu provedbu i primjenu održive upotrebe pesticida u skladu s Direktivom 2009/128/EZ i Uredbom (EZ) br. 1107/2009, posebno u pogledu pravovremene obrade zahtjeva za odobrenje i integrirane zaštite bilja; napominje da u integriranom pristupu integriranoj zaštiti bilja za poljoprivrednike uvijek ostaje mogućnost upotrebe odobrenih konvencionalnih proizvoda za koje su ispunjeni svi sigurnosni zahtjevi za zdravlje i okoliše;</w:t>
      </w:r>
    </w:p>
    <w:p w14:paraId="00D591D8" w14:textId="77777777" w:rsidR="001841DB" w:rsidRPr="00306CCA" w:rsidRDefault="001841DB" w:rsidP="001841DB">
      <w:pPr>
        <w:spacing w:before="240" w:after="240"/>
        <w:rPr>
          <w:b/>
          <w:bCs/>
          <w:i/>
          <w:iCs/>
        </w:rPr>
      </w:pPr>
      <w:r w:rsidRPr="00306CCA">
        <w:rPr>
          <w:b/>
          <w:i/>
        </w:rPr>
        <w:t xml:space="preserve">Procjena kapaciteta i resursa za uspješnost </w:t>
      </w:r>
    </w:p>
    <w:p w14:paraId="1C48B92D" w14:textId="23CF0DD2" w:rsidR="001841DB" w:rsidRPr="00306CCA" w:rsidRDefault="00A5252A" w:rsidP="001841DB">
      <w:pPr>
        <w:pStyle w:val="NormalHanging12a"/>
      </w:pPr>
      <w:r>
        <w:t>29</w:t>
      </w:r>
      <w:r w:rsidR="001841DB" w:rsidRPr="00306CCA">
        <w:t>.</w:t>
      </w:r>
      <w:r w:rsidR="001841DB" w:rsidRPr="00306CCA">
        <w:tab/>
        <w:t>poziva Komisiju i države članice da procijene svoju administrativnu uspješnost i institucionalne kapacitete te prikladnost sredstava dodijeljenih EFSA-i i relevantnim nacionalnim nadležnim tijelima kako bi im se omogućilo da ispune svoje zadaće; naglašava da su potrebna ulaganja u kapacitete za (ponovnu) procjenu u državama članicama i unutar EFSA-e;</w:t>
      </w:r>
    </w:p>
    <w:p w14:paraId="2CF4C58C" w14:textId="5951F686" w:rsidR="001841DB" w:rsidRPr="00306CCA" w:rsidRDefault="001841DB" w:rsidP="001841DB">
      <w:pPr>
        <w:pStyle w:val="NormalHanging12a"/>
      </w:pPr>
      <w:r w:rsidRPr="00306CCA">
        <w:t>3</w:t>
      </w:r>
      <w:r w:rsidR="00A5252A">
        <w:t>0</w:t>
      </w:r>
      <w:r w:rsidRPr="00306CCA">
        <w:t>.</w:t>
      </w:r>
      <w:r w:rsidRPr="00306CCA">
        <w:tab/>
        <w:t xml:space="preserve">poziva Komisiju da dodijeli potrebna dodatna sredstva za osposobljavanje i </w:t>
      </w:r>
      <w:r w:rsidRPr="00306CCA">
        <w:lastRenderedPageBreak/>
        <w:t>zapošljavanje dodatnog osoblja, među ostalim s odgovarajućim i specijaliziranim stručnim znanjem, unutar EFSA-e te da uspostavi namjenske i dostatne resurse u okviru organizacijske strukture EFSA-e za biološku kontrolu kako bi se spriječila nepotrebna kašnjenja u postupku odobravanja aktivnih tvari koje vrše biološku kontrolu te kako bi se osigurale prilagođene procjene i smanjila uska grla; poziva Komisiju da poduzme odgovarajuće daljnje mjere kako bi se omogućilo ubrzanje postupka odobravanja i povećana primjena biološke kontrole;</w:t>
      </w:r>
    </w:p>
    <w:p w14:paraId="454B54CD" w14:textId="77777777" w:rsidR="001841DB" w:rsidRPr="00306CCA" w:rsidRDefault="001841DB" w:rsidP="001841DB">
      <w:pPr>
        <w:pStyle w:val="NormalHanging12a"/>
      </w:pPr>
      <w:r w:rsidRPr="00306CCA">
        <w:rPr>
          <w:b/>
          <w:i/>
        </w:rPr>
        <w:t>Snažno financiranje od strane država članica</w:t>
      </w:r>
    </w:p>
    <w:p w14:paraId="760122DC" w14:textId="386B463A" w:rsidR="001841DB" w:rsidRPr="00306CCA" w:rsidRDefault="001841DB" w:rsidP="001841DB">
      <w:pPr>
        <w:pStyle w:val="NormalHanging12a"/>
      </w:pPr>
      <w:r w:rsidRPr="00306CCA">
        <w:t>3</w:t>
      </w:r>
      <w:r w:rsidR="00A5252A">
        <w:t>1</w:t>
      </w:r>
      <w:r w:rsidRPr="00306CCA">
        <w:t>.</w:t>
      </w:r>
      <w:r w:rsidRPr="00306CCA">
        <w:tab/>
        <w:t>poziva države članice da osiguraju izdvajanje dostatnih proračunskih sredstava za relevantna nacionalna nadležna tijela, što je ključno kako bi se spriječila nepotrebna kašnjenja u postupcima odobravanja biološke kontrole i ubrzala primjena biološke kontrole; ustraje u tome da bi države članice trebale osigurati relevantnim nacionalnim nadležnim tijelima dostatan proračun te dovoljno osoblja i stručnog znanja za pravodobnu i učinkovitu provedbu (ponovnih) procjena; ističe prednosti razmjene najboljih praksi među državama članicama;</w:t>
      </w:r>
    </w:p>
    <w:p w14:paraId="24A3471D" w14:textId="0671E6DB" w:rsidR="001841DB" w:rsidRPr="00306CCA" w:rsidRDefault="001841DB" w:rsidP="001841DB">
      <w:pPr>
        <w:pStyle w:val="NormalHanging12a"/>
      </w:pPr>
      <w:r w:rsidRPr="00306CCA">
        <w:t>3</w:t>
      </w:r>
      <w:r w:rsidR="00A5252A">
        <w:t>2</w:t>
      </w:r>
      <w:r w:rsidRPr="00306CCA">
        <w:t>.</w:t>
      </w:r>
      <w:r w:rsidRPr="00306CCA">
        <w:tab/>
        <w:t>također poziva Komisiju da predloži mjere i utvrdi mehanizme i resurse za potporu državama članicama u ubrzavanju njihovih postupaka odobravanja; u tom pogledu predlaže da Komisija izradi smjernice o potrebnim i minimalnim resursima i kapacitetima potrebnima za procjenu proizvoda za biološku kontrolu, koji bi bili primjenjivi u svim državama članicama EU-a;</w:t>
      </w:r>
    </w:p>
    <w:p w14:paraId="26EBDA4F" w14:textId="77777777" w:rsidR="001841DB" w:rsidRPr="00306CCA" w:rsidRDefault="001841DB" w:rsidP="001841DB">
      <w:pPr>
        <w:pStyle w:val="NormalHanging12a"/>
        <w:rPr>
          <w:b/>
          <w:bCs/>
          <w:i/>
          <w:iCs/>
          <w:szCs w:val="24"/>
        </w:rPr>
      </w:pPr>
      <w:r w:rsidRPr="00306CCA">
        <w:rPr>
          <w:b/>
          <w:i/>
        </w:rPr>
        <w:t>Istraživanje i ulaganja</w:t>
      </w:r>
    </w:p>
    <w:p w14:paraId="4122DA12" w14:textId="5AB2137C" w:rsidR="001841DB" w:rsidRPr="00306CCA" w:rsidRDefault="001841DB" w:rsidP="001841DB">
      <w:pPr>
        <w:pStyle w:val="NormalHanging12a"/>
      </w:pPr>
      <w:r w:rsidRPr="00306CCA">
        <w:t>3</w:t>
      </w:r>
      <w:r w:rsidR="00A5252A">
        <w:t>3</w:t>
      </w:r>
      <w:r w:rsidRPr="00306CCA">
        <w:t>.</w:t>
      </w:r>
      <w:r w:rsidRPr="00306CCA">
        <w:tab/>
        <w:t>poziva Komisiju i države članice da potiču ulaganja u javna i privatna istraživanja i partnerstva za razvoj strategija biološke kontrole i integrirane zaštite bilja, među ostalim putem istraživačkih centara, sveučilišta i regionalnih inovacijskih centara, inovacijskih partnerstava EU-a i oglednih projekata, s posebnim naglaskom na MSP-ovima putem ciljanih programa, kao i za poticanje konkurentnog okruženja koje omogućuje i potiče inovacije EU-a i smanjuje ovisnosti poljoprivrede EU-a;</w:t>
      </w:r>
    </w:p>
    <w:p w14:paraId="7114C86A" w14:textId="7CA25129" w:rsidR="001841DB" w:rsidRPr="00306CCA" w:rsidRDefault="001841DB" w:rsidP="001841DB">
      <w:pPr>
        <w:pStyle w:val="NormalHanging12a"/>
        <w:rPr>
          <w:rStyle w:val="Strong"/>
          <w:b w:val="0"/>
          <w:bCs w:val="0"/>
        </w:rPr>
      </w:pPr>
      <w:r w:rsidRPr="00306CCA">
        <w:t>3</w:t>
      </w:r>
      <w:r w:rsidR="00A5252A">
        <w:t>4</w:t>
      </w:r>
      <w:r w:rsidRPr="00306CCA">
        <w:t>.</w:t>
      </w:r>
      <w:r w:rsidRPr="00306CCA">
        <w:rPr>
          <w:rStyle w:val="Strong"/>
        </w:rPr>
        <w:tab/>
      </w:r>
      <w:r w:rsidRPr="00306CCA">
        <w:rPr>
          <w:rStyle w:val="Strong"/>
          <w:b w:val="0"/>
          <w:bCs w:val="0"/>
        </w:rPr>
        <w:t>naglašava važnost istraživanja i razvoja tehnologija biološke kontrole tijekom sljedećih desetljeća, posebno istraživanja o rješavanju nedostataka u zaštiti u određenim kombinacijama usjeva, štetnika i bolesti, za koje postoji malo alternativnih rješenja za suzbijanje štetnih organizama ili uopće ne postoje, kako bi se inovacije i regulatorni napori usmjerili tamo gdje su najhitnije potrebni;</w:t>
      </w:r>
    </w:p>
    <w:p w14:paraId="45598F95" w14:textId="77777777" w:rsidR="001841DB" w:rsidRPr="00306CCA" w:rsidRDefault="001841DB" w:rsidP="001841DB">
      <w:pPr>
        <w:spacing w:before="240" w:after="240"/>
        <w:rPr>
          <w:b/>
          <w:bCs/>
          <w:i/>
          <w:iCs/>
        </w:rPr>
      </w:pPr>
      <w:r w:rsidRPr="00306CCA">
        <w:rPr>
          <w:b/>
          <w:i/>
        </w:rPr>
        <w:t xml:space="preserve">Pristup znanju za poljoprivrednike </w:t>
      </w:r>
    </w:p>
    <w:p w14:paraId="17E61163" w14:textId="7A109F48" w:rsidR="001841DB" w:rsidRPr="00306CCA" w:rsidRDefault="001841DB" w:rsidP="001841DB">
      <w:pPr>
        <w:pStyle w:val="NormalHanging12a"/>
      </w:pPr>
      <w:r w:rsidRPr="00306CCA">
        <w:t>3</w:t>
      </w:r>
      <w:r w:rsidR="00A5252A">
        <w:t>5</w:t>
      </w:r>
      <w:r w:rsidRPr="00306CCA">
        <w:t>.</w:t>
      </w:r>
      <w:r w:rsidRPr="00306CCA">
        <w:tab/>
        <w:t>napominje da upotreba biološke kontrole zahtijeva različite pristupe, baze znanja i skupove vještina, posebno u pogledu skrbi o korisnim vrstama koje štite usjeve; napominje da je već djelomično integrirana u zaštitu bilja i druge sustave proizvodnje; naglašava, međutim, da su, u suradnji s poljoprivrednicima, potrebni daljnje znanje, osposobljavanje, informacije i praktične smjernice o učinkovitoj upotrebi proizvoda za biološku kontrolu;</w:t>
      </w:r>
    </w:p>
    <w:p w14:paraId="7035B6AA" w14:textId="6ABB8411" w:rsidR="001841DB" w:rsidRPr="00306CCA" w:rsidRDefault="001841DB" w:rsidP="001841DB">
      <w:pPr>
        <w:pStyle w:val="NormalHanging12a"/>
      </w:pPr>
      <w:r w:rsidRPr="00306CCA">
        <w:t>3</w:t>
      </w:r>
      <w:r w:rsidR="00A5252A">
        <w:t>6</w:t>
      </w:r>
      <w:r w:rsidRPr="00306CCA">
        <w:t>.</w:t>
      </w:r>
      <w:r w:rsidRPr="00306CCA">
        <w:tab/>
        <w:t xml:space="preserve">napominje da i dalje postoje velike razlike u pristupu država članica znanju i savjetodavnim uslugama; poziva na pružanje savjeta o upotrebi i primjeni mogućnosti biološke kontrole u okviru kontinuiranih i neovisnih savjetodavnih sustava s </w:t>
      </w:r>
      <w:r w:rsidRPr="00306CCA">
        <w:lastRenderedPageBreak/>
        <w:t>odgovarajućim resursima, koji bi trebali biti dostupni svim poljoprivrednicima;</w:t>
      </w:r>
    </w:p>
    <w:p w14:paraId="57AD7E55" w14:textId="36C66435" w:rsidR="001841DB" w:rsidRPr="00306CCA" w:rsidRDefault="001841DB" w:rsidP="001841DB">
      <w:pPr>
        <w:pStyle w:val="NormalHanging12a"/>
      </w:pPr>
      <w:r w:rsidRPr="00306CCA">
        <w:t>3</w:t>
      </w:r>
      <w:r w:rsidR="00A5252A">
        <w:t>7</w:t>
      </w:r>
      <w:r w:rsidRPr="00306CCA">
        <w:t>.</w:t>
      </w:r>
      <w:r w:rsidRPr="00306CCA">
        <w:tab/>
        <w:t xml:space="preserve">poziva Komisiju i države članice da u suradnji s krajnjim korisnicima osiguraju digitalnu platformu EU-a, nadovezujući se na pilot-projekt „INSIGNIA”, uključujući dugoročno praćenje oprašivača, i uspješan pilot-projekt „Paket instrumenata za integriranu zaštitu bilja za poljoprivrednike” koji je pokrenuo Parlament, za širenje dobrih praksi i dokazanih rješenja za biološku kontrolu čiji je cilj pomoći poljoprivrednicima da donesu informirane odluke o najučinkovitijoj vrsti biološke kontrole za strukturu populacije štetnika i </w:t>
      </w:r>
      <w:proofErr w:type="spellStart"/>
      <w:r w:rsidRPr="00306CCA">
        <w:t>pedoklimatske</w:t>
      </w:r>
      <w:proofErr w:type="spellEnd"/>
      <w:r w:rsidRPr="00306CCA">
        <w:t xml:space="preserve"> uvjete dotičnog poljoprivrednog gospodarstva te nadalje poziva Komisiju da promiče širi paket instrumenata, među ostalim tako da tu digitalnu platformu učini kontinuiranom, pristupačnijom i trajnom inicijativom dostupnom na svim jezicima EU-a, te da osigura sudjelovanje svih relevantnih dionika;</w:t>
      </w:r>
    </w:p>
    <w:p w14:paraId="35D47658" w14:textId="73FF0B89" w:rsidR="001841DB" w:rsidRPr="00306CCA" w:rsidRDefault="001841DB" w:rsidP="001841DB">
      <w:pPr>
        <w:pStyle w:val="NormalHanging12a"/>
      </w:pPr>
      <w:r w:rsidRPr="00306CCA">
        <w:t>3</w:t>
      </w:r>
      <w:r w:rsidR="00A5252A">
        <w:t>8</w:t>
      </w:r>
      <w:r w:rsidRPr="00306CCA">
        <w:t>.</w:t>
      </w:r>
      <w:r w:rsidRPr="00306CCA">
        <w:tab/>
        <w:t xml:space="preserve">naglašava da je potrebno povećati pristup znanju osposobljavanjem poljoprivrednika kako bi se izgradili tehnički kapaciteti s pomoću demonstracijskih mreža, </w:t>
      </w:r>
      <w:proofErr w:type="spellStart"/>
      <w:r w:rsidRPr="00306CCA">
        <w:t>istorazinske</w:t>
      </w:r>
      <w:proofErr w:type="spellEnd"/>
      <w:r w:rsidRPr="00306CCA">
        <w:t xml:space="preserve"> razmjene te lokalne tehničke potpore i poticaja, uključujući financijske poticaje, u cilju promicanja sigurne, učinkovite i raširene upotrebe biološke kontrole; prepoznaje korisnost praćenja pristupa znanju i širenja najboljih praksi u pogledu primjene biološke kontrole; prima na znanje trenutačne mogućnosti država članica i EU-a da sufinanciraju i potiču osposobljavanje poljoprivrednika ulaganjima ili uslugama proširenja u okviru sustava za savjetovanje poljoprivrednika u zajedničkoj poljoprivrednoj politici; poziva Komisiju i države članice da pruže odgovarajuću potporu za osposobljavanje u području biološke kontrole, tehničku potporu i praktične smjernice te da razmotre kako najbolje olakšati takvo dobrovoljno osposobljavanje kako bi se više poljoprivrednika potaknulo na uvođenje biološke kontrole i integrirane zaštite bilja;</w:t>
      </w:r>
    </w:p>
    <w:p w14:paraId="32CCE44A" w14:textId="77777777" w:rsidR="001841DB" w:rsidRPr="00306CCA" w:rsidRDefault="001841DB" w:rsidP="001841DB">
      <w:pPr>
        <w:pStyle w:val="NormalHanging12a"/>
        <w:rPr>
          <w:b/>
          <w:bCs/>
          <w:i/>
          <w:iCs/>
        </w:rPr>
      </w:pPr>
      <w:r w:rsidRPr="00306CCA">
        <w:rPr>
          <w:b/>
          <w:i/>
        </w:rPr>
        <w:t>Suradnja među svim dionicima</w:t>
      </w:r>
    </w:p>
    <w:p w14:paraId="795EA7F2" w14:textId="1A6A6F26" w:rsidR="001841DB" w:rsidRPr="00306CCA" w:rsidRDefault="00A5252A" w:rsidP="001841DB">
      <w:pPr>
        <w:pStyle w:val="NormalHanging12a"/>
      </w:pPr>
      <w:r>
        <w:t>39</w:t>
      </w:r>
      <w:r w:rsidR="001841DB" w:rsidRPr="00306CCA">
        <w:t>.</w:t>
      </w:r>
      <w:r w:rsidR="001841DB" w:rsidRPr="00306CCA">
        <w:tab/>
        <w:t>poziva na više znanstvenih istraživanja, razmjena znanja, suradnje i izgradnje kapaciteta među svim relevantnim akterima uključenima u postupak razvoja, odobravanja, autorizacije, prihvaćanja i širenja biološke kontrole i najboljih praksi u provedbi integrirane zaštite bilja diljem EU-a, kao i u postupak razmjene znanja i najboljih praksi s partnerima u zemljama koje nisu članice EU-a;</w:t>
      </w:r>
    </w:p>
    <w:p w14:paraId="3F5DF08A" w14:textId="77777777" w:rsidR="001841DB" w:rsidRPr="00306CCA" w:rsidRDefault="001841DB" w:rsidP="001841DB">
      <w:pPr>
        <w:pStyle w:val="NormalHanging12a"/>
        <w:rPr>
          <w:b/>
          <w:bCs/>
          <w:i/>
          <w:iCs/>
        </w:rPr>
      </w:pPr>
      <w:r w:rsidRPr="00306CCA">
        <w:rPr>
          <w:b/>
          <w:i/>
        </w:rPr>
        <w:t>Financiranje savjetodavnih sustava</w:t>
      </w:r>
    </w:p>
    <w:p w14:paraId="11E1C144" w14:textId="0036B955" w:rsidR="001841DB" w:rsidRPr="00306CCA" w:rsidRDefault="001841DB" w:rsidP="001841DB">
      <w:pPr>
        <w:pStyle w:val="NormalHanging12a"/>
      </w:pPr>
      <w:r w:rsidRPr="00306CCA">
        <w:t>4</w:t>
      </w:r>
      <w:r w:rsidR="00A5252A">
        <w:t>0</w:t>
      </w:r>
      <w:r w:rsidRPr="00306CCA">
        <w:t>.</w:t>
      </w:r>
      <w:r w:rsidRPr="00306CCA">
        <w:tab/>
        <w:t>traži da se u nacionalne akcijske planove država članica uključe pojedinosti o financiranju savjetodavnih sustava, kao i osposobljavanje i kapaciteti u području biološke kontrole i integrirane zaštite bilja; naglašava da su razvoj i dostupnost smjernica za pojedine kulture i štetnike u okviru integrirane zaštite bilja i dalje nedosljedni među državama članicama; potiče države članice da revidiraju svoje nacionalne akcijske planove kako bi se ojačao pristup poljoprivrednika smjernicama za pojedine usjeve i štetnike koje odražavaju regionalne okolnosti i uključuju mogućnosti biološke kontrole, njihovu moguću integraciju u programe integrirane zaštite bilja i kompatibilnost s drugim sredstvima za zaštitu bilja, ako su dostupne i primjerene;</w:t>
      </w:r>
    </w:p>
    <w:p w14:paraId="1CC00D18" w14:textId="77777777" w:rsidR="001841DB" w:rsidRPr="00306CCA" w:rsidRDefault="001841DB" w:rsidP="001841DB">
      <w:pPr>
        <w:pStyle w:val="NormalHanging12a"/>
        <w:rPr>
          <w:b/>
          <w:bCs/>
          <w:i/>
          <w:iCs/>
        </w:rPr>
      </w:pPr>
      <w:r w:rsidRPr="00306CCA">
        <w:rPr>
          <w:b/>
          <w:i/>
        </w:rPr>
        <w:t>Praćenje napretka</w:t>
      </w:r>
    </w:p>
    <w:p w14:paraId="0EC31ED3" w14:textId="4E70B204" w:rsidR="001841DB" w:rsidRPr="00306CCA" w:rsidRDefault="001841DB" w:rsidP="001841DB">
      <w:pPr>
        <w:pStyle w:val="NormalHanging12a"/>
      </w:pPr>
      <w:r w:rsidRPr="00306CCA">
        <w:t>4</w:t>
      </w:r>
      <w:r w:rsidR="00A5252A">
        <w:t>1</w:t>
      </w:r>
      <w:r w:rsidRPr="00306CCA">
        <w:t>.</w:t>
      </w:r>
      <w:r w:rsidRPr="00306CCA">
        <w:tab/>
        <w:t>poziva Komisiju da redovito prati uvođenje na tržište, dostupnost i cjenovnu pristupačnost rješenja za biološku kontrolu;</w:t>
      </w:r>
    </w:p>
    <w:p w14:paraId="6E82349B" w14:textId="546A2FE0" w:rsidR="001841DB" w:rsidRPr="00306CCA" w:rsidRDefault="001841DB" w:rsidP="001841DB">
      <w:pPr>
        <w:pStyle w:val="NormalHanging12a"/>
      </w:pPr>
      <w:r w:rsidRPr="00306CCA">
        <w:lastRenderedPageBreak/>
        <w:t>4</w:t>
      </w:r>
      <w:r w:rsidR="00A5252A">
        <w:t>2</w:t>
      </w:r>
      <w:r w:rsidRPr="00306CCA">
        <w:t>.</w:t>
      </w:r>
      <w:r w:rsidRPr="00306CCA">
        <w:tab/>
        <w:t>poziva Komisiju da prati napredak EU-a i država članica u odobravanju i autorizaciji rješenja za biološku kontrolu, uzimajući u obzir broj zahtjeva, povezane administrativne kapacitete, broj osoblja i namjenske proračune, a posebno provedbu prioritetne trake s namjenskim dodatnim sredstvima za odobravanje proizvoda za biološku kontrolu nakon što se ona uspostavi; poziva Komisiju da objavi izvješće o rezultatima i podnese ga Parlamentu i Vijeću;</w:t>
      </w:r>
    </w:p>
    <w:p w14:paraId="142901BE" w14:textId="77777777" w:rsidR="001841DB" w:rsidRPr="00306CCA" w:rsidRDefault="001841DB" w:rsidP="001841DB">
      <w:pPr>
        <w:pStyle w:val="NormalHanging12a"/>
        <w:rPr>
          <w:b/>
          <w:bCs/>
          <w:i/>
          <w:iCs/>
        </w:rPr>
      </w:pPr>
      <w:r w:rsidRPr="00306CCA">
        <w:rPr>
          <w:b/>
          <w:i/>
        </w:rPr>
        <w:t>Najudaljenije regije</w:t>
      </w:r>
    </w:p>
    <w:p w14:paraId="04348B00" w14:textId="08BB863C" w:rsidR="001841DB" w:rsidRPr="00306CCA" w:rsidRDefault="001841DB" w:rsidP="001841DB">
      <w:pPr>
        <w:pStyle w:val="NormalHanging12a"/>
      </w:pPr>
      <w:r w:rsidRPr="00306CCA">
        <w:t>4</w:t>
      </w:r>
      <w:r w:rsidR="00A5252A">
        <w:t>3</w:t>
      </w:r>
      <w:r w:rsidRPr="00306CCA">
        <w:t>.</w:t>
      </w:r>
      <w:r w:rsidRPr="00306CCA">
        <w:tab/>
        <w:t xml:space="preserve">poziva Komisiju i države članice da osiguraju da najudaljenije regije EU-a mogu imati koristi od primjene biološke kontrole osiguravanjem da se u postupcima odobravanja uzimaju u obzir njihovi jedinstveni agroekološki uvjeti i profili štetnika te pružanjem ciljanog osposobljavanja, savjetodavnih usluga i financijske potpore poljoprivrednicima i MSP-ovima u tim regijama; snažno poziva na razvoj posebnih smjernica i platformi za znanje o usjevima i štetnicima koje odražavaju stvarnost u najudaljenijim regijama kako bi se poboljšao njihov pristup sigurnim, učinkovitim i održivim rješenjima za biološku kontrolu; </w:t>
      </w:r>
    </w:p>
    <w:p w14:paraId="6EC54295" w14:textId="77777777" w:rsidR="001841DB" w:rsidRPr="00306CCA" w:rsidRDefault="001841DB" w:rsidP="001841DB">
      <w:pPr>
        <w:pStyle w:val="NormalHanging12a"/>
        <w:jc w:val="center"/>
      </w:pPr>
      <w:r w:rsidRPr="00306CCA">
        <w:t>°</w:t>
      </w:r>
    </w:p>
    <w:p w14:paraId="20984830" w14:textId="77777777" w:rsidR="001841DB" w:rsidRPr="00306CCA" w:rsidRDefault="001841DB" w:rsidP="001841DB">
      <w:pPr>
        <w:pStyle w:val="NormalHanging12a"/>
        <w:jc w:val="center"/>
      </w:pPr>
      <w:r w:rsidRPr="00306CCA">
        <w:t>°</w:t>
      </w:r>
      <w:r w:rsidRPr="00306CCA">
        <w:tab/>
        <w:t>°</w:t>
      </w:r>
    </w:p>
    <w:p w14:paraId="271EC373" w14:textId="1D1967D1" w:rsidR="00554ED9" w:rsidRPr="00306CCA" w:rsidRDefault="001841DB" w:rsidP="00306CCA">
      <w:pPr>
        <w:pStyle w:val="NormalHanging12a"/>
      </w:pPr>
      <w:r w:rsidRPr="00306CCA">
        <w:t>4</w:t>
      </w:r>
      <w:r w:rsidR="00A5252A">
        <w:t>4</w:t>
      </w:r>
      <w:r w:rsidRPr="00306CCA">
        <w:t>.</w:t>
      </w:r>
      <w:r w:rsidRPr="00306CCA">
        <w:tab/>
        <w:t>nalaže svojoj predsjednici da ovu Rezoluciju proslijedi Vijeću i Komisiji te vladama i parlamentima država članica.</w:t>
      </w:r>
    </w:p>
    <w:sectPr w:rsidR="00554ED9" w:rsidRPr="00306CCA" w:rsidSect="00554E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3AD44" w14:textId="77777777" w:rsidR="006923D2" w:rsidRPr="00554ED9" w:rsidRDefault="006923D2">
      <w:r w:rsidRPr="00554ED9">
        <w:separator/>
      </w:r>
    </w:p>
  </w:endnote>
  <w:endnote w:type="continuationSeparator" w:id="0">
    <w:p w14:paraId="0526A809" w14:textId="77777777" w:rsidR="006923D2" w:rsidRPr="00554ED9" w:rsidRDefault="006923D2">
      <w:r w:rsidRPr="00554E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E6929" w14:textId="77777777" w:rsidR="00064002" w:rsidRPr="00554E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4B6FB" w14:textId="77777777" w:rsidR="00064002" w:rsidRPr="00554E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55DA8" w14:textId="77777777" w:rsidR="00064002" w:rsidRPr="00554E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0F243" w14:textId="77777777" w:rsidR="006923D2" w:rsidRPr="00554ED9" w:rsidRDefault="006923D2">
      <w:r w:rsidRPr="00554ED9">
        <w:separator/>
      </w:r>
    </w:p>
  </w:footnote>
  <w:footnote w:type="continuationSeparator" w:id="0">
    <w:p w14:paraId="73D93CA9" w14:textId="77777777" w:rsidR="006923D2" w:rsidRPr="00554ED9" w:rsidRDefault="006923D2">
      <w:r w:rsidRPr="00554ED9">
        <w:continuationSeparator/>
      </w:r>
    </w:p>
  </w:footnote>
  <w:footnote w:id="1">
    <w:p w14:paraId="623CE486" w14:textId="24D69207" w:rsidR="001841DB" w:rsidRPr="00554ED9" w:rsidRDefault="001841DB" w:rsidP="00554ED9">
      <w:pPr>
        <w:pStyle w:val="FootnoteText"/>
        <w:ind w:left="567" w:hanging="567"/>
        <w:rPr>
          <w:iCs/>
          <w:sz w:val="24"/>
          <w:lang w:val="hr-HR"/>
        </w:rPr>
      </w:pPr>
      <w:r w:rsidRPr="00554ED9">
        <w:rPr>
          <w:rStyle w:val="FootnoteReference"/>
          <w:sz w:val="24"/>
          <w:lang w:val="hr-HR"/>
        </w:rPr>
        <w:footnoteRef/>
      </w:r>
      <w:r w:rsidR="00554ED9" w:rsidRPr="00554ED9">
        <w:rPr>
          <w:sz w:val="24"/>
          <w:lang w:val="hr-HR"/>
        </w:rPr>
        <w:t xml:space="preserve"> </w:t>
      </w:r>
      <w:r w:rsidR="00554ED9" w:rsidRPr="00554ED9">
        <w:rPr>
          <w:sz w:val="24"/>
          <w:lang w:val="hr-HR"/>
        </w:rPr>
        <w:tab/>
      </w:r>
      <w:r w:rsidRPr="00554ED9">
        <w:rPr>
          <w:sz w:val="24"/>
          <w:lang w:val="hr-HR"/>
        </w:rPr>
        <w:t xml:space="preserve">SL L 309, 24.11.2009., str. 1., ELI: </w:t>
      </w:r>
      <w:r w:rsidR="005E2CD9">
        <w:fldChar w:fldCharType="begin"/>
      </w:r>
      <w:r w:rsidR="005E2CD9" w:rsidRPr="005E2CD9">
        <w:rPr>
          <w:lang w:val="fi-FI"/>
        </w:rPr>
        <w:instrText>HYPERLINK "http://data.europa.eu/eli/reg/2009/1107/oj" \o "Poveznica ELI URI za pristup dokumentu."</w:instrText>
      </w:r>
      <w:r w:rsidR="005E2CD9">
        <w:fldChar w:fldCharType="separate"/>
      </w:r>
      <w:r w:rsidRPr="00554ED9">
        <w:rPr>
          <w:rStyle w:val="Hyperlink"/>
          <w:sz w:val="24"/>
          <w:lang w:val="hr-HR"/>
        </w:rPr>
        <w:t>http://data.europa.eu/eli/reg/2009/1107/oj</w:t>
      </w:r>
      <w:r w:rsidR="005E2CD9">
        <w:rPr>
          <w:rStyle w:val="Hyperlink"/>
          <w:sz w:val="24"/>
          <w:lang w:val="hr-HR"/>
        </w:rPr>
        <w:fldChar w:fldCharType="end"/>
      </w:r>
      <w:r w:rsidRPr="00554ED9">
        <w:rPr>
          <w:sz w:val="24"/>
          <w:lang w:val="hr-HR"/>
        </w:rPr>
        <w:t>.</w:t>
      </w:r>
    </w:p>
  </w:footnote>
  <w:footnote w:id="2">
    <w:p w14:paraId="5517C909" w14:textId="3F4A626B" w:rsidR="001841DB" w:rsidRPr="00554ED9" w:rsidRDefault="001841DB" w:rsidP="00554ED9">
      <w:pPr>
        <w:pStyle w:val="FootnoteText"/>
        <w:ind w:left="567" w:hanging="567"/>
        <w:rPr>
          <w:sz w:val="24"/>
          <w:lang w:val="hr-HR"/>
        </w:rPr>
      </w:pPr>
      <w:r w:rsidRPr="00554ED9">
        <w:rPr>
          <w:rStyle w:val="FootnoteReference"/>
          <w:sz w:val="24"/>
          <w:lang w:val="hr-HR"/>
        </w:rPr>
        <w:footnoteRef/>
      </w:r>
      <w:r w:rsidR="00554ED9" w:rsidRPr="00554ED9">
        <w:rPr>
          <w:sz w:val="24"/>
          <w:lang w:val="hr-HR"/>
        </w:rPr>
        <w:t xml:space="preserve"> </w:t>
      </w:r>
      <w:r w:rsidR="00554ED9" w:rsidRPr="00554ED9">
        <w:rPr>
          <w:sz w:val="24"/>
          <w:lang w:val="hr-HR"/>
        </w:rPr>
        <w:tab/>
      </w:r>
      <w:r w:rsidRPr="00554ED9">
        <w:rPr>
          <w:sz w:val="24"/>
          <w:lang w:val="hr-HR"/>
        </w:rPr>
        <w:t>SL L 331, 27.12.2022., str. 6., ELI: </w:t>
      </w:r>
      <w:r w:rsidR="005E2CD9">
        <w:fldChar w:fldCharType="begin"/>
      </w:r>
      <w:r w:rsidR="005E2CD9" w:rsidRPr="005E2CD9">
        <w:rPr>
          <w:lang w:val="hr-HR"/>
        </w:rPr>
        <w:instrText>HYPERLINK "http://data.europa.eu/eli/dec/2022/2572/oj" \o "Poveznica ELI URI za pristup dokumentu."</w:instrText>
      </w:r>
      <w:r w:rsidR="005E2CD9">
        <w:fldChar w:fldCharType="separate"/>
      </w:r>
      <w:r w:rsidRPr="00554ED9">
        <w:rPr>
          <w:rStyle w:val="Hyperlink"/>
          <w:sz w:val="24"/>
          <w:lang w:val="hr-HR"/>
        </w:rPr>
        <w:t>http://data.europa.eu/eli/dec/2022/2572/oj</w:t>
      </w:r>
      <w:r w:rsidR="005E2CD9">
        <w:rPr>
          <w:rStyle w:val="Hyperlink"/>
          <w:sz w:val="24"/>
          <w:lang w:val="hr-HR"/>
        </w:rPr>
        <w:fldChar w:fldCharType="end"/>
      </w:r>
      <w:r w:rsidRPr="00554ED9">
        <w:rPr>
          <w:sz w:val="24"/>
          <w:lang w:val="hr-HR"/>
        </w:rPr>
        <w:t>.</w:t>
      </w:r>
    </w:p>
  </w:footnote>
  <w:footnote w:id="3">
    <w:p w14:paraId="0C884EBE" w14:textId="76D97076" w:rsidR="001841DB" w:rsidRPr="00554ED9" w:rsidRDefault="001841DB" w:rsidP="00554ED9">
      <w:pPr>
        <w:pStyle w:val="FootnoteText"/>
        <w:ind w:left="567" w:hanging="567"/>
        <w:rPr>
          <w:sz w:val="24"/>
          <w:lang w:val="hr-HR"/>
        </w:rPr>
      </w:pPr>
      <w:r w:rsidRPr="00554ED9">
        <w:rPr>
          <w:rStyle w:val="FootnoteReference"/>
          <w:sz w:val="24"/>
          <w:lang w:val="hr-HR"/>
        </w:rPr>
        <w:footnoteRef/>
      </w:r>
      <w:r w:rsidR="00554ED9" w:rsidRPr="00554ED9">
        <w:rPr>
          <w:sz w:val="24"/>
          <w:lang w:val="hr-HR"/>
        </w:rPr>
        <w:t xml:space="preserve"> </w:t>
      </w:r>
      <w:r w:rsidR="00554ED9" w:rsidRPr="00554ED9">
        <w:rPr>
          <w:sz w:val="24"/>
          <w:lang w:val="hr-HR"/>
        </w:rPr>
        <w:tab/>
      </w:r>
      <w:r w:rsidRPr="00554ED9">
        <w:rPr>
          <w:sz w:val="24"/>
          <w:lang w:val="hr-HR"/>
        </w:rPr>
        <w:t>SL L 309, 24.11.2009., str. 71., ELI: </w:t>
      </w:r>
      <w:r w:rsidR="005E2CD9">
        <w:fldChar w:fldCharType="begin"/>
      </w:r>
      <w:r w:rsidR="005E2CD9" w:rsidRPr="005E2CD9">
        <w:rPr>
          <w:lang w:val="hr-HR"/>
        </w:rPr>
        <w:instrText>HYPERLINK "http://data.europa.eu/eli/dir/2009/128/oj" \o "Poveznica ELI URI za pristup dokumentu."</w:instrText>
      </w:r>
      <w:r w:rsidR="005E2CD9">
        <w:fldChar w:fldCharType="separate"/>
      </w:r>
      <w:r w:rsidRPr="00554ED9">
        <w:rPr>
          <w:rStyle w:val="Hyperlink"/>
          <w:sz w:val="24"/>
          <w:lang w:val="hr-HR"/>
        </w:rPr>
        <w:t>http://data.europa.eu/eli/dir/2009/128/oj</w:t>
      </w:r>
      <w:r w:rsidR="005E2CD9">
        <w:rPr>
          <w:rStyle w:val="Hyperlink"/>
          <w:sz w:val="24"/>
          <w:lang w:val="hr-HR"/>
        </w:rPr>
        <w:fldChar w:fldCharType="end"/>
      </w:r>
      <w:r w:rsidRPr="00554ED9">
        <w:rPr>
          <w:sz w:val="24"/>
          <w:lang w:val="hr-HR"/>
        </w:rPr>
        <w:t>.</w:t>
      </w:r>
    </w:p>
  </w:footnote>
  <w:footnote w:id="4">
    <w:p w14:paraId="644174C9" w14:textId="68CF275B" w:rsidR="001841DB" w:rsidRPr="00554ED9" w:rsidRDefault="001841DB" w:rsidP="00554ED9">
      <w:pPr>
        <w:pStyle w:val="FootnoteText"/>
        <w:ind w:left="567" w:hanging="567"/>
        <w:rPr>
          <w:sz w:val="24"/>
          <w:lang w:val="hr-HR"/>
        </w:rPr>
      </w:pPr>
      <w:r w:rsidRPr="00554ED9">
        <w:rPr>
          <w:rStyle w:val="FootnoteReference"/>
          <w:sz w:val="24"/>
          <w:lang w:val="hr-HR"/>
        </w:rPr>
        <w:footnoteRef/>
      </w:r>
      <w:r w:rsidR="00554ED9" w:rsidRPr="00554ED9">
        <w:rPr>
          <w:sz w:val="24"/>
          <w:lang w:val="hr-HR"/>
        </w:rPr>
        <w:t xml:space="preserve"> </w:t>
      </w:r>
      <w:r w:rsidR="00554ED9" w:rsidRPr="00554ED9">
        <w:rPr>
          <w:sz w:val="24"/>
          <w:lang w:val="hr-HR"/>
        </w:rPr>
        <w:tab/>
      </w:r>
      <w:r w:rsidRPr="00554ED9">
        <w:rPr>
          <w:sz w:val="24"/>
          <w:lang w:val="hr-HR"/>
        </w:rPr>
        <w:t>SL C, C/2024/4227, 24.7.2024., ELI: </w:t>
      </w:r>
      <w:r w:rsidR="005E2CD9">
        <w:fldChar w:fldCharType="begin"/>
      </w:r>
      <w:r w:rsidR="005E2CD9" w:rsidRPr="005E2CD9">
        <w:rPr>
          <w:lang w:val="hr-HR"/>
        </w:rPr>
        <w:instrText>HYPERLINK "http://data.europa.eu/eli/C/2024/4227/oj" \t "_blank" \o "Poveznica ELI URI za pristup dokumentu."</w:instrText>
      </w:r>
      <w:r w:rsidR="005E2CD9">
        <w:fldChar w:fldCharType="separate"/>
      </w:r>
      <w:r w:rsidRPr="00554ED9">
        <w:rPr>
          <w:rStyle w:val="Hyperlink"/>
          <w:sz w:val="24"/>
          <w:lang w:val="hr-HR"/>
        </w:rPr>
        <w:t>http://data.europa.eu/eli/C/2024/4227/oj</w:t>
      </w:r>
      <w:r w:rsidR="005E2CD9">
        <w:rPr>
          <w:rStyle w:val="Hyperlink"/>
          <w:sz w:val="24"/>
          <w:lang w:val="hr-HR"/>
        </w:rPr>
        <w:fldChar w:fldCharType="end"/>
      </w:r>
      <w:r w:rsidRPr="00554ED9">
        <w:rPr>
          <w:sz w:val="24"/>
          <w:lang w:val="hr-HR"/>
        </w:rPr>
        <w:t>.</w:t>
      </w:r>
    </w:p>
  </w:footnote>
  <w:footnote w:id="5">
    <w:p w14:paraId="3E2A31D7" w14:textId="6607A24D" w:rsidR="001841DB" w:rsidRPr="00554ED9" w:rsidRDefault="001841DB" w:rsidP="00554ED9">
      <w:pPr>
        <w:pStyle w:val="FootnoteText"/>
        <w:ind w:left="567" w:hanging="567"/>
        <w:rPr>
          <w:sz w:val="24"/>
          <w:lang w:val="hr-HR"/>
        </w:rPr>
      </w:pPr>
      <w:r w:rsidRPr="00554ED9">
        <w:rPr>
          <w:rStyle w:val="FootnoteReference"/>
          <w:sz w:val="24"/>
          <w:lang w:val="hr-HR"/>
        </w:rPr>
        <w:footnoteRef/>
      </w:r>
      <w:r w:rsidR="00554ED9" w:rsidRPr="00554ED9">
        <w:rPr>
          <w:sz w:val="24"/>
          <w:lang w:val="hr-HR"/>
        </w:rPr>
        <w:t xml:space="preserve"> </w:t>
      </w:r>
      <w:r w:rsidR="00554ED9" w:rsidRPr="00554ED9">
        <w:rPr>
          <w:sz w:val="24"/>
          <w:lang w:val="hr-HR"/>
        </w:rPr>
        <w:tab/>
      </w:r>
      <w:r w:rsidRPr="00554ED9">
        <w:rPr>
          <w:sz w:val="24"/>
          <w:lang w:val="hr-HR"/>
        </w:rPr>
        <w:t>SL C 411, 27.11.2020</w:t>
      </w:r>
      <w:r w:rsidR="00306CCA">
        <w:rPr>
          <w:sz w:val="24"/>
          <w:lang w:val="hr-HR"/>
        </w:rPr>
        <w:t>.</w:t>
      </w:r>
      <w:r w:rsidRPr="00554ED9">
        <w:rPr>
          <w:sz w:val="24"/>
          <w:lang w:val="hr-HR"/>
        </w:rPr>
        <w:t>, str. 48.</w:t>
      </w:r>
    </w:p>
  </w:footnote>
  <w:footnote w:id="6">
    <w:p w14:paraId="73C6D161" w14:textId="1F16AC70" w:rsidR="001841DB" w:rsidRPr="00554ED9" w:rsidRDefault="001841DB" w:rsidP="00554ED9">
      <w:pPr>
        <w:pStyle w:val="FootnoteText"/>
        <w:ind w:left="567" w:hanging="567"/>
        <w:rPr>
          <w:sz w:val="24"/>
          <w:lang w:val="hr-HR"/>
        </w:rPr>
      </w:pPr>
      <w:r w:rsidRPr="00554ED9">
        <w:rPr>
          <w:rStyle w:val="FootnoteReference"/>
          <w:sz w:val="24"/>
          <w:lang w:val="hr-HR"/>
        </w:rPr>
        <w:footnoteRef/>
      </w:r>
      <w:r w:rsidR="00554ED9" w:rsidRPr="00554ED9">
        <w:rPr>
          <w:sz w:val="24"/>
          <w:lang w:val="hr-HR"/>
        </w:rPr>
        <w:t xml:space="preserve"> </w:t>
      </w:r>
      <w:r w:rsidR="00554ED9" w:rsidRPr="00554ED9">
        <w:rPr>
          <w:sz w:val="24"/>
          <w:lang w:val="hr-HR"/>
        </w:rPr>
        <w:tab/>
      </w:r>
      <w:r w:rsidR="005E2CD9">
        <w:fldChar w:fldCharType="begin"/>
      </w:r>
      <w:r w:rsidR="005E2CD9" w:rsidRPr="005E2CD9">
        <w:rPr>
          <w:lang w:val="hr-HR"/>
        </w:rPr>
        <w:instrText>HYPERLINK "https://food.ec.europa.eu/plants/pesticides/eu-pesticides-database_en?prefLang=hr"</w:instrText>
      </w:r>
      <w:r w:rsidR="005E2CD9">
        <w:fldChar w:fldCharType="separate"/>
      </w:r>
      <w:r w:rsidRPr="00306CCA">
        <w:rPr>
          <w:rStyle w:val="Hyperlink"/>
          <w:sz w:val="24"/>
          <w:lang w:val="hr-HR"/>
        </w:rPr>
        <w:t>https://food.ec.europa.eu/plants/pesticides/eu-pesticides-database_en?prefLang=hr</w:t>
      </w:r>
      <w:r w:rsidR="005E2CD9">
        <w:rPr>
          <w:rStyle w:val="Hyperlink"/>
          <w:sz w:val="24"/>
          <w:lang w:val="hr-HR"/>
        </w:rPr>
        <w:fldChar w:fldCharType="end"/>
      </w:r>
    </w:p>
  </w:footnote>
  <w:footnote w:id="7">
    <w:p w14:paraId="2D5B72FF" w14:textId="62EC1362" w:rsidR="001841DB" w:rsidRPr="00554ED9" w:rsidRDefault="001841DB" w:rsidP="00554ED9">
      <w:pPr>
        <w:pStyle w:val="FootnoteText"/>
        <w:ind w:left="567" w:hanging="567"/>
        <w:rPr>
          <w:sz w:val="24"/>
          <w:lang w:val="hr-HR"/>
        </w:rPr>
      </w:pPr>
      <w:r w:rsidRPr="00554ED9">
        <w:rPr>
          <w:rStyle w:val="FootnoteReference"/>
          <w:sz w:val="24"/>
          <w:lang w:val="hr-HR"/>
        </w:rPr>
        <w:footnoteRef/>
      </w:r>
      <w:r w:rsidR="00554ED9" w:rsidRPr="00554ED9">
        <w:rPr>
          <w:sz w:val="24"/>
          <w:lang w:val="hr-HR"/>
        </w:rPr>
        <w:t xml:space="preserve"> </w:t>
      </w:r>
      <w:r w:rsidR="00554ED9" w:rsidRPr="00554ED9">
        <w:rPr>
          <w:sz w:val="24"/>
          <w:lang w:val="hr-HR"/>
        </w:rPr>
        <w:tab/>
      </w:r>
      <w:r w:rsidRPr="00554ED9">
        <w:rPr>
          <w:sz w:val="24"/>
          <w:lang w:val="hr-HR"/>
        </w:rPr>
        <w:t xml:space="preserve">Na primjer invazivni karakter, </w:t>
      </w:r>
      <w:proofErr w:type="spellStart"/>
      <w:r w:rsidRPr="00554ED9">
        <w:rPr>
          <w:sz w:val="24"/>
          <w:lang w:val="hr-HR"/>
        </w:rPr>
        <w:t>alergenost</w:t>
      </w:r>
      <w:proofErr w:type="spellEnd"/>
      <w:r w:rsidRPr="00554ED9">
        <w:rPr>
          <w:sz w:val="24"/>
          <w:lang w:val="hr-HR"/>
        </w:rPr>
        <w:t xml:space="preserve"> itd.</w:t>
      </w:r>
    </w:p>
  </w:footnote>
  <w:footnote w:id="8">
    <w:p w14:paraId="285764C0" w14:textId="2FECED29" w:rsidR="001841DB" w:rsidRPr="00554ED9" w:rsidRDefault="001841DB" w:rsidP="00554ED9">
      <w:pPr>
        <w:pStyle w:val="FootnoteText"/>
        <w:ind w:left="567" w:hanging="567"/>
        <w:rPr>
          <w:sz w:val="24"/>
          <w:lang w:val="hr-HR"/>
        </w:rPr>
      </w:pPr>
      <w:r w:rsidRPr="00554ED9">
        <w:rPr>
          <w:rStyle w:val="FootnoteReference"/>
          <w:color w:val="000000" w:themeColor="text1"/>
          <w:sz w:val="24"/>
          <w:lang w:val="hr-HR"/>
        </w:rPr>
        <w:footnoteRef/>
      </w:r>
      <w:r w:rsidR="00554ED9" w:rsidRPr="00554ED9">
        <w:rPr>
          <w:sz w:val="24"/>
          <w:lang w:val="hr-HR"/>
        </w:rPr>
        <w:t xml:space="preserve"> </w:t>
      </w:r>
      <w:r w:rsidR="00554ED9" w:rsidRPr="00554ED9">
        <w:rPr>
          <w:sz w:val="24"/>
          <w:lang w:val="hr-HR"/>
        </w:rPr>
        <w:tab/>
      </w:r>
      <w:r w:rsidRPr="00554ED9">
        <w:rPr>
          <w:sz w:val="24"/>
          <w:lang w:val="hr-HR"/>
        </w:rPr>
        <w:t>Komunikacija Komisije od 19. veljače 2025. naslovljena „Vizija za poljoprivredu i hranu: zajedničko oblikovanje privlačnog poljoprivrednog i prehrambenog sektora EU-a za buduće generacije” (COM(2025)0075).</w:t>
      </w:r>
    </w:p>
  </w:footnote>
  <w:footnote w:id="9">
    <w:p w14:paraId="3BC0D17F" w14:textId="5BC9070D" w:rsidR="001841DB" w:rsidRPr="00554ED9" w:rsidRDefault="001841DB" w:rsidP="00554ED9">
      <w:pPr>
        <w:pStyle w:val="FootnoteText"/>
        <w:ind w:left="567" w:hanging="567"/>
        <w:rPr>
          <w:sz w:val="24"/>
          <w:lang w:val="hr-HR"/>
        </w:rPr>
      </w:pPr>
      <w:r w:rsidRPr="00554ED9">
        <w:rPr>
          <w:rStyle w:val="FootnoteReference"/>
          <w:color w:val="000000" w:themeColor="text1"/>
          <w:sz w:val="24"/>
          <w:lang w:val="hr-HR"/>
        </w:rPr>
        <w:footnoteRef/>
      </w:r>
      <w:r w:rsidR="00554ED9" w:rsidRPr="00554ED9">
        <w:rPr>
          <w:sz w:val="24"/>
          <w:lang w:val="hr-HR"/>
        </w:rPr>
        <w:t xml:space="preserve"> </w:t>
      </w:r>
      <w:r w:rsidR="00554ED9" w:rsidRPr="00554ED9">
        <w:rPr>
          <w:sz w:val="24"/>
          <w:lang w:val="hr-HR"/>
        </w:rPr>
        <w:tab/>
      </w:r>
      <w:r w:rsidRPr="00554ED9">
        <w:rPr>
          <w:sz w:val="24"/>
          <w:lang w:val="hr-HR"/>
        </w:rPr>
        <w:t>Uredba (EU) 2018/848 Europskog parlamenta i Vijeća od 30. svibnja 2018. o ekološkoj proizvodnji i označivanju ekoloških proizvoda te stavljanju izvan snage Uredbe Vijeća (EZ) br. 834/2007 (SL L 150, 14.6.2018., str. 1., ELI:</w:t>
      </w:r>
      <w:r w:rsidRPr="00554ED9">
        <w:rPr>
          <w:color w:val="000000" w:themeColor="text1"/>
          <w:sz w:val="24"/>
          <w:lang w:val="hr-HR"/>
        </w:rPr>
        <w:t> </w:t>
      </w:r>
      <w:r w:rsidR="005E2CD9">
        <w:fldChar w:fldCharType="begin"/>
      </w:r>
      <w:r w:rsidR="005E2CD9" w:rsidRPr="005E2CD9">
        <w:rPr>
          <w:lang w:val="hr-HR"/>
        </w:rPr>
        <w:instrText>HYPERLINK "http://data.europa.eu/eli/reg/2018/848/oj"</w:instrText>
      </w:r>
      <w:r w:rsidR="005E2CD9">
        <w:fldChar w:fldCharType="separate"/>
      </w:r>
      <w:r w:rsidRPr="00306CCA">
        <w:rPr>
          <w:rStyle w:val="Hyperlink"/>
          <w:sz w:val="24"/>
          <w:lang w:val="hr-HR"/>
        </w:rPr>
        <w:t>http://data.europa.eu/eli/reg/2018/848/oj</w:t>
      </w:r>
      <w:r w:rsidR="005E2CD9">
        <w:rPr>
          <w:rStyle w:val="Hyperlink"/>
          <w:sz w:val="24"/>
          <w:lang w:val="hr-HR"/>
        </w:rPr>
        <w:fldChar w:fldCharType="end"/>
      </w:r>
      <w:r w:rsidRPr="00554ED9">
        <w:rPr>
          <w:color w:val="000000" w:themeColor="text1"/>
          <w:sz w:val="24"/>
          <w:lang w:val="hr-HR"/>
        </w:rPr>
        <w:t>).</w:t>
      </w:r>
    </w:p>
  </w:footnote>
  <w:footnote w:id="10">
    <w:p w14:paraId="6F31D45E" w14:textId="67EEE8E3" w:rsidR="001841DB" w:rsidRPr="00554ED9" w:rsidRDefault="001841DB" w:rsidP="00554ED9">
      <w:pPr>
        <w:pStyle w:val="FootnoteText"/>
        <w:ind w:left="567" w:hanging="567"/>
        <w:rPr>
          <w:sz w:val="24"/>
          <w:lang w:val="hr-HR"/>
        </w:rPr>
      </w:pPr>
      <w:r w:rsidRPr="00554ED9">
        <w:rPr>
          <w:rStyle w:val="FootnoteReference"/>
          <w:sz w:val="24"/>
          <w:lang w:val="hr-HR"/>
        </w:rPr>
        <w:footnoteRef/>
      </w:r>
      <w:r w:rsidR="00554ED9" w:rsidRPr="00554ED9">
        <w:rPr>
          <w:sz w:val="24"/>
          <w:lang w:val="hr-HR"/>
        </w:rPr>
        <w:t xml:space="preserve"> </w:t>
      </w:r>
      <w:r w:rsidR="00554ED9" w:rsidRPr="00554ED9">
        <w:rPr>
          <w:sz w:val="24"/>
          <w:lang w:val="hr-HR"/>
        </w:rPr>
        <w:tab/>
      </w:r>
      <w:r w:rsidRPr="00554ED9">
        <w:rPr>
          <w:sz w:val="24"/>
          <w:lang w:val="hr-HR"/>
        </w:rPr>
        <w:t>Na primjer, u skladu s člankom 4. stavcima od 1. do 4. i Prilogom II. točkama od 3.6. do 10. Uredbe (EZ) br. 1107/2009.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EF448" w14:textId="77777777" w:rsidR="00064002" w:rsidRPr="00554E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6BCA0" w14:textId="77777777" w:rsidR="00064002" w:rsidRPr="00554E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68F2" w14:textId="77777777" w:rsidR="00064002" w:rsidRPr="00554E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2049553">
    <w:abstractNumId w:val="9"/>
  </w:num>
  <w:num w:numId="2" w16cid:durableId="1268852090">
    <w:abstractNumId w:val="9"/>
  </w:num>
  <w:num w:numId="3" w16cid:durableId="423384384">
    <w:abstractNumId w:val="7"/>
  </w:num>
  <w:num w:numId="4" w16cid:durableId="1261791919">
    <w:abstractNumId w:val="7"/>
  </w:num>
  <w:num w:numId="5" w16cid:durableId="186919056">
    <w:abstractNumId w:val="6"/>
  </w:num>
  <w:num w:numId="6" w16cid:durableId="2092315462">
    <w:abstractNumId w:val="6"/>
  </w:num>
  <w:num w:numId="7" w16cid:durableId="1076510225">
    <w:abstractNumId w:val="5"/>
  </w:num>
  <w:num w:numId="8" w16cid:durableId="1374692149">
    <w:abstractNumId w:val="5"/>
  </w:num>
  <w:num w:numId="9" w16cid:durableId="1073819883">
    <w:abstractNumId w:val="4"/>
  </w:num>
  <w:num w:numId="10" w16cid:durableId="980160905">
    <w:abstractNumId w:val="4"/>
  </w:num>
  <w:num w:numId="11" w16cid:durableId="450784471">
    <w:abstractNumId w:val="8"/>
  </w:num>
  <w:num w:numId="12" w16cid:durableId="575213233">
    <w:abstractNumId w:val="8"/>
  </w:num>
  <w:num w:numId="13" w16cid:durableId="522062109">
    <w:abstractNumId w:val="3"/>
  </w:num>
  <w:num w:numId="14" w16cid:durableId="811410937">
    <w:abstractNumId w:val="3"/>
  </w:num>
  <w:num w:numId="15" w16cid:durableId="598102976">
    <w:abstractNumId w:val="2"/>
  </w:num>
  <w:num w:numId="16" w16cid:durableId="2044819329">
    <w:abstractNumId w:val="2"/>
  </w:num>
  <w:num w:numId="17" w16cid:durableId="1896308923">
    <w:abstractNumId w:val="1"/>
  </w:num>
  <w:num w:numId="18" w16cid:durableId="1195314141">
    <w:abstractNumId w:val="1"/>
  </w:num>
  <w:num w:numId="19" w16cid:durableId="954096119">
    <w:abstractNumId w:val="0"/>
  </w:num>
  <w:num w:numId="20" w16cid:durableId="1392776104">
    <w:abstractNumId w:val="0"/>
  </w:num>
  <w:num w:numId="21" w16cid:durableId="1658341787">
    <w:abstractNumId w:val="9"/>
  </w:num>
  <w:num w:numId="22" w16cid:durableId="485515026">
    <w:abstractNumId w:val="7"/>
  </w:num>
  <w:num w:numId="23" w16cid:durableId="1551648682">
    <w:abstractNumId w:val="6"/>
  </w:num>
  <w:num w:numId="24" w16cid:durableId="1979802200">
    <w:abstractNumId w:val="5"/>
  </w:num>
  <w:num w:numId="25" w16cid:durableId="1179852610">
    <w:abstractNumId w:val="4"/>
  </w:num>
  <w:num w:numId="26" w16cid:durableId="322321629">
    <w:abstractNumId w:val="8"/>
  </w:num>
  <w:num w:numId="27" w16cid:durableId="1438019695">
    <w:abstractNumId w:val="3"/>
  </w:num>
  <w:num w:numId="28" w16cid:durableId="472798723">
    <w:abstractNumId w:val="2"/>
  </w:num>
  <w:num w:numId="29" w16cid:durableId="127090443">
    <w:abstractNumId w:val="1"/>
  </w:num>
  <w:num w:numId="30" w16cid:durableId="897129296">
    <w:abstractNumId w:val="0"/>
  </w:num>
  <w:num w:numId="31" w16cid:durableId="1131048985">
    <w:abstractNumId w:val="9"/>
  </w:num>
  <w:num w:numId="32" w16cid:durableId="1427917378">
    <w:abstractNumId w:val="7"/>
  </w:num>
  <w:num w:numId="33" w16cid:durableId="1787382052">
    <w:abstractNumId w:val="6"/>
  </w:num>
  <w:num w:numId="34" w16cid:durableId="1870989535">
    <w:abstractNumId w:val="5"/>
  </w:num>
  <w:num w:numId="35" w16cid:durableId="1869561483">
    <w:abstractNumId w:val="4"/>
  </w:num>
  <w:num w:numId="36" w16cid:durableId="1189414223">
    <w:abstractNumId w:val="8"/>
  </w:num>
  <w:num w:numId="37" w16cid:durableId="1908344207">
    <w:abstractNumId w:val="3"/>
  </w:num>
  <w:num w:numId="38" w16cid:durableId="326708958">
    <w:abstractNumId w:val="2"/>
  </w:num>
  <w:num w:numId="39" w16cid:durableId="678041962">
    <w:abstractNumId w:val="1"/>
  </w:num>
  <w:num w:numId="40" w16cid:durableId="1372193372">
    <w:abstractNumId w:val="0"/>
  </w:num>
  <w:num w:numId="41" w16cid:durableId="1328249465">
    <w:abstractNumId w:val="10"/>
  </w:num>
  <w:num w:numId="42" w16cid:durableId="525754415">
    <w:abstractNumId w:val="10"/>
  </w:num>
  <w:num w:numId="43" w16cid:durableId="332876126">
    <w:abstractNumId w:val="10"/>
  </w:num>
  <w:num w:numId="44" w16cid:durableId="15966649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4/2025"/>
    <w:docVar w:name="dvlangue" w:val="HR"/>
    <w:docVar w:name="dvnumam" w:val="0"/>
    <w:docVar w:name="dvpe" w:val="774.306"/>
    <w:docVar w:name="dvrapporteur" w:val="Izvjestitelji: "/>
    <w:docVar w:name="dvtitre" w:val="Rezolucija Europskog parlamenta od .... 2025. o osiguravanju brže registracije i primjene sredstava za biološku kontrolu(2025/2086(INI))"/>
  </w:docVars>
  <w:rsids>
    <w:rsidRoot w:val="006923D2"/>
    <w:rsid w:val="00002272"/>
    <w:rsid w:val="00064002"/>
    <w:rsid w:val="000677B9"/>
    <w:rsid w:val="000831BA"/>
    <w:rsid w:val="000A42CC"/>
    <w:rsid w:val="000E7DD9"/>
    <w:rsid w:val="0010095E"/>
    <w:rsid w:val="00125B37"/>
    <w:rsid w:val="001841DB"/>
    <w:rsid w:val="00187494"/>
    <w:rsid w:val="001C0E0D"/>
    <w:rsid w:val="001F32AE"/>
    <w:rsid w:val="002767FF"/>
    <w:rsid w:val="002B18FE"/>
    <w:rsid w:val="002B5493"/>
    <w:rsid w:val="00306CC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ED9"/>
    <w:rsid w:val="005552AA"/>
    <w:rsid w:val="00560270"/>
    <w:rsid w:val="005C2568"/>
    <w:rsid w:val="005E2CD9"/>
    <w:rsid w:val="005F1B17"/>
    <w:rsid w:val="006037C0"/>
    <w:rsid w:val="006631B6"/>
    <w:rsid w:val="00680577"/>
    <w:rsid w:val="006923D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A0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52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99F655"/>
  <w15:chartTrackingRefBased/>
  <w15:docId w15:val="{F2655102-7384-448E-A48B-DCEA5137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841D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link w:val="NormalHanging12aChar"/>
    <w:rsid w:val="001841D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841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841DB"/>
    <w:rPr>
      <w:sz w:val="24"/>
      <w:lang w:val="hr-HR"/>
    </w:rPr>
  </w:style>
  <w:style w:type="paragraph" w:customStyle="1" w:styleId="EPFooter">
    <w:name w:val="EPFooter"/>
    <w:basedOn w:val="Normal"/>
    <w:rsid w:val="001841D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841DB"/>
    <w:pPr>
      <w:spacing w:before="480" w:after="240"/>
    </w:pPr>
  </w:style>
  <w:style w:type="character" w:styleId="Hyperlink">
    <w:name w:val="Hyperlink"/>
    <w:basedOn w:val="DefaultParagraphFont"/>
    <w:unhideWhenUsed/>
    <w:rsid w:val="001841D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841DB"/>
    <w:pPr>
      <w:widowControl/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1841DB"/>
    <w:rPr>
      <w:b/>
      <w:bCs/>
    </w:rPr>
  </w:style>
  <w:style w:type="character" w:customStyle="1" w:styleId="NormalHanging12aChar">
    <w:name w:val="NormalHanging12a Char"/>
    <w:basedOn w:val="DefaultParagraphFont"/>
    <w:link w:val="NormalHanging12a"/>
    <w:rsid w:val="001841DB"/>
    <w:rPr>
      <w:sz w:val="24"/>
      <w:lang w:val="hr-HR"/>
    </w:rPr>
  </w:style>
  <w:style w:type="paragraph" w:styleId="Footer">
    <w:name w:val="footer"/>
    <w:basedOn w:val="Normal"/>
    <w:link w:val="FooterChar"/>
    <w:rsid w:val="00306C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06CCA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306C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06CC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5252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4751</Words>
  <Characters>30076</Characters>
  <Application>Microsoft Office Word</Application>
  <DocSecurity>0</DocSecurity>
  <Lines>250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2025-11-25T14:22:00Z</dcterms:created>
  <dcterms:modified xsi:type="dcterms:W3CDTF">2025-11-25T14:22:00Z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A10-0234/2025</vt:lpwstr>
  </property>
  <property fmtid="{D5CDD505-2E9C-101B-9397-08002B2CF9AE}" pid="4" name="&lt;Type&gt;">
    <vt:lpwstr>RR</vt:lpwstr>
  </property>
</Properties>
</file>