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49D7" w14:paraId="02C6397C" w14:textId="77777777" w:rsidTr="0010095E">
        <w:trPr>
          <w:trHeight w:hRule="exact" w:val="1418"/>
        </w:trPr>
        <w:tc>
          <w:tcPr>
            <w:tcW w:w="6804" w:type="dxa"/>
            <w:shd w:val="clear" w:color="auto" w:fill="auto"/>
            <w:vAlign w:val="center"/>
          </w:tcPr>
          <w:p w14:paraId="04050B27" w14:textId="07B5B755" w:rsidR="00751A4A" w:rsidRPr="008C49D7" w:rsidRDefault="008316AE" w:rsidP="0010095E">
            <w:pPr>
              <w:pStyle w:val="EPName"/>
            </w:pPr>
            <w:r w:rsidRPr="008C49D7">
              <w:t>Европейски</w:t>
            </w:r>
            <w:r w:rsidR="00F44FCA" w:rsidRPr="008C49D7">
              <w:t xml:space="preserve"> парламент</w:t>
            </w:r>
          </w:p>
          <w:p w14:paraId="50897A29" w14:textId="4C8E4A76" w:rsidR="00751A4A" w:rsidRPr="008C49D7" w:rsidRDefault="005F1B17" w:rsidP="005F1B17">
            <w:pPr>
              <w:pStyle w:val="EPTerm"/>
              <w:rPr>
                <w:rStyle w:val="HideTWBExt"/>
                <w:noProof w:val="0"/>
                <w:vanish w:val="0"/>
                <w:color w:val="auto"/>
              </w:rPr>
            </w:pPr>
            <w:r w:rsidRPr="008C49D7">
              <w:t>2024</w:t>
            </w:r>
            <w:r w:rsidR="008316AE">
              <w:rPr>
                <w:lang w:val="en-GB"/>
              </w:rPr>
              <w:t> – </w:t>
            </w:r>
            <w:r w:rsidR="00817416" w:rsidRPr="008C49D7">
              <w:t>202</w:t>
            </w:r>
            <w:r w:rsidRPr="008C49D7">
              <w:t>9</w:t>
            </w:r>
          </w:p>
        </w:tc>
        <w:tc>
          <w:tcPr>
            <w:tcW w:w="2268" w:type="dxa"/>
            <w:shd w:val="clear" w:color="auto" w:fill="auto"/>
          </w:tcPr>
          <w:p w14:paraId="45204A11" w14:textId="77777777" w:rsidR="00751A4A" w:rsidRPr="008C49D7" w:rsidRDefault="00187494" w:rsidP="0010095E">
            <w:pPr>
              <w:pStyle w:val="EPLogo"/>
            </w:pPr>
            <w:r w:rsidRPr="008C49D7">
              <w:rPr>
                <w:noProof/>
                <w:lang w:eastAsia="ja-JP"/>
              </w:rPr>
              <w:drawing>
                <wp:inline distT="0" distB="0" distL="0" distR="0" wp14:anchorId="568CE346" wp14:editId="75F7E8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97EC38" w14:textId="77777777" w:rsidR="00D058B8" w:rsidRPr="008C49D7" w:rsidRDefault="00D058B8" w:rsidP="004C5D52">
      <w:pPr>
        <w:pStyle w:val="LineTop"/>
      </w:pPr>
    </w:p>
    <w:p w14:paraId="244DCD3B" w14:textId="77777777" w:rsidR="00680577" w:rsidRPr="008C49D7" w:rsidRDefault="00F44FCA" w:rsidP="00680577">
      <w:pPr>
        <w:pStyle w:val="EPBodyTA1"/>
      </w:pPr>
      <w:r w:rsidRPr="008C49D7">
        <w:t>ПРИЕТИ ТЕКСТОВЕ</w:t>
      </w:r>
    </w:p>
    <w:p w14:paraId="57C71356" w14:textId="77777777" w:rsidR="00D058B8" w:rsidRPr="008C49D7" w:rsidRDefault="00D058B8" w:rsidP="00D058B8">
      <w:pPr>
        <w:pStyle w:val="LineBottom"/>
      </w:pPr>
    </w:p>
    <w:p w14:paraId="0B3D9CB4" w14:textId="6C19250A" w:rsidR="00F44FCA" w:rsidRPr="008C49D7" w:rsidRDefault="00F44FCA" w:rsidP="00F44FCA">
      <w:pPr>
        <w:pStyle w:val="ATHeading1"/>
      </w:pPr>
      <w:bookmarkStart w:id="0" w:name="TANumber"/>
      <w:r w:rsidRPr="008C49D7">
        <w:t>P10_TA(2025)0</w:t>
      </w:r>
      <w:r w:rsidR="00B67BE5">
        <w:t>285</w:t>
      </w:r>
      <w:bookmarkEnd w:id="0"/>
    </w:p>
    <w:p w14:paraId="11F29412" w14:textId="4F6554D9" w:rsidR="00F44FCA" w:rsidRPr="008C49D7" w:rsidRDefault="00F44FCA" w:rsidP="00F44FCA">
      <w:pPr>
        <w:pStyle w:val="ATHeading2"/>
      </w:pPr>
      <w:bookmarkStart w:id="1" w:name="title"/>
      <w:r w:rsidRPr="008C49D7">
        <w:t>Институционални аспекти на Доклада за бъдещето на европейската конкурентоспособност (доклад на</w:t>
      </w:r>
      <w:r w:rsidR="008316AE" w:rsidRPr="00BE0BC0">
        <w:rPr>
          <w:lang w:val="ru-RU"/>
        </w:rPr>
        <w:t xml:space="preserve"> </w:t>
      </w:r>
      <w:r w:rsidRPr="008C49D7">
        <w:t>Марио Драги)</w:t>
      </w:r>
      <w:bookmarkEnd w:id="1"/>
    </w:p>
    <w:p w14:paraId="222730FC" w14:textId="77777777" w:rsidR="00F44FCA" w:rsidRPr="008C49D7" w:rsidRDefault="00F44FCA" w:rsidP="00F44FCA">
      <w:pPr>
        <w:rPr>
          <w:i/>
          <w:vanish/>
        </w:rPr>
      </w:pPr>
      <w:r w:rsidRPr="008C49D7">
        <w:rPr>
          <w:i/>
        </w:rPr>
        <w:fldChar w:fldCharType="begin"/>
      </w:r>
      <w:r w:rsidRPr="008C49D7">
        <w:rPr>
          <w:i/>
        </w:rPr>
        <w:instrText xml:space="preserve"> TC"(</w:instrText>
      </w:r>
      <w:bookmarkStart w:id="2" w:name="DocNumber"/>
      <w:r w:rsidRPr="008C49D7">
        <w:rPr>
          <w:i/>
        </w:rPr>
        <w:instrText>A10-0196/2025</w:instrText>
      </w:r>
      <w:bookmarkEnd w:id="2"/>
      <w:r w:rsidRPr="008C49D7">
        <w:rPr>
          <w:i/>
        </w:rPr>
        <w:instrText xml:space="preserve"> - Докладчик: Брандо Бенифей)"\l3 \n&gt; \* MERGEFORMAT </w:instrText>
      </w:r>
      <w:r w:rsidRPr="008C49D7">
        <w:rPr>
          <w:i/>
        </w:rPr>
        <w:fldChar w:fldCharType="end"/>
      </w:r>
    </w:p>
    <w:p w14:paraId="548F0119" w14:textId="77777777" w:rsidR="00F44FCA" w:rsidRPr="008C49D7" w:rsidRDefault="00F44FCA" w:rsidP="00F44FCA">
      <w:pPr>
        <w:rPr>
          <w:vanish/>
        </w:rPr>
      </w:pPr>
      <w:bookmarkStart w:id="3" w:name="Commission"/>
      <w:r w:rsidRPr="008C49D7">
        <w:rPr>
          <w:vanish/>
        </w:rPr>
        <w:t>Комисия по конституционни въпроси</w:t>
      </w:r>
      <w:bookmarkEnd w:id="3"/>
    </w:p>
    <w:p w14:paraId="0D29F5D9" w14:textId="77777777" w:rsidR="00F44FCA" w:rsidRPr="008C49D7" w:rsidRDefault="00F44FCA" w:rsidP="00F44FCA">
      <w:pPr>
        <w:rPr>
          <w:vanish/>
        </w:rPr>
      </w:pPr>
      <w:bookmarkStart w:id="4" w:name="PE"/>
      <w:r w:rsidRPr="008C49D7">
        <w:rPr>
          <w:vanish/>
        </w:rPr>
        <w:t>PE770.278</w:t>
      </w:r>
      <w:bookmarkEnd w:id="4"/>
    </w:p>
    <w:p w14:paraId="1DC9508A" w14:textId="15F0FB13" w:rsidR="00F44FCA" w:rsidRPr="008C49D7" w:rsidRDefault="00F44FCA" w:rsidP="00F44FCA">
      <w:pPr>
        <w:pStyle w:val="ATHeading3"/>
      </w:pPr>
      <w:bookmarkStart w:id="5" w:name="Sujet"/>
      <w:r w:rsidRPr="008C49D7">
        <w:t xml:space="preserve">Резолюция на Европейския парламент от </w:t>
      </w:r>
      <w:r w:rsidR="008316AE" w:rsidRPr="00BE0BC0">
        <w:rPr>
          <w:lang w:val="ru-RU"/>
        </w:rPr>
        <w:t xml:space="preserve">25 </w:t>
      </w:r>
      <w:r w:rsidR="008316AE">
        <w:t>ноември</w:t>
      </w:r>
      <w:r w:rsidRPr="008C49D7">
        <w:t xml:space="preserve"> 2025 г. относно институционалните аспекти на Доклада за бъдещето на европейската конкурентоспособност (доклад на Марио Драги)</w:t>
      </w:r>
      <w:bookmarkEnd w:id="5"/>
      <w:r w:rsidRPr="008C49D7">
        <w:t xml:space="preserve"> </w:t>
      </w:r>
      <w:bookmarkStart w:id="6" w:name="References"/>
      <w:r w:rsidRPr="008C49D7">
        <w:t>(2025/2013(INI))</w:t>
      </w:r>
      <w:bookmarkEnd w:id="6"/>
    </w:p>
    <w:p w14:paraId="052C499B" w14:textId="77777777" w:rsidR="00213FDD" w:rsidRPr="008C49D7" w:rsidRDefault="00213FDD" w:rsidP="00213FDD">
      <w:pPr>
        <w:pStyle w:val="EPComma"/>
      </w:pPr>
      <w:r w:rsidRPr="008C49D7">
        <w:rPr>
          <w:rStyle w:val="Italic"/>
        </w:rPr>
        <w:t>Европейският парламент</w:t>
      </w:r>
      <w:r w:rsidRPr="008C49D7">
        <w:t>,</w:t>
      </w:r>
    </w:p>
    <w:p w14:paraId="0F1061EE" w14:textId="77777777" w:rsidR="00213FDD" w:rsidRPr="008C49D7" w:rsidRDefault="00213FDD" w:rsidP="00213FDD">
      <w:pPr>
        <w:pStyle w:val="NormalHanging12a"/>
      </w:pPr>
      <w:r w:rsidRPr="008C49D7">
        <w:t>–</w:t>
      </w:r>
      <w:r w:rsidRPr="008C49D7">
        <w:tab/>
        <w:t>като взе предвид доклада на Марио Драги от 9 септември 2024 г., озаглавен „Бъдещето на европейската конкурентоспособност“ („доклада Драги“) ,</w:t>
      </w:r>
    </w:p>
    <w:p w14:paraId="028997CB" w14:textId="77777777" w:rsidR="00213FDD" w:rsidRPr="008C49D7" w:rsidRDefault="00213FDD" w:rsidP="00213FDD">
      <w:pPr>
        <w:pStyle w:val="NormalHanging12a"/>
      </w:pPr>
      <w:r w:rsidRPr="008C49D7">
        <w:t>–</w:t>
      </w:r>
      <w:r w:rsidRPr="008C49D7">
        <w:tab/>
        <w:t>като взе предвид речта на Марио Драги относно представянето на доклада Драги пред Европейския парламент на 17 септември 2024 г.,</w:t>
      </w:r>
    </w:p>
    <w:p w14:paraId="7391004A" w14:textId="77777777" w:rsidR="00213FDD" w:rsidRPr="008C49D7" w:rsidRDefault="00213FDD" w:rsidP="00213FDD">
      <w:pPr>
        <w:pStyle w:val="NormalHanging12a"/>
      </w:pPr>
      <w:r w:rsidRPr="008C49D7">
        <w:t>–</w:t>
      </w:r>
      <w:r w:rsidRPr="008C49D7">
        <w:tab/>
        <w:t>като взе предвид доклада на Енрико Лета от 17 април 2024 г., озаглавен „Нещо много повече от пазар“ („доклада Лета“),</w:t>
      </w:r>
    </w:p>
    <w:p w14:paraId="1CC503E9" w14:textId="77777777" w:rsidR="00213FDD" w:rsidRPr="008C49D7" w:rsidRDefault="00213FDD" w:rsidP="00213FDD">
      <w:pPr>
        <w:pStyle w:val="NormalHanging12a"/>
      </w:pPr>
      <w:r w:rsidRPr="008C49D7">
        <w:t>–</w:t>
      </w:r>
      <w:r w:rsidRPr="008C49D7">
        <w:tab/>
        <w:t>като взе предвид съобщението на Комисията от 29 януари 2025 г., озаглавено „Компас за конкурентоспособността на ЕС“ (COM(2025)0030),</w:t>
      </w:r>
    </w:p>
    <w:p w14:paraId="4D33B0C6" w14:textId="77777777" w:rsidR="00213FDD" w:rsidRPr="008C49D7" w:rsidRDefault="00213FDD" w:rsidP="00213FDD">
      <w:pPr>
        <w:pStyle w:val="NormalHanging12a"/>
      </w:pPr>
      <w:r w:rsidRPr="008C49D7">
        <w:t>–</w:t>
      </w:r>
      <w:r w:rsidRPr="008C49D7">
        <w:tab/>
        <w:t>като взе предвид съобщението на Комисията от 11 февруари 2025 г., озаглавено „Пътят към следващата многогодишна финансова рамка“ (COM(2025)0046),</w:t>
      </w:r>
    </w:p>
    <w:p w14:paraId="53117F6F" w14:textId="0799D67E" w:rsidR="00213FDD" w:rsidRPr="008C49D7" w:rsidRDefault="00213FDD" w:rsidP="00213FDD">
      <w:pPr>
        <w:pStyle w:val="NormalHanging12a"/>
      </w:pPr>
      <w:r w:rsidRPr="008C49D7">
        <w:t>–</w:t>
      </w:r>
      <w:r w:rsidRPr="008C49D7">
        <w:tab/>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(COM(2025)0124),</w:t>
      </w:r>
    </w:p>
    <w:p w14:paraId="6152A78E" w14:textId="77777777" w:rsidR="00213FDD" w:rsidRPr="008C49D7" w:rsidRDefault="00213FDD" w:rsidP="00213FDD">
      <w:pPr>
        <w:pStyle w:val="NormalHanging12a"/>
      </w:pPr>
      <w:r w:rsidRPr="008C49D7">
        <w:t>–</w:t>
      </w:r>
      <w:r w:rsidRPr="008C49D7">
        <w:tab/>
        <w:t>като взе предвид доклада на Саули Ниенистьо от 30 октомври 2024 г., озаглавен „Заедно в по-голяма безопасност – укрепване на гражданската и военната готовност и подготвеност на Европа“ („доклада Ниенистьо“),</w:t>
      </w:r>
    </w:p>
    <w:p w14:paraId="3AF2D172" w14:textId="77777777" w:rsidR="00213FDD" w:rsidRPr="008C49D7" w:rsidRDefault="00213FDD" w:rsidP="00213FDD">
      <w:pPr>
        <w:pStyle w:val="NormalHanging12a"/>
      </w:pPr>
      <w:r w:rsidRPr="008C49D7">
        <w:t>–</w:t>
      </w:r>
      <w:r w:rsidRPr="008C49D7">
        <w:tab/>
        <w:t>като взе предвид доклада от 9 май 2022 г. за окончателните резултати от Конференцията за бъдещето на Европа (COFE),</w:t>
      </w:r>
    </w:p>
    <w:p w14:paraId="1059DA9C" w14:textId="77777777" w:rsidR="00213FDD" w:rsidRPr="008C49D7" w:rsidRDefault="00213FDD" w:rsidP="00213FDD">
      <w:pPr>
        <w:pStyle w:val="NormalHanging12a"/>
      </w:pPr>
      <w:r w:rsidRPr="008C49D7">
        <w:t>–</w:t>
      </w:r>
      <w:r w:rsidRPr="008C49D7">
        <w:tab/>
        <w:t>като взе предвид своята резолюция от 4 май 2022 г. относно последващи действия във връзка със заключенията от Конференцията за бъдещето на Европа</w:t>
      </w:r>
      <w:r w:rsidRPr="008C49D7">
        <w:rPr>
          <w:rStyle w:val="FootnoteReference"/>
        </w:rPr>
        <w:footnoteReference w:id="1"/>
      </w:r>
      <w:r w:rsidRPr="008C49D7">
        <w:t>,</w:t>
      </w:r>
    </w:p>
    <w:p w14:paraId="62243E21" w14:textId="77777777" w:rsidR="00213FDD" w:rsidRPr="008C49D7" w:rsidRDefault="00213FDD" w:rsidP="00213FDD">
      <w:pPr>
        <w:pStyle w:val="NormalHanging12a"/>
      </w:pPr>
      <w:r w:rsidRPr="008C49D7">
        <w:lastRenderedPageBreak/>
        <w:t>–</w:t>
      </w:r>
      <w:r w:rsidRPr="008C49D7">
        <w:tab/>
        <w:t>като взе предвид своята резолюция от 9 юни 2022 г. относно призива за свикване на Конвент за преразглеждане на Договорите</w:t>
      </w:r>
      <w:r w:rsidRPr="008C49D7">
        <w:rPr>
          <w:rStyle w:val="FootnoteReference"/>
        </w:rPr>
        <w:footnoteReference w:id="2"/>
      </w:r>
      <w:r w:rsidRPr="008C49D7">
        <w:t>,</w:t>
      </w:r>
    </w:p>
    <w:p w14:paraId="23705F51" w14:textId="77777777" w:rsidR="00213FDD" w:rsidRPr="008C49D7" w:rsidRDefault="00213FDD" w:rsidP="00213FDD">
      <w:pPr>
        <w:pStyle w:val="NormalHanging12a"/>
      </w:pPr>
      <w:r w:rsidRPr="008C49D7">
        <w:t>–</w:t>
      </w:r>
      <w:r w:rsidRPr="008C49D7">
        <w:tab/>
        <w:t>като взе предвид своята резолюция от 22 ноември 2023 г. относно предложения на Европейския парламент за преразглеждане на Договорите</w:t>
      </w:r>
      <w:r w:rsidRPr="008C49D7">
        <w:rPr>
          <w:rStyle w:val="FootnoteReference"/>
        </w:rPr>
        <w:footnoteReference w:id="3"/>
      </w:r>
      <w:r w:rsidRPr="008C49D7">
        <w:t>,</w:t>
      </w:r>
    </w:p>
    <w:p w14:paraId="29056C69" w14:textId="77777777" w:rsidR="00213FDD" w:rsidRPr="008C49D7" w:rsidRDefault="00213FDD" w:rsidP="00213FDD">
      <w:pPr>
        <w:pStyle w:val="NormalHanging12a"/>
      </w:pPr>
      <w:r w:rsidRPr="008C49D7">
        <w:t>–</w:t>
      </w:r>
      <w:r w:rsidRPr="008C49D7">
        <w:tab/>
        <w:t xml:space="preserve">като взе предвид своята резолюция от 11 юли 2023 г. относно прилагането на клаузите за </w:t>
      </w:r>
      <w:r w:rsidRPr="008C49D7">
        <w:rPr>
          <w:rStyle w:val="Italic"/>
        </w:rPr>
        <w:t>преход</w:t>
      </w:r>
      <w:r w:rsidRPr="008C49D7">
        <w:t xml:space="preserve"> в Договорите на ЕС</w:t>
      </w:r>
      <w:r w:rsidRPr="008C49D7">
        <w:rPr>
          <w:rStyle w:val="FootnoteReference"/>
        </w:rPr>
        <w:footnoteReference w:id="4"/>
      </w:r>
      <w:r w:rsidRPr="008C49D7">
        <w:t>,</w:t>
      </w:r>
    </w:p>
    <w:p w14:paraId="501CC4A5" w14:textId="77777777" w:rsidR="00213FDD" w:rsidRPr="008C49D7" w:rsidRDefault="00213FDD" w:rsidP="00213FDD">
      <w:pPr>
        <w:pStyle w:val="NormalHanging12a"/>
        <w:rPr>
          <w:bCs/>
          <w:iCs/>
        </w:rPr>
      </w:pPr>
      <w:r w:rsidRPr="008C49D7">
        <w:t>–</w:t>
      </w:r>
      <w:r w:rsidRPr="008C49D7">
        <w:tab/>
        <w:t>като взе предвид своята резолюция от 7 май 2025 г. относно обновен дългосрочен бюджет на Съюза в един променящ се свят</w:t>
      </w:r>
      <w:r w:rsidRPr="008C49D7">
        <w:rPr>
          <w:rStyle w:val="FootnoteReference"/>
          <w:bCs/>
          <w:iCs/>
        </w:rPr>
        <w:footnoteReference w:id="5"/>
      </w:r>
      <w:r w:rsidRPr="008C49D7">
        <w:t>,</w:t>
      </w:r>
    </w:p>
    <w:p w14:paraId="7AB0D93C" w14:textId="77777777" w:rsidR="00213FDD" w:rsidRPr="008C49D7" w:rsidRDefault="00213FDD" w:rsidP="00213FDD">
      <w:pPr>
        <w:pStyle w:val="NormalHanging12a"/>
      </w:pPr>
      <w:r w:rsidRPr="008C49D7">
        <w:t>–</w:t>
      </w:r>
      <w:r w:rsidRPr="008C49D7">
        <w:tab/>
        <w:t>като взе предвид своята резолюция от 12 март 2025 г. относно Бялата книга за бъдещето на европейската отбрана</w:t>
      </w:r>
      <w:r w:rsidRPr="008C49D7">
        <w:rPr>
          <w:rStyle w:val="FootnoteReference"/>
        </w:rPr>
        <w:footnoteReference w:id="6"/>
      </w:r>
      <w:r w:rsidRPr="008C49D7">
        <w:t>,</w:t>
      </w:r>
    </w:p>
    <w:p w14:paraId="6D8AD731" w14:textId="77777777" w:rsidR="00213FDD" w:rsidRPr="008C49D7" w:rsidRDefault="00213FDD" w:rsidP="00213FDD">
      <w:pPr>
        <w:pStyle w:val="NormalHanging12a"/>
      </w:pPr>
      <w:r w:rsidRPr="008C49D7">
        <w:t>–</w:t>
      </w:r>
      <w:r w:rsidRPr="008C49D7">
        <w:tab/>
        <w:t>като взе предвид член 48 от Договора за Европейския съюз (ДЕС),</w:t>
      </w:r>
    </w:p>
    <w:p w14:paraId="026E7182" w14:textId="77777777" w:rsidR="00213FDD" w:rsidRPr="008C49D7" w:rsidRDefault="00213FDD" w:rsidP="00213FDD">
      <w:pPr>
        <w:pStyle w:val="NormalHanging12a"/>
      </w:pPr>
      <w:r w:rsidRPr="008C49D7">
        <w:t>–</w:t>
      </w:r>
      <w:r w:rsidRPr="008C49D7">
        <w:tab/>
        <w:t xml:space="preserve">като взе предвид клаузите за </w:t>
      </w:r>
      <w:r w:rsidRPr="008C49D7">
        <w:rPr>
          <w:rStyle w:val="Italic"/>
        </w:rPr>
        <w:t xml:space="preserve">преход </w:t>
      </w:r>
      <w:r w:rsidRPr="008C49D7">
        <w:t>в Договорите на ЕС,</w:t>
      </w:r>
    </w:p>
    <w:p w14:paraId="620541B2" w14:textId="77777777" w:rsidR="00213FDD" w:rsidRPr="008C49D7" w:rsidRDefault="00213FDD" w:rsidP="00213FDD">
      <w:pPr>
        <w:pStyle w:val="NormalHanging12a"/>
      </w:pPr>
      <w:r w:rsidRPr="008C49D7">
        <w:t>–</w:t>
      </w:r>
      <w:r w:rsidRPr="008C49D7">
        <w:tab/>
        <w:t>като взе предвид разпоредбите на Договора относно засиленото сътрудничество и постоянното структурирано сътрудничество,</w:t>
      </w:r>
    </w:p>
    <w:p w14:paraId="7EB62FB7" w14:textId="77777777" w:rsidR="00213FDD" w:rsidRPr="008C49D7" w:rsidRDefault="00213FDD" w:rsidP="00213FDD">
      <w:pPr>
        <w:pStyle w:val="NormalHanging12a"/>
      </w:pPr>
      <w:r w:rsidRPr="008C49D7">
        <w:t>–</w:t>
      </w:r>
      <w:r w:rsidRPr="008C49D7">
        <w:tab/>
        <w:t>като взе предвид член 122 от Договора за функционирането на Европейския съюз (ДФЕС),</w:t>
      </w:r>
    </w:p>
    <w:p w14:paraId="2E517F76" w14:textId="77777777" w:rsidR="00213FDD" w:rsidRPr="008C49D7" w:rsidRDefault="00213FDD" w:rsidP="00213FDD">
      <w:pPr>
        <w:pStyle w:val="NormalHanging12a"/>
      </w:pPr>
      <w:r w:rsidRPr="008C49D7">
        <w:t>–</w:t>
      </w:r>
      <w:r w:rsidRPr="008C49D7">
        <w:tab/>
        <w:t>като взе предвид член 55 от своя Правилник за дейността,</w:t>
      </w:r>
    </w:p>
    <w:p w14:paraId="07938EA3" w14:textId="77777777" w:rsidR="00213FDD" w:rsidRPr="008C49D7" w:rsidRDefault="00213FDD" w:rsidP="00213FDD">
      <w:pPr>
        <w:pStyle w:val="NormalHanging12a"/>
      </w:pPr>
      <w:r w:rsidRPr="008C49D7">
        <w:t>–</w:t>
      </w:r>
      <w:r w:rsidRPr="008C49D7">
        <w:tab/>
        <w:t>като взе предвид доклада на комисията по конституционни въпроси (A10-0196/2025),</w:t>
      </w:r>
    </w:p>
    <w:p w14:paraId="42D3C29B" w14:textId="77777777" w:rsidR="00213FDD" w:rsidRPr="008C49D7" w:rsidRDefault="00213FDD" w:rsidP="00213FDD">
      <w:pPr>
        <w:pStyle w:val="NormalHanging12a"/>
      </w:pPr>
      <w:r w:rsidRPr="008C49D7">
        <w:t>А.</w:t>
      </w:r>
      <w:r w:rsidRPr="008C49D7">
        <w:tab/>
        <w:t>като има предвид, че докладът Драги, изготвен от Марио Драги по искане на председателя на Европейската комисия Урсула фон дер Лайен, предлага цялостна диагностика на структурните предизвикателства, пред които е изправен ЕС, като предупреждава, че ЕС рискува продължителен слаб икономически растеж, който в крайна сметка би могъл да застраши просперитета и социалното благосъстояние; като има предвид, че в доклада Драги се посочва как Европа вече не може да разчита на много от факторите, които в миналото са подкрепяли растежа;</w:t>
      </w:r>
    </w:p>
    <w:p w14:paraId="50DD8169" w14:textId="77777777" w:rsidR="00213FDD" w:rsidRPr="008C49D7" w:rsidRDefault="00213FDD" w:rsidP="00213FDD">
      <w:pPr>
        <w:pStyle w:val="NormalHanging12a"/>
      </w:pPr>
      <w:r w:rsidRPr="008C49D7">
        <w:t>Б.</w:t>
      </w:r>
      <w:r w:rsidRPr="008C49D7">
        <w:tab/>
        <w:t xml:space="preserve">като има предвид, че между ЕС и Съединените щати е открита голяма разлика в БВП, която се е увеличила от над 15% през 2002 г. до приблизително 30% през 2023 г., измерени по цени от 2015 г.; като има предвид, че това се дължи главно на по-значителното забавяне на производителността в Европа и на неспособността на ЕС да се възползва от цифровата революция, породена от интернет, и от </w:t>
      </w:r>
      <w:r w:rsidRPr="008C49D7">
        <w:lastRenderedPageBreak/>
        <w:t>произтичащото от нея потенциално повишаване на производителността, отчасти поради разпокъсаността на единния европейски пазар;</w:t>
      </w:r>
    </w:p>
    <w:p w14:paraId="5CBA6F76" w14:textId="77777777" w:rsidR="00213FDD" w:rsidRPr="008C49D7" w:rsidRDefault="00213FDD" w:rsidP="00213FDD">
      <w:pPr>
        <w:pStyle w:val="NormalHanging12a"/>
      </w:pPr>
      <w:r w:rsidRPr="008C49D7">
        <w:t>В.</w:t>
      </w:r>
      <w:r w:rsidRPr="008C49D7">
        <w:tab/>
        <w:t xml:space="preserve">като има предвид, че докладът Драги определя преодоляването на различията в областта на иновациите, съвместен план за </w:t>
      </w:r>
      <w:proofErr w:type="spellStart"/>
      <w:r w:rsidRPr="008C49D7">
        <w:t>декарбонизация</w:t>
      </w:r>
      <w:proofErr w:type="spellEnd"/>
      <w:r w:rsidRPr="008C49D7">
        <w:t xml:space="preserve"> и конкурентоспособност, повишаване на сигурността и намаляване на зависимостите и постигане на икономическите, екологичните и социалните цели на ЕС като основополагащи основи за бъдещия растеж на Европа; като има предвид, че в доклада се прави оценка, съгласно която това ще изисква увеличаване на равнищата на инвестициите с около 5% от съвкупния БВП на ЕС, което възлиза на минимум 750 – 800 милиарда евро допълнителни годишни инвестиции;</w:t>
      </w:r>
    </w:p>
    <w:p w14:paraId="7752E54B" w14:textId="77777777" w:rsidR="00213FDD" w:rsidRPr="008C49D7" w:rsidRDefault="00213FDD" w:rsidP="00213FDD">
      <w:pPr>
        <w:pStyle w:val="NormalHanging12a"/>
      </w:pPr>
      <w:r w:rsidRPr="008C49D7">
        <w:t>Г.</w:t>
      </w:r>
      <w:r w:rsidRPr="008C49D7">
        <w:tab/>
        <w:t>като има предвид, че световното търсене на суровини от изключителна важност нараства бързо поради прехода към чиста енергия, като същевременно Европа е силно зависима и от вноса на цифрови технологии, по-специално за производството на интегрални схеми, тъй като 75 – 80% от световния капацитет за производство на полупроводникови пластини е в Азия; като има предвид, че следва да се разработи истинска „външна икономическа политика“ на ЕС, за да се запазят автономността и конкурентоспособността на ЕС в тази критична област, както и в други стратегически сектори;</w:t>
      </w:r>
    </w:p>
    <w:p w14:paraId="42336FDF" w14:textId="77777777" w:rsidR="00213FDD" w:rsidRPr="008C49D7" w:rsidRDefault="00213FDD" w:rsidP="00213FDD">
      <w:pPr>
        <w:pStyle w:val="NormalHanging12a"/>
      </w:pPr>
      <w:r w:rsidRPr="008C49D7">
        <w:t>Д.</w:t>
      </w:r>
      <w:r w:rsidRPr="008C49D7">
        <w:tab/>
        <w:t>като има предвид, че както докладът Лета, изготвен от Енрико Лета и възложен от Европейския съвет, така и докладът Драги подчертават, че от самото начало единният пазар се е доказал като огромен стимул за икономиката на ЕС и мощен фактор за нейната привлекателност и продължава да бъде крайъгълен камък на европейската интеграция и ценности, служейки като мощен катализатор за растеж, просперитет и солидарност; като има предвид обаче, че международната обстановка е съществено изменена, което изтъква необходимостта от по-нататъшно задълбочаване и завършване на единния пазар, за да се разгърне пълният му потенциал;</w:t>
      </w:r>
    </w:p>
    <w:p w14:paraId="4A57A124" w14:textId="36DDD517" w:rsidR="00213FDD" w:rsidRPr="008C49D7" w:rsidRDefault="00213FDD" w:rsidP="00213FDD">
      <w:pPr>
        <w:pStyle w:val="NormalHanging12a"/>
      </w:pPr>
      <w:r w:rsidRPr="008C49D7">
        <w:t>Е</w:t>
      </w:r>
      <w:r w:rsidR="00BE0BC0">
        <w:t>.</w:t>
      </w:r>
      <w:r w:rsidRPr="008C49D7">
        <w:tab/>
        <w:t>като има предвид, че според доклада Драги са необходими най-малко 750 – 800 милиарда евро допълнителни годишни инвестиции, за да се възстанови производителността на ЕС и да се постигнат екологичните и социалните цели на ЕС;</w:t>
      </w:r>
    </w:p>
    <w:p w14:paraId="1ECDC7D5" w14:textId="77777777" w:rsidR="00213FDD" w:rsidRPr="008C49D7" w:rsidRDefault="00213FDD" w:rsidP="00213FDD">
      <w:pPr>
        <w:pStyle w:val="NormalHanging12a"/>
      </w:pPr>
      <w:r w:rsidRPr="008C49D7">
        <w:t>Ж.</w:t>
      </w:r>
      <w:r w:rsidRPr="008C49D7">
        <w:tab/>
        <w:t>като има предвид, че подкрепата на ЕС както за публичните, така и за частните инвестиции е ограничена от размера на бюджета на ЕС, липсата на акцент в него, неговата сложна рамка на управление и прекалено предпазливото отношение към риска; като има предвид, че общите инвестиции на ЕС, включително съвместно финансираните пазарни инициативи, са от съществено значение за преодоляване на предизвикателствата, които надхвърлят националните граници, чрез създаване на условия за икономии от мащаба, насърчаване на стратегическата автономност, с едновременно защитаване и насърчаване на сближаването в целия Съюз, привличане на частен капитал, повишаване на глобалната конкурентоспособност на ЕС в критични сектори и финансиране на други европейски обществени блага;</w:t>
      </w:r>
    </w:p>
    <w:p w14:paraId="5778037B" w14:textId="77777777" w:rsidR="00213FDD" w:rsidRPr="008C49D7" w:rsidRDefault="00213FDD" w:rsidP="00213FDD">
      <w:pPr>
        <w:pStyle w:val="NormalHanging12a"/>
      </w:pPr>
      <w:r w:rsidRPr="008C49D7">
        <w:t>З.</w:t>
      </w:r>
      <w:r w:rsidRPr="008C49D7">
        <w:tab/>
        <w:t xml:space="preserve">като има предвид, че опитът за създаване на съюз на капиталовите пазари (СКП), определен от председателя на Комисията Фон дер Лайен като стратегически приоритет, все още не е постигнал целите си през последното десетилетие; като </w:t>
      </w:r>
      <w:r w:rsidRPr="008C49D7">
        <w:lastRenderedPageBreak/>
        <w:t>има предвид, че извършената до настоящия момент работа по СКП подчертава, че цялостната интеграция на финансовите услуги в рамките на единния пазар е от съществено значение за изпълнението на стратегическите цели на икономическата политика на ЕС;</w:t>
      </w:r>
    </w:p>
    <w:p w14:paraId="322A5C01" w14:textId="77777777" w:rsidR="00213FDD" w:rsidRPr="008C49D7" w:rsidRDefault="00213FDD" w:rsidP="00213FDD">
      <w:pPr>
        <w:pStyle w:val="NormalHanging12a"/>
      </w:pPr>
      <w:r w:rsidRPr="008C49D7">
        <w:t>И.</w:t>
      </w:r>
      <w:r w:rsidRPr="008C49D7">
        <w:tab/>
        <w:t xml:space="preserve">като има предвид, че докладът Драги предоставя цялостен анализ на икономическото управление и конкурентоспособността на ЕС; </w:t>
      </w:r>
    </w:p>
    <w:p w14:paraId="1E184F6F" w14:textId="77777777" w:rsidR="00213FDD" w:rsidRPr="008C49D7" w:rsidRDefault="00213FDD" w:rsidP="00213FDD">
      <w:pPr>
        <w:pStyle w:val="NormalHanging12a"/>
        <w:rPr>
          <w:bCs/>
          <w:iCs/>
        </w:rPr>
      </w:pPr>
      <w:r w:rsidRPr="008C49D7">
        <w:t>Й.</w:t>
      </w:r>
      <w:r w:rsidRPr="008C49D7">
        <w:tab/>
        <w:t>като има предвид, че процесите на присъединяване на редица държави получиха нов тласък след руската агресивна война срещу Украйна, което доведе до ситуация, при която ЕС трябва да се подготви за следващите кръгове на разширяване и да подобри своите процеси на вземане на решения, за да се гарантира, че той е в състояние да функционира ефикасно с увеличен брой държави членки; като има предвид, че според доклада Драги законодателната дейност на Комисията нараства и че ЕС следва да бъде строг при прилагането на принципа на субсидиарност; като има предвид, че в доклада Драги се посочва също така, че правилата на ЕС за вземане на решения не са претърпели съществено развитие с разширяването на ЕС и че те трябва да бъдат укрепени и рационализирани с оглед на бъдещите разширявания и сложната обстановка в света; като има предвид, че разширяването на единния пазар има значителен потенциал за създаване на растеж на икономиката на ЕС и за укрепване на неговата геоикономическа позиция;</w:t>
      </w:r>
    </w:p>
    <w:p w14:paraId="25AC0A3A" w14:textId="77777777" w:rsidR="00213FDD" w:rsidRPr="008C49D7" w:rsidRDefault="00213FDD" w:rsidP="00213FDD">
      <w:pPr>
        <w:pStyle w:val="NormalHanging12a"/>
        <w:rPr>
          <w:bCs/>
          <w:iCs/>
        </w:rPr>
      </w:pPr>
      <w:r w:rsidRPr="008C49D7">
        <w:t>К.</w:t>
      </w:r>
      <w:r w:rsidRPr="008C49D7">
        <w:tab/>
        <w:t xml:space="preserve">като има предвид, че в доклада Драги се отбелязва и че националното право на вето е превърнато в инструмент от множество правителства с цел забавяне или размиване на действията чрез процеса на вземане на решения; като има предвид обаче, че в доклада също така се подчертава, че макар укрепването на ЕС да изисква промяна на Договора, може да се направи много чрез целенасочени корекции; като има предвид, че поради тази причина в доклада се твърди, че една нова промишлена стратегия за Европа трябва да бъде придружавана от успоредни подобрения в институционалната структура и във функционирането на ЕС; </w:t>
      </w:r>
    </w:p>
    <w:p w14:paraId="54110FB0" w14:textId="77777777" w:rsidR="00213FDD" w:rsidRPr="008C49D7" w:rsidRDefault="00213FDD" w:rsidP="00213FDD">
      <w:pPr>
        <w:pStyle w:val="NormalHanging12a"/>
      </w:pPr>
      <w:r w:rsidRPr="008C49D7">
        <w:t>Л.</w:t>
      </w:r>
      <w:r w:rsidRPr="008C49D7">
        <w:tab/>
        <w:t>като има предвид, че в доклада Драги се подчертава необходимостта от опростяване на процеса на взимане на решения в ЕС, за да се улесни приемането на мерки за повишаване на конкурентоспособността и икономическия растеж на ЕС, както и да се гарантира, че решенията се вземат своевременно и ефективно;</w:t>
      </w:r>
    </w:p>
    <w:p w14:paraId="2D93AAC1" w14:textId="77777777" w:rsidR="00213FDD" w:rsidRPr="008C49D7" w:rsidRDefault="00213FDD" w:rsidP="00213FDD">
      <w:pPr>
        <w:pStyle w:val="NormalHanging12a"/>
        <w:rPr>
          <w:bCs/>
          <w:iCs/>
        </w:rPr>
      </w:pPr>
      <w:r w:rsidRPr="008C49D7">
        <w:t>М.</w:t>
      </w:r>
      <w:r w:rsidRPr="008C49D7">
        <w:tab/>
        <w:t>като има предвид, че в доклада Драги се пояснява, че укрепването на политическия и институционалния модел на ЕС е възможно в рамките на съществуващата правна рамка чрез прилагане на целенасочени мерки за рационализиране, без да са необходими промени в Договорите; като има предвид, че в доклада се твърди, че тези мерки следва да поставят акцент по-скоро върху дерегулирането, отколкото върху увеличаването на броя на правилата и процедурите на ЕС;</w:t>
      </w:r>
    </w:p>
    <w:p w14:paraId="150A8376" w14:textId="77777777" w:rsidR="00213FDD" w:rsidRPr="008C49D7" w:rsidRDefault="00213FDD" w:rsidP="00213FDD">
      <w:pPr>
        <w:pStyle w:val="NormalHanging12a"/>
      </w:pPr>
      <w:r w:rsidRPr="008C49D7">
        <w:t>Н.</w:t>
      </w:r>
      <w:r w:rsidRPr="008C49D7">
        <w:tab/>
        <w:t>като има предвид, че в доклада Драги цифровата трансформация и развитието на изкуствения интелект (ИИ) се определят като ключови двигатели на бъдещата европейска конкурентоспособност; като има предвид, че досега ЕС е пропуснал критични възможности в цифровата революция и продължава да изостава от световните лидери в областта на способностите за ИИ, инфраструктурата за данни и разрастването на дълбоките технологии;</w:t>
      </w:r>
    </w:p>
    <w:p w14:paraId="4F61F512" w14:textId="77777777" w:rsidR="00213FDD" w:rsidRPr="008C49D7" w:rsidRDefault="00213FDD" w:rsidP="00213FDD">
      <w:pPr>
        <w:pStyle w:val="NormalHanging12a"/>
      </w:pPr>
      <w:r w:rsidRPr="008C49D7">
        <w:lastRenderedPageBreak/>
        <w:t>О.</w:t>
      </w:r>
      <w:r w:rsidRPr="008C49D7">
        <w:tab/>
        <w:t>като има предвид, че в доклада Драги се подчертава, че ЕС трябва да укрепи своята стратегическа автономност и отбранителен капацитет чрез преодоляване на разпокъсаността на пазара, повишаване на оперативната съвместимост и консолидиране на европейската отбранителна промишленост; като има предвид, че докладът Ниенистьо допълва тази визия, като подчертава необходимостта от подобряване на подготвеността за справяне с рискове, реакцията при кризи и устойчивостта на критичната инфраструктура и веригите на доставки; като има предвид, че и в двата доклада се подчертава, че един будещ доверие Европейски съюз за отбрана изисква интегрирана рамка за управление и устойчиви, координирани инвестиции на равнището на ЕС;</w:t>
      </w:r>
    </w:p>
    <w:p w14:paraId="7C039E02" w14:textId="77777777" w:rsidR="00213FDD" w:rsidRPr="008C49D7" w:rsidRDefault="00213FDD" w:rsidP="00213FDD">
      <w:pPr>
        <w:pStyle w:val="Normal12a24b"/>
      </w:pPr>
      <w:r w:rsidRPr="008C49D7">
        <w:rPr>
          <w:rStyle w:val="BoldItalic"/>
        </w:rPr>
        <w:t xml:space="preserve">Общи съображения </w:t>
      </w:r>
    </w:p>
    <w:p w14:paraId="31D1B733" w14:textId="77777777" w:rsidR="00213FDD" w:rsidRPr="008C49D7" w:rsidRDefault="00213FDD" w:rsidP="00213FDD">
      <w:pPr>
        <w:pStyle w:val="NormalHanging12a"/>
        <w:rPr>
          <w:bCs/>
          <w:iCs/>
        </w:rPr>
      </w:pPr>
      <w:r w:rsidRPr="008C49D7">
        <w:t xml:space="preserve">1. </w:t>
      </w:r>
      <w:r w:rsidRPr="008C49D7">
        <w:tab/>
        <w:t>приветства доклада Драги, неговите констатации и призив за действие; подкрепя анализа, че Европа е изправена пред екзистенциално предизвикателство, което изисква безпрецедентни институционални усилия, за да остане Съюзът конкурентоспособен и да осигурява растеж в днешния бързо променящ се геополитически контекст; подчертава, че този отговор трябва да се основава на демократичното управление на Съюза, баланса на правомощията между институциите и зачитането на Договорите; призовава за обновена европейска стратегия, която да дава възможност на Съюза да взема навременни и ефективни решения, за да бъде гарантирана неговата конкурентоспособност и устойчивост;</w:t>
      </w:r>
    </w:p>
    <w:p w14:paraId="556DFEC3" w14:textId="77777777" w:rsidR="00213FDD" w:rsidRPr="008C49D7" w:rsidRDefault="00213FDD" w:rsidP="00213FDD">
      <w:pPr>
        <w:pStyle w:val="NormalHanging12a"/>
      </w:pPr>
      <w:r w:rsidRPr="008C49D7">
        <w:t>2.</w:t>
      </w:r>
      <w:r w:rsidRPr="008C49D7">
        <w:tab/>
        <w:t>подчертава факта, че както е посочено в доклада Драги, ЕС спешно трябва да подобри институционалното си управление; подчертава, че тези подобрения следва да бъдат придружени от ясна и приобщаваща комуникационна стратегия, насочена към поддържане на участието и информирането на гражданите относно произтичащите от това ползи, за да се гарантира пълна обществена подкрепа и да се насърчава чувството за принадлежност и обща отговорност; подчертава, че това, заедно с необходимостта от изоставяне на фрагментираните национални подходи и укрепване на пренасочения, ускорен и опростен процес на вземане на решения на равнището на ЕС, ще даде възможност на Съюза да действа по-ефикасно и ефективно там, където това е най-важно, като истински глобален фактор; признава значението на преодоляването на блокирането в Съвета в няколко области; подкрепя всички инициативи, насочени към разработването на по-ефективен процес на вземане на решения, който е от ключово значение за повишаване на конкурентоспособността на ЕС, при пълно зачитане на принципите на субсидиарност и пропорционалност, определени в член 5, параграф 3 и 4 от ДЕС;</w:t>
      </w:r>
    </w:p>
    <w:p w14:paraId="77D35381" w14:textId="77777777" w:rsidR="00213FDD" w:rsidRPr="008C49D7" w:rsidRDefault="00213FDD" w:rsidP="00213FDD">
      <w:pPr>
        <w:pStyle w:val="NormalHanging12a"/>
      </w:pPr>
      <w:r w:rsidRPr="008C49D7">
        <w:t>3.</w:t>
      </w:r>
      <w:r w:rsidRPr="008C49D7">
        <w:tab/>
        <w:t>подчертава, че ключовите области, които се нуждаят от стратегическа реформа на политиката за повишаване на конкурентоспособността на ЕС, са доизграждането на европейския единен пазар, създаването на съюза на спестяванията и инвестициите (SIU), подобряването на ефикасността на бюджета на ЕС и неговото изпълнение, поддържането на високи равнища на социална закрила и социални и трудови права, задълбочаването на европейския модел на ИИ и цифровата трансформация, както и развитието на европейски енергиен съюз и Европейски съюз за отбрана;</w:t>
      </w:r>
    </w:p>
    <w:p w14:paraId="013785CF" w14:textId="77777777" w:rsidR="00213FDD" w:rsidRPr="008C49D7" w:rsidRDefault="00213FDD" w:rsidP="00213FDD">
      <w:pPr>
        <w:pStyle w:val="NormalHanging12a"/>
      </w:pPr>
      <w:r w:rsidRPr="008C49D7">
        <w:lastRenderedPageBreak/>
        <w:t>4.</w:t>
      </w:r>
      <w:r w:rsidRPr="008C49D7">
        <w:tab/>
        <w:t>подчертава, че реформите на стратегическата политика и предложените промени в институционалната структура на ЕС следва да се разглеждат като неразривно свързани аспекти, които да се прилагат заедно, за да се стимулира един по-конкурентоспособен ЕС;</w:t>
      </w:r>
    </w:p>
    <w:p w14:paraId="4A15191C" w14:textId="77777777" w:rsidR="00213FDD" w:rsidRPr="008C49D7" w:rsidRDefault="00213FDD" w:rsidP="00213FDD">
      <w:pPr>
        <w:pStyle w:val="NormalHanging12a"/>
        <w:rPr>
          <w:b/>
          <w:i/>
          <w:iCs/>
        </w:rPr>
      </w:pPr>
      <w:r w:rsidRPr="008C49D7">
        <w:rPr>
          <w:b/>
          <w:i/>
        </w:rPr>
        <w:t>Пренасочване, ускоряване и опростяване на управлението на ЕС</w:t>
      </w:r>
    </w:p>
    <w:p w14:paraId="267128E2" w14:textId="324C0295" w:rsidR="00213FDD" w:rsidRPr="008C49D7" w:rsidRDefault="00213FDD" w:rsidP="00213FDD">
      <w:pPr>
        <w:pStyle w:val="NormalHanging12a"/>
      </w:pPr>
      <w:r w:rsidRPr="008C49D7">
        <w:t>5.</w:t>
      </w:r>
      <w:r w:rsidRPr="008C49D7">
        <w:tab/>
        <w:t>приветства усилията за пренасочване и опростяване на работата на ЕС чрез стратегическо приоритизиране и институционална ефективност; призовава за засилване на капацитета за действие на ЕС, когато той добавя ясна стойност, основана на принципите на субсидиарност и пропорционалност; подчертава, че опростяването, субсидиарността и пропорционалността трябва да водят до по-интелигентно и по-ефективно законодателство и не следва да водят до оттегляне от области, които се нуждаят от действия на равнището на ЕС; подчертава, че ефективните интервенции в области на политиката, които водят до по-голяма икономическа конкурентоспособност, изискват приспособяването на правомощията, предоставени на Съюза в Договорите; подчертава, че това опростяване и този подновен акцент трябва да бъдат отразени и в по-ефикасна и по-гъвкава институционална структура, включително реорганизация на Комисията и на колегиума на членовете на Комисията с цел повишаване на ефективността и капацитета на ЕС за справяне с променящите се предизвикателства и укрепване на неговата роля на световната сцена;</w:t>
      </w:r>
    </w:p>
    <w:p w14:paraId="5E3A1FA5" w14:textId="290BCE7E" w:rsidR="00213FDD" w:rsidRPr="008C49D7" w:rsidRDefault="00213FDD" w:rsidP="00213FDD">
      <w:pPr>
        <w:pStyle w:val="NormalHanging12a"/>
      </w:pPr>
      <w:r w:rsidRPr="008C49D7">
        <w:t>6.</w:t>
      </w:r>
      <w:r w:rsidRPr="008C49D7">
        <w:tab/>
        <w:t xml:space="preserve">отбелязва компаса на Комисията за конкурентоспособността, основан на визията в доклада Драги, и неговия акцент върху необходимостта от по-голяма стратегическа автономност и издръжливост и спешната необходимост от повишаване на конкурентоспособността на ЕС въз основа на устойчивостта, иновациите, енергийната сигурност, както и на социалното, икономическото и териториалното сближаване; признава, че акцентът на компаса за конкурентоспособността върху регулаторната ефективност е от съществено значение за стимулиране на иновациите, привличане на инвестиции и създаване на условия за устойчив растеж; подкрепя въвеждането на инструменти за оценка на въздействието на новите предложения върху малките и средните предприятия и върху конкурентоспособността и препоръчва редовното наблюдение на напредъка и насърчаването на цифрови решения за улесняване на административните процедури; подчертава необходимостта от справяне с недостига на работна ръка и умения като структурно предизвикателство за конкурентоспособността в държавите членки; подчертава обаче, че компасът за конкурентоспособността трябва да бъде допълнително подобрен чрез укрепване на институционалната структура на ЕС; </w:t>
      </w:r>
    </w:p>
    <w:p w14:paraId="76DCE9F6" w14:textId="44FD92BD" w:rsidR="00213FDD" w:rsidRPr="008C49D7" w:rsidRDefault="00213FDD" w:rsidP="00213FDD">
      <w:pPr>
        <w:pStyle w:val="NormalHanging12a"/>
        <w:rPr>
          <w:bCs/>
          <w:iCs/>
        </w:rPr>
      </w:pPr>
      <w:r w:rsidRPr="008C49D7">
        <w:t>7.</w:t>
      </w:r>
      <w:r w:rsidRPr="008C49D7">
        <w:tab/>
        <w:t xml:space="preserve">приветства идеята за укрепване на процеса на вземане на решения в ЕС относно целенасочени и стратегически приоритети за европейската конкурентоспособност; счита, че всеки инструмент за координация на конкурентоспособността следва да служи като всеобхватна институционална рамка, даваща възможност на ЕС не само да координира политиките на ЕС и националните политики, но и да действа като единен субект; подчертава, че подобен инструмент следва да се ръководи от Комисията, под надзора на Парламента и Съвета, и да подлежи на независима оценка въз основа на неговата ефективност и прозрачност и постигането на неговите цели; подчертава, че сътрудничеството с националните парламенти и регулаторните органи е </w:t>
      </w:r>
      <w:r w:rsidRPr="008C49D7">
        <w:lastRenderedPageBreak/>
        <w:t>необходимо, за да се гарантира демократична легитимност; подчертава, че участието на социалните партньори и заинтересованите страни трябва да бъде включено в управлението на ЕС, за да се гарантира приобщаване и отчетност;</w:t>
      </w:r>
    </w:p>
    <w:p w14:paraId="14086739" w14:textId="77777777" w:rsidR="00213FDD" w:rsidRPr="008C49D7" w:rsidRDefault="00213FDD" w:rsidP="00213FDD">
      <w:pPr>
        <w:pStyle w:val="NormalHanging12a"/>
      </w:pPr>
      <w:r w:rsidRPr="008C49D7">
        <w:t xml:space="preserve">8. </w:t>
      </w:r>
      <w:r w:rsidRPr="008C49D7">
        <w:tab/>
        <w:t>приветства целта за ускоряване на работата на ЕС и отново призовава за напредък към по-голяма ефективност при вземането на решения, по-специално за преминаване към гласуване с квалифицирано мнозинство и към обикновената законодателна процедура, когато е необходимо, в ключови области на политиката; отбелязва, че следва да се предвидят по-високи прагове за гласуване в някои области от жизненоважно значение; отбелязва, че в миналото бяха намерени решения, които направиха процесите на вземане на решения по-решителни; подчертава например факта, че Договорът от Амстердам въведе гласуването с квалифицирано мнозинство, като същевременно предвиди възможността за конструктивно въздържане в някои области на политиката;</w:t>
      </w:r>
    </w:p>
    <w:p w14:paraId="216CBC11" w14:textId="4EF323C4" w:rsidR="00213FDD" w:rsidRPr="008C49D7" w:rsidRDefault="00213FDD" w:rsidP="00213FDD">
      <w:pPr>
        <w:pStyle w:val="NormalHanging12a"/>
      </w:pPr>
      <w:r w:rsidRPr="008C49D7">
        <w:t>9.</w:t>
      </w:r>
      <w:r w:rsidRPr="008C49D7">
        <w:tab/>
        <w:t>настоятелно призовава Европейския съвет да обсъди предложенията, изложени в резолюциите на Парламента от 9 юни 2022 г. и 22 ноември 2023 г. относно свикването на Конвент в съответствие с обикновената процедура за преразглеждане, предвидена в член 48 от ДЕС, и да обмисли, когато е възможно, целенасочени изменения на Договорите чрез опростената процедура, установена в член 48, параграф 6 от ДЕС, за ускоряване на съществените и спешни реформи; припомня заключенията на Конференцията за бъдещето на Европа и настоятелно призовава Комисията и Съвета да предприемат конкретни и навременни стъпки за последващи действия във връзка с тези препоръки; счита, че подготовката за компромис относно следващата многогодишна финансова рамка представлява важна възможност за интензифициране на работата по укрепването на институционалната структура на ЕС;</w:t>
      </w:r>
    </w:p>
    <w:p w14:paraId="6377A127" w14:textId="77777777" w:rsidR="00213FDD" w:rsidRPr="008C49D7" w:rsidRDefault="00213FDD" w:rsidP="00213FDD">
      <w:pPr>
        <w:pStyle w:val="NormalHanging12a"/>
      </w:pPr>
      <w:r w:rsidRPr="008C49D7">
        <w:t>10.</w:t>
      </w:r>
      <w:r w:rsidRPr="008C49D7">
        <w:tab/>
        <w:t>припомня заключенията на Конференцията за бъдещето на Европа, по-специално необходимостта от реформа на Договорите, и настоятелно призовава Комисията и Съвета да предприемат конкретни и навременни стъпки за последващи действия във връзка с тези препоръки;</w:t>
      </w:r>
    </w:p>
    <w:p w14:paraId="7F6E5238" w14:textId="60AFFE80" w:rsidR="00213FDD" w:rsidRPr="008C49D7" w:rsidRDefault="00213FDD" w:rsidP="00213FDD">
      <w:pPr>
        <w:pStyle w:val="NormalHanging12a"/>
      </w:pPr>
      <w:r w:rsidRPr="008C49D7">
        <w:t>11.</w:t>
      </w:r>
      <w:r w:rsidRPr="008C49D7">
        <w:rPr>
          <w:b/>
          <w:i/>
        </w:rPr>
        <w:tab/>
      </w:r>
      <w:r w:rsidRPr="008C49D7">
        <w:t>отново заявява ангажимента си за повишаване на капацитета на ЕС да действа бързо и ефективно и за подобряване на ефикасността на процеса на вземане на решения в ключови области на политиката; отново призовава за разширяване на гласуването с квалифицирано мнозинство и на обикновената законодателна процедура, така че да те да обхванат ключови области на политиката, като се използват клаузите за преход, както е предвидено в Договорите, за да се подобри способността на ЕС да действа бързо и ефективно;</w:t>
      </w:r>
    </w:p>
    <w:p w14:paraId="4655349D" w14:textId="77777777" w:rsidR="00213FDD" w:rsidRPr="008C49D7" w:rsidRDefault="00213FDD" w:rsidP="00213FDD">
      <w:pPr>
        <w:pStyle w:val="NormalHanging12a"/>
        <w:rPr>
          <w:bCs/>
        </w:rPr>
      </w:pPr>
      <w:r w:rsidRPr="008C49D7">
        <w:t xml:space="preserve">12. </w:t>
      </w:r>
      <w:r w:rsidRPr="008C49D7">
        <w:tab/>
        <w:t xml:space="preserve">призовава Съвета да обмисли прибягването до засилено сътрудничество съгласно член 20 от ДЕС в случаите, когато гласуването с единодушие не позволява вземането на важни решения за ЕС като цяло в ключови области на политиката; подчертава, че засиленото сътрудничество се основава на законните потребности на държавите членки, когато целите на това сътрудничество не могат да бъдат постигнати в разумен срок от Съюза като цяло; подчертава, че засиленото сътрудничество предлага две важни гаранции, а именно одобрението на Парламента и съдебния контрол от страна на Съда на ЕС, както и че решенията, вземани по линия на засиленото сътрудничество, са основани на предложение на Комисията; подчертава, че основната цел на засиленото сътрудничество е </w:t>
      </w:r>
      <w:r w:rsidRPr="008C49D7">
        <w:lastRenderedPageBreak/>
        <w:t>опростяването на процеса на вземане на решения; препоръчва на участващите държави членки да задействат специалната клауза за преход, предвидена в член 333 от ДФЕС, за да преминат към гласуване с квалифицирано мнозинство и към обикновената законодателна процедура в рамките на засиленото сътрудничество; отбелязва, че в доклада Драги се предлага, когато не може да бъде постигнато единодушно съгласие за въвеждане на гласуване с квалифицирано мнозинство, желаещите държави членки също да могат да обмислят прибягването до междуправителственото сътрудничество;</w:t>
      </w:r>
    </w:p>
    <w:p w14:paraId="4DD0580E" w14:textId="5AC36EB5" w:rsidR="00213FDD" w:rsidRPr="008C49D7" w:rsidRDefault="00213FDD" w:rsidP="00213FDD">
      <w:pPr>
        <w:pStyle w:val="NormalHanging12a"/>
      </w:pPr>
      <w:r w:rsidRPr="008C49D7">
        <w:t>13.</w:t>
      </w:r>
      <w:r w:rsidRPr="008C49D7">
        <w:tab/>
        <w:t xml:space="preserve">подчертава, че подобряването на процеса на вземане на решения в ЕС изисква Парламентът да бъде оправомощен, като бъде поставен на равна нога със Съвета, и призовава за укрепване на ролята на Европейския парламент в законодателния процес; отново призовава Парламента да придобие пълното право на законодателна инициатива; подчертава значението на модернизирането на правото на разследване на Европейския парламент с цел укрепване на демократичния контрол върху изпълнителната власт на ЕС; </w:t>
      </w:r>
    </w:p>
    <w:p w14:paraId="4CCEF5F0" w14:textId="77777777" w:rsidR="00213FDD" w:rsidRPr="008C49D7" w:rsidRDefault="00213FDD" w:rsidP="00213FDD">
      <w:pPr>
        <w:pStyle w:val="NormalHanging12a"/>
        <w:rPr>
          <w:bCs/>
          <w:iCs/>
        </w:rPr>
      </w:pPr>
      <w:r w:rsidRPr="008C49D7">
        <w:t>14.</w:t>
      </w:r>
      <w:r w:rsidRPr="008C49D7">
        <w:tab/>
        <w:t xml:space="preserve">разглежда потенциала на член 122 от ДФЕС като инструмент за бързи действия на ЕС единствено в кризисни ситуации, но подчертава, че неговото използване изисква строг надзор не само от страна на Съда на ЕС, но и от страна на Парламента; подчертава необходимостта от гарантиране на тясно сътрудничество между Комисията, Парламента и други съответни институции и органи на ЕС;  призовава процедурите за задействане на член 122 от ДФЕС да бъдат изяснени и да станат по-систематични, по-специално чрез оправомощаване на двамата </w:t>
      </w:r>
      <w:proofErr w:type="spellStart"/>
      <w:r w:rsidRPr="008C49D7">
        <w:t>съзаконодатели</w:t>
      </w:r>
      <w:proofErr w:type="spellEnd"/>
      <w:r w:rsidRPr="008C49D7">
        <w:t xml:space="preserve"> да вземат решения относно неговото задействане;</w:t>
      </w:r>
    </w:p>
    <w:p w14:paraId="3ABDE4C2" w14:textId="77777777" w:rsidR="00213FDD" w:rsidRPr="008C49D7" w:rsidRDefault="00213FDD" w:rsidP="00213FDD">
      <w:pPr>
        <w:pStyle w:val="NormalHanging12a"/>
        <w:rPr>
          <w:bCs/>
          <w:iCs/>
        </w:rPr>
      </w:pPr>
      <w:r w:rsidRPr="008C49D7">
        <w:t>15.</w:t>
      </w:r>
      <w:r w:rsidRPr="008C49D7">
        <w:tab/>
        <w:t xml:space="preserve">подчертава неотложната необходимост от подобряване на институционалната и финансовата рамка на ЕС, за да се гарантира, че той остава функционален, демократичен и конкурентоспособен и че е в състояние да приема нови членове и да насърчава успешната им интеграция с оглед на бъдещите разширявания; поради това отново потвърждава, че разширяването трябва да върви ръка за ръка с укрепването на управлението на ЕС; насърчава диалога между ЕС и правителствата, парламентите и гражданското общество на страните кандидатки по всички предвидени предложения за промени в институционалната структура на ЕС; признава значението на инициативи като Европейската политическа общност, които дават възможност за политическо сътрудничество, допринасят за регионалните диалози и биха могли да улеснят постепенната интеграция на държавите кандидатки в Съюза и в неговите политики, без да са алтернативи на членството в ЕС; подчертава, че Парламентът следва да бъде редовно информиран и консултиран относно развитието на Европейската политическа общност, за да се гарантира демократична отчетност и съгласуваност с институционалната рамка на ЕС; </w:t>
      </w:r>
    </w:p>
    <w:p w14:paraId="21FDC7E3" w14:textId="77777777" w:rsidR="00213FDD" w:rsidRPr="008C49D7" w:rsidRDefault="00213FDD" w:rsidP="00213FDD">
      <w:pPr>
        <w:pStyle w:val="NormalHanging12a"/>
        <w:rPr>
          <w:b/>
          <w:u w:val="single"/>
        </w:rPr>
      </w:pPr>
      <w:r w:rsidRPr="008C49D7">
        <w:rPr>
          <w:b/>
          <w:i/>
        </w:rPr>
        <w:t>Ефективно управление на ЕС в ключови области на политиката</w:t>
      </w:r>
    </w:p>
    <w:p w14:paraId="1FEA080A" w14:textId="77777777" w:rsidR="00213FDD" w:rsidRPr="008C49D7" w:rsidRDefault="00213FDD" w:rsidP="00213FDD">
      <w:pPr>
        <w:pStyle w:val="NormalHanging12a"/>
      </w:pPr>
      <w:r w:rsidRPr="008C49D7">
        <w:t xml:space="preserve">16. </w:t>
      </w:r>
      <w:r w:rsidRPr="008C49D7">
        <w:tab/>
        <w:t xml:space="preserve">призовава за доизграждане на европейския единен пазар, както е заложено в членове 26 и 114 от ДФЕС и член 3, параграф 3 от ДЕС, за да се разгърне пълният му потенциал и да се преодолеят оставащите пречки, включително нелоялната международна конкуренция, с оглед на противодействието на високите цени на енергията, недостига на умения и работна ръка, трудностите при достъпа до капитал, разпокъсаното прилагане на правилата на ЕС, недостатъчната подкрепа </w:t>
      </w:r>
      <w:r w:rsidRPr="008C49D7">
        <w:lastRenderedPageBreak/>
        <w:t>за цифровия и екологичния преход и голямата административна тежест за гражданите и предприятията, както и за насърчаването на икономическия растеж, социалното, икономическото и териториалното сближаване и културния обмен в рамките на ЕС; призовава за развитието на европейски интегриран капиталов пазар, както е предвидено в членове 26 и 63 от ДФЕС, чрез новосъздаден съюз на спестяванията и инвестициите въз основа на незавършения СКП; призовава за укрепване на Европейския орган за ценни книжа и пазари съгласно правното основание на член 114 от ДФЕС, за да се подобри сближаването на надзорните практики и трансграничната координация в рамките на съюза на спестяванията и инвестициите; отбелязва също така, че в доклада Лета се признава значението на икономическата мощ на единния пазар за глобалните и търговските амбиции на ЕС, включително в икономическите отношения със стратегическите партньори;</w:t>
      </w:r>
    </w:p>
    <w:p w14:paraId="7043206D" w14:textId="77777777" w:rsidR="00213FDD" w:rsidRPr="008C49D7" w:rsidRDefault="00213FDD" w:rsidP="00213FDD">
      <w:pPr>
        <w:pStyle w:val="NormalHanging12a"/>
      </w:pPr>
      <w:r w:rsidRPr="008C49D7">
        <w:t>17.</w:t>
      </w:r>
      <w:r w:rsidRPr="008C49D7">
        <w:tab/>
        <w:t>подкрепя добавянето на „пета свобода“ към съществуващите четири, както се предлага в доклада Лета, за да се подобрят научните изследвания, иновациите, знанията и образованието за изследователите, новаторите и работниците на единния пазар;</w:t>
      </w:r>
    </w:p>
    <w:p w14:paraId="5A3FE9A9" w14:textId="167AF969" w:rsidR="00213FDD" w:rsidRPr="008C49D7" w:rsidRDefault="00213FDD" w:rsidP="00213FDD">
      <w:pPr>
        <w:pStyle w:val="NormalHanging12a"/>
      </w:pPr>
      <w:r w:rsidRPr="008C49D7">
        <w:t>18.</w:t>
      </w:r>
      <w:r w:rsidRPr="008C49D7">
        <w:tab/>
        <w:t>призовава Комисията да гарантира, че бъдещите инициативи за укрепване на конкурентоспособността на ЕС и задълбочаване на единния пазар се основават на мерки за засилване на икономическото, социалното и териториалното сближаване, както е заложено в Договорите; подчертава, че институционалните механизми за равни възможности, солидарност и намаляване на неравенствата трябва да бъдат изцяло интегрирани в системата за управление на ЕС; отново призовава за укрепване на прилагането и мониторинга на Европейския стълб на социалните права чрез структурите за управление на ЕС, като по този начин социалният напредък бъде включен като основен елемент от процеса на вземане на решения в ЕС;</w:t>
      </w:r>
    </w:p>
    <w:p w14:paraId="60F3E02B" w14:textId="06BEFAF4" w:rsidR="00213FDD" w:rsidRPr="008C49D7" w:rsidRDefault="00213FDD" w:rsidP="00213FDD">
      <w:pPr>
        <w:pStyle w:val="NormalHanging12a"/>
      </w:pPr>
      <w:r w:rsidRPr="008C49D7">
        <w:t>19.</w:t>
      </w:r>
      <w:r w:rsidRPr="008C49D7">
        <w:tab/>
        <w:t xml:space="preserve">отново потвърждава, че целите на единния пазар следва да бъдат приведени в съответствие не само с правото на свободно движение, но и със „свободата на оставане“, както е посочено в доклада Лета; поради това призовава Комисията да възложи отговорността за „свободата на оставане“ на един от членовете на Комисията с портфейл, включващ политиката на сближаване и услугите от общ интерес, и – с цел да се гарантира, че политиките за „свободата на оставане“ са подходящо адаптирани към специфичните характеристики на даден регион и зачитат социално-икономическото и културното многообразие на регионите в ЕС – да установи структуриран и непрекъснат диалог между члена на Комисията и регионалните органи на държавите членки; признава, че насърчаването на развитието на инфраструктурата, изграждането на общности, създаването на работни места, достъпа до обществени услуги и подходяща среда за промишлеността и инвестициите е от съществено значение за отстояването на правото на хората да останат в своите региони и допринася за икономическото развитие и конкурентоспособността на ЕС; подчертава, че е важно политиката на сближаване да остане силна част от бюджета на ЕС, като се гарантира, че тя отговаря по-ефективно на специфичните нужди на регионите и градовете, включително чрез предоставяне на по-пряк достъп до фондовете на ЕС; подчертава необходимостта проектите по линия на политиката на сближаване да се изпълняват по-ефективно и видимо на място, като се постигат осезаеми резултати, които засилват чувството на гражданите за принадлежност и подкрепа за интеграцията в ЕС; </w:t>
      </w:r>
    </w:p>
    <w:p w14:paraId="06EBC16B" w14:textId="77777777" w:rsidR="00213FDD" w:rsidRPr="008C49D7" w:rsidRDefault="00213FDD" w:rsidP="00213FDD">
      <w:pPr>
        <w:pStyle w:val="NormalHanging12a"/>
        <w:rPr>
          <w:bCs/>
          <w:iCs/>
        </w:rPr>
      </w:pPr>
      <w:r w:rsidRPr="008C49D7">
        <w:lastRenderedPageBreak/>
        <w:t>20.</w:t>
      </w:r>
      <w:r w:rsidRPr="008C49D7">
        <w:tab/>
        <w:t xml:space="preserve">подчертава, че ЕС следва да действа по-ефективно в стратегически области, като допълва националните усилия, подкрепени от комбинация от собствени ресурси на ЕС и координирани вноски, и че подобни действия биха укрепили конкурентоспособността, иновациите, икономическата издръжливост, социалното и териториалното сближаване, екологичната и енергийната устойчивост и колективната сигурност на Европа; подчертава, с оглед на констатациите в доклада Драги, необходимостта от поддържане на открит и ориентиран към бъдещето дебат, като се вземат предвид поуките, извлечени от опита на </w:t>
      </w:r>
      <w:proofErr w:type="spellStart"/>
      <w:r w:rsidRPr="008C49D7">
        <w:t>NextGenerationEU</w:t>
      </w:r>
      <w:proofErr w:type="spellEnd"/>
      <w:r w:rsidRPr="008C49D7">
        <w:t>; подчертава значението на създаването на инвестиционни инструменти и инструменти на равнището на ЕС за финансиране на стратегически съвместни инвестиции в европейски обществени блага и услуги, както и значението на адаптирането на програмите за финансиране, за да се вземе предвид променящата се динамика на търговията и иновациите; подчертава, че истинските нови собствени ресурси на ЕС са от ключово значение, за да се даде възможност на Парламента и Съвета да приемат гъвкави бюджети, за да се даде възможност на ЕС да действа по-самостоятелно и да се намали зависимостта му от вноските от националните бюджети; подчертава например, че механизмът за корекция на въглеродните емисии на границите би могъл да се превърне в нов собствен ресурс на ЕС, ползващ се с високо равнище на подкрепа сред държавите членки; припомня позицията на Парламента в неговото предложение относно многогодишната финансова рамка за периода 2028 – 2034 г. във връзка с необходимостта да се излезе извън рамките на самоналоженото правило, според което размерът на дългосрочния бюджет на ЕС не трябва да надвишава 1% от съвкупния брутен национален продукт на държавите членки;</w:t>
      </w:r>
    </w:p>
    <w:p w14:paraId="1D67D9A6" w14:textId="77777777" w:rsidR="00213FDD" w:rsidRPr="008C49D7" w:rsidRDefault="00213FDD" w:rsidP="00213FDD">
      <w:pPr>
        <w:pStyle w:val="NormalHanging12a"/>
      </w:pPr>
      <w:r w:rsidRPr="008C49D7">
        <w:t>21.</w:t>
      </w:r>
      <w:r w:rsidRPr="008C49D7">
        <w:tab/>
        <w:t xml:space="preserve">подчертава, че с оглед на поддържането и повишаването на конкурентоспособността на ЕС в световен мащаб бюджетът на ЕС следва да бъде опростен, за да се намали ненужната административна тежест, да се улесни достъпът до средства за бенефициентите и да се постигне по-добре целта за засилване на икономическото, социалното и териториалното сближаване, като се гарантира, че финансирането достига до онези, които най-много се нуждаят от него, по-специално малките и средните предприятия, местните общности и участниците в социалната икономика, включително в селските, периферните или икономически </w:t>
      </w:r>
      <w:proofErr w:type="spellStart"/>
      <w:r w:rsidRPr="008C49D7">
        <w:t>необлагодетелстваните</w:t>
      </w:r>
      <w:proofErr w:type="spellEnd"/>
      <w:r w:rsidRPr="008C49D7">
        <w:t xml:space="preserve"> райони; припомня обаче, че усилията за опростяване не трябва да засягат основните принципи, залегнали в многогодишната финансова рамка на Съюза и нейните програми, нито да отслабват демократичния контрол върху тяхното изпълнение; подчертава, че опростяването трябва да бъде придружавано от силни гаранции за равен достъп, недискриминация и ефективна отчетност, като Парламентът гарантира демократичен контрол през целия цикъл на финансиране;</w:t>
      </w:r>
    </w:p>
    <w:p w14:paraId="34157C7D" w14:textId="77777777" w:rsidR="00213FDD" w:rsidRPr="008C49D7" w:rsidRDefault="00213FDD" w:rsidP="00213FDD">
      <w:pPr>
        <w:pStyle w:val="NormalHanging12a"/>
        <w:rPr>
          <w:bCs/>
          <w:iCs/>
        </w:rPr>
      </w:pPr>
      <w:r w:rsidRPr="008C49D7">
        <w:t>22.</w:t>
      </w:r>
      <w:r w:rsidRPr="008C49D7">
        <w:tab/>
        <w:t>подчертава, че постигането на целите на ЕС в областта на конкурентоспособността изисква включването на целите за неутралност по отношение на климата и устойчивост в институционалната и управленската рамка на ЕС; подчертава, че реформите трябва да зачитат разпоредбите на Договорите, включително член 194 от ДФЕС, и да подлежат на силна демократична легитимност чрез участието на Парламента в тяхното разработване, финансиране и надзор; подчертава, че е важно да се засили междуинституционалната координация и да се гарантира, че решенията в тази област подлежат на ефективен парламентарен контрол, като по този начин се укрепват демократичните основи на Съюза;</w:t>
      </w:r>
    </w:p>
    <w:p w14:paraId="37559051" w14:textId="77777777" w:rsidR="00213FDD" w:rsidRPr="008C49D7" w:rsidRDefault="00213FDD" w:rsidP="00213FDD">
      <w:pPr>
        <w:pStyle w:val="NormalHanging12a"/>
        <w:rPr>
          <w:bCs/>
          <w:iCs/>
        </w:rPr>
      </w:pPr>
      <w:r w:rsidRPr="008C49D7">
        <w:lastRenderedPageBreak/>
        <w:t>23.</w:t>
      </w:r>
      <w:r w:rsidRPr="008C49D7">
        <w:tab/>
        <w:t>призовава Комисията и държавите членки, с оглед на съществуващите геополитически предизвикателства, да създадат истински Европейски съюз за отбрана и да стимулират европейските промишлени инвестиции в областта на отбраната, по-специално чрез прибягване до истински европейски инструменти, с ново финансиране, съчетано с цялостна програма за отбрана, включително срещу хибридни атаки, като се гарантира, че планирането, развитието, възлагането на обществени поръчки и управлението на способностите се извършват съвместно в групи от значителен брой държави членки; призовава Комисията да подобри съгласуваността между съществуващите и бъдещите инструменти, включително на управленско равнище, за да се гарантира ефективен демократичен контрол на новия Съюз за отбрана; призовава ЕС да преодолее разпокъсаността на пазара, в съответствие с препоръките в докладите Драги, Лета и Ниенистьо, чрез създаване на единен пазар за отбрана, в който се прилагат задължителни общи правила; отбелязва, че тези общи правила биха гарантирали лоялна конкуренция и биха улеснили кръстосаното сертифициране на отбранителни продукти, като същевременно биха осигурили пълна оперативна съвместимост и взаимозаменяемост, биха довели до икономии от мащаба и биха подобрили капацитета и ресурсите; призовава Комисията и държавите членки да включат инвестициите в областта на отбраната в по-широка концепция за сигурност, която включва и общи европейски инициативи, по-специално европейски проекти в областта на отбраната от общ интерес, укрепване на критичната инфраструктура и прокарване на проекти за научноизследователска и развойна дейност и по този начин създаване и запазване на качествени работни места; призовава Европейския съвет да постигне съгласие относно задействането на член 42, параграф 2 от ДЕС с оглед на установяването на обща политика за отбрана на Съюза; подчертава, че новият Съюз за отбрана трябва да допълва, а не да заменя НАТО; отбелязва факта, че държавите членки започнаха постепенното определяне на европейската политика за отбрана, като същевременно създадоха Европейската агенция по отбрана (EDA) и поставиха начало на постоянно структурирано сътрудничество (ПСС); призовава държавите членки да продължат да работят по постепенното определяне на рамка за създаване на Европейски съюз за отбрана с обща отбрана; припомня, че създаването на началния фонд, EDA и ПСС, както и използването на бюджета на ЕС, се уреждат с гласуване с квалифицирано мнозинство; припомня, че съгласно член 44 от ДЕС група държави членки може също да реши да използва гласуване с квалифицирано мнозинство;</w:t>
      </w:r>
    </w:p>
    <w:p w14:paraId="688E4326" w14:textId="67AE12E4" w:rsidR="00213FDD" w:rsidRDefault="00213FDD" w:rsidP="00213FDD">
      <w:pPr>
        <w:pStyle w:val="NormalHanging12a"/>
      </w:pPr>
      <w:r w:rsidRPr="008C49D7">
        <w:t>24.</w:t>
      </w:r>
      <w:r w:rsidRPr="008C49D7">
        <w:tab/>
        <w:t xml:space="preserve">подчертава, че укрепването на управлението на ИИ трябва да се основава на прозрачност, защита на основните права и опазването на обществения интерес в съответствие с основания на правила подход на ЕС; призовава Комисията да засили ролята на съществуващата Европейска служба по ИИ; приветства плана за действие „континент на ИИ“ за разработването на „модел на ИИ“ на ЕС, основан на сътрудничеството между публични и частни участници; </w:t>
      </w:r>
    </w:p>
    <w:p w14:paraId="79B89D3C" w14:textId="3A750F34" w:rsidR="00FA587A" w:rsidRDefault="00FA587A" w:rsidP="00FA587A">
      <w:pPr>
        <w:pStyle w:val="NormalHanging12a"/>
        <w:ind w:left="0" w:firstLine="0"/>
        <w:jc w:val="center"/>
      </w:pPr>
      <w:r>
        <w:t>°</w:t>
      </w:r>
    </w:p>
    <w:p w14:paraId="0604A6B6" w14:textId="7B7C4BA3" w:rsidR="00FA587A" w:rsidRDefault="00FA587A" w:rsidP="00FA587A">
      <w:pPr>
        <w:pStyle w:val="NormalHanging12a"/>
        <w:ind w:left="0" w:firstLine="0"/>
        <w:jc w:val="center"/>
      </w:pPr>
      <w:r>
        <w:t>°     °</w:t>
      </w:r>
    </w:p>
    <w:p w14:paraId="0E673101" w14:textId="4B83D5F0" w:rsidR="00E365E1" w:rsidRPr="008C49D7" w:rsidRDefault="00213FDD" w:rsidP="008316AE">
      <w:pPr>
        <w:pStyle w:val="NormalHanging12a"/>
      </w:pPr>
      <w:r w:rsidRPr="008C49D7">
        <w:t>25.</w:t>
      </w:r>
      <w:r w:rsidRPr="008C49D7">
        <w:tab/>
        <w:t>възлага на своя председател да предаде настоящата резолюция съответно на Съвета, на Комисията, на Европейския съвет и на правителствата и парламентите на държавите членки.</w:t>
      </w:r>
    </w:p>
    <w:sectPr w:rsidR="00E365E1" w:rsidRPr="008C49D7" w:rsidSect="008C49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10159" w14:textId="77777777" w:rsidR="00F44FCA" w:rsidRPr="008C49D7" w:rsidRDefault="00F44FCA">
      <w:r w:rsidRPr="008C49D7">
        <w:separator/>
      </w:r>
    </w:p>
  </w:endnote>
  <w:endnote w:type="continuationSeparator" w:id="0">
    <w:p w14:paraId="5DA8E7F9" w14:textId="77777777" w:rsidR="00F44FCA" w:rsidRPr="008C49D7" w:rsidRDefault="00F44FCA">
      <w:r w:rsidRPr="008C4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473B" w14:textId="77777777" w:rsidR="00064002" w:rsidRPr="008C49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4458" w14:textId="77777777" w:rsidR="00064002" w:rsidRPr="008C49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6958" w14:textId="77777777" w:rsidR="00064002" w:rsidRPr="008C49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16427" w14:textId="77777777" w:rsidR="00F44FCA" w:rsidRPr="008C49D7" w:rsidRDefault="00F44FCA">
      <w:r w:rsidRPr="008C49D7">
        <w:separator/>
      </w:r>
    </w:p>
  </w:footnote>
  <w:footnote w:type="continuationSeparator" w:id="0">
    <w:p w14:paraId="65F31038" w14:textId="77777777" w:rsidR="00F44FCA" w:rsidRPr="008C49D7" w:rsidRDefault="00F44FCA">
      <w:r w:rsidRPr="008C49D7">
        <w:continuationSeparator/>
      </w:r>
    </w:p>
  </w:footnote>
  <w:footnote w:id="1">
    <w:p w14:paraId="2F1F928E" w14:textId="38E530E7"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ОВ C 465, 6.12.2022 г., стр. 109.</w:t>
      </w:r>
    </w:p>
  </w:footnote>
  <w:footnote w:id="2">
    <w:p w14:paraId="69462C66" w14:textId="35A8E3D7"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ОВ C 493, 27.12.2022 г., стр. 130.</w:t>
      </w:r>
    </w:p>
  </w:footnote>
  <w:footnote w:id="3">
    <w:p w14:paraId="44222497" w14:textId="5A4A31F2"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 xml:space="preserve">ОВ C, C/2024/4216, 24.7.2024 г., ELI: </w:t>
      </w:r>
      <w:r w:rsidR="00BE0BC0">
        <w:fldChar w:fldCharType="begin"/>
      </w:r>
      <w:r w:rsidR="00BE0BC0" w:rsidRPr="00BE0BC0">
        <w:rPr>
          <w:lang w:val="fi-FI"/>
        </w:rPr>
        <w:instrText>HYPERLINK "http://data.europa.eu/eli/C/2024/4216/oj"</w:instrText>
      </w:r>
      <w:r w:rsidR="00BE0BC0">
        <w:fldChar w:fldCharType="separate"/>
      </w:r>
      <w:r w:rsidRPr="008C49D7">
        <w:rPr>
          <w:rStyle w:val="Hyperlink"/>
          <w:sz w:val="24"/>
          <w:lang w:val="bg-BG"/>
        </w:rPr>
        <w:t>http://data.europa.eu/eli/C/2024/4216/oj</w:t>
      </w:r>
      <w:r w:rsidR="00BE0BC0">
        <w:rPr>
          <w:rStyle w:val="Hyperlink"/>
          <w:sz w:val="24"/>
          <w:lang w:val="bg-BG"/>
        </w:rPr>
        <w:fldChar w:fldCharType="end"/>
      </w:r>
      <w:r w:rsidRPr="008C49D7">
        <w:rPr>
          <w:sz w:val="24"/>
          <w:lang w:val="bg-BG"/>
        </w:rPr>
        <w:t>.</w:t>
      </w:r>
    </w:p>
  </w:footnote>
  <w:footnote w:id="4">
    <w:p w14:paraId="6CE27F08" w14:textId="01942A94"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 xml:space="preserve">ОВ C, C/2024/3996, 17.7.2024 г., ELI: </w:t>
      </w:r>
      <w:r w:rsidR="00BE0BC0">
        <w:fldChar w:fldCharType="begin"/>
      </w:r>
      <w:r w:rsidR="00BE0BC0" w:rsidRPr="00BE0BC0">
        <w:rPr>
          <w:lang w:val="fi-FI"/>
        </w:rPr>
        <w:instrText>HYPERLINK "http://data.europa.eu/eli/C/2024/3996/oj"</w:instrText>
      </w:r>
      <w:r w:rsidR="00BE0BC0">
        <w:fldChar w:fldCharType="separate"/>
      </w:r>
      <w:r w:rsidRPr="008C49D7">
        <w:rPr>
          <w:rStyle w:val="Hyperlink"/>
          <w:sz w:val="24"/>
          <w:lang w:val="bg-BG"/>
        </w:rPr>
        <w:t>http://data.europa.eu/eli/C/2024/3996/oj</w:t>
      </w:r>
      <w:r w:rsidR="00BE0BC0">
        <w:rPr>
          <w:rStyle w:val="Hyperlink"/>
          <w:sz w:val="24"/>
          <w:lang w:val="bg-BG"/>
        </w:rPr>
        <w:fldChar w:fldCharType="end"/>
      </w:r>
      <w:r w:rsidRPr="008C49D7">
        <w:rPr>
          <w:sz w:val="24"/>
          <w:lang w:val="bg-BG"/>
        </w:rPr>
        <w:t>.</w:t>
      </w:r>
    </w:p>
  </w:footnote>
  <w:footnote w:id="5">
    <w:p w14:paraId="48304F5D" w14:textId="1CA6BA5E"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Приети текстове, P10_TA(2025)0090.</w:t>
      </w:r>
    </w:p>
  </w:footnote>
  <w:footnote w:id="6">
    <w:p w14:paraId="00618D90" w14:textId="4DBFBEE4" w:rsidR="00213FDD" w:rsidRPr="008C49D7" w:rsidRDefault="00213FDD" w:rsidP="008C49D7">
      <w:pPr>
        <w:pStyle w:val="FootnoteText"/>
        <w:ind w:left="567" w:hanging="567"/>
        <w:rPr>
          <w:sz w:val="24"/>
          <w:lang w:val="bg-BG"/>
        </w:rPr>
      </w:pPr>
      <w:r w:rsidRPr="008C49D7">
        <w:rPr>
          <w:rStyle w:val="FootnoteReference"/>
          <w:sz w:val="24"/>
          <w:lang w:val="bg-BG"/>
        </w:rPr>
        <w:footnoteRef/>
      </w:r>
      <w:r w:rsidR="008C49D7" w:rsidRPr="008C49D7">
        <w:rPr>
          <w:sz w:val="24"/>
          <w:lang w:val="bg-BG"/>
        </w:rPr>
        <w:t xml:space="preserve"> </w:t>
      </w:r>
      <w:r w:rsidR="008C49D7" w:rsidRPr="008C49D7">
        <w:rPr>
          <w:sz w:val="24"/>
          <w:lang w:val="bg-BG"/>
        </w:rPr>
        <w:tab/>
      </w:r>
      <w:r w:rsidRPr="008C49D7">
        <w:rPr>
          <w:sz w:val="24"/>
          <w:lang w:val="bg-BG"/>
        </w:rPr>
        <w:t xml:space="preserve">OВ C, C/2025/3151, 20.6.2025 г., ELI: </w:t>
      </w:r>
      <w:r w:rsidR="00BE0BC0">
        <w:fldChar w:fldCharType="begin"/>
      </w:r>
      <w:r w:rsidR="00BE0BC0">
        <w:instrText>HYPERLINK</w:instrText>
      </w:r>
      <w:r w:rsidR="00BE0BC0" w:rsidRPr="00BE0BC0">
        <w:rPr>
          <w:lang w:val="ru-RU"/>
        </w:rPr>
        <w:instrText xml:space="preserve"> "</w:instrText>
      </w:r>
      <w:r w:rsidR="00BE0BC0">
        <w:instrText>http</w:instrText>
      </w:r>
      <w:r w:rsidR="00BE0BC0" w:rsidRPr="00BE0BC0">
        <w:rPr>
          <w:lang w:val="ru-RU"/>
        </w:rPr>
        <w:instrText>://</w:instrText>
      </w:r>
      <w:r w:rsidR="00BE0BC0">
        <w:instrText>data</w:instrText>
      </w:r>
      <w:r w:rsidR="00BE0BC0" w:rsidRPr="00BE0BC0">
        <w:rPr>
          <w:lang w:val="ru-RU"/>
        </w:rPr>
        <w:instrText>.</w:instrText>
      </w:r>
      <w:r w:rsidR="00BE0BC0">
        <w:instrText>europa</w:instrText>
      </w:r>
      <w:r w:rsidR="00BE0BC0" w:rsidRPr="00BE0BC0">
        <w:rPr>
          <w:lang w:val="ru-RU"/>
        </w:rPr>
        <w:instrText>.</w:instrText>
      </w:r>
      <w:r w:rsidR="00BE0BC0">
        <w:instrText>eu</w:instrText>
      </w:r>
      <w:r w:rsidR="00BE0BC0" w:rsidRPr="00BE0BC0">
        <w:rPr>
          <w:lang w:val="ru-RU"/>
        </w:rPr>
        <w:instrText>/</w:instrText>
      </w:r>
      <w:r w:rsidR="00BE0BC0">
        <w:instrText>eli</w:instrText>
      </w:r>
      <w:r w:rsidR="00BE0BC0" w:rsidRPr="00BE0BC0">
        <w:rPr>
          <w:lang w:val="ru-RU"/>
        </w:rPr>
        <w:instrText>/</w:instrText>
      </w:r>
      <w:r w:rsidR="00BE0BC0">
        <w:instrText>C</w:instrText>
      </w:r>
      <w:r w:rsidR="00BE0BC0" w:rsidRPr="00BE0BC0">
        <w:rPr>
          <w:lang w:val="ru-RU"/>
        </w:rPr>
        <w:instrText>/2025/3151/</w:instrText>
      </w:r>
      <w:r w:rsidR="00BE0BC0">
        <w:instrText>oj</w:instrText>
      </w:r>
      <w:r w:rsidR="00BE0BC0" w:rsidRPr="00BE0BC0">
        <w:rPr>
          <w:lang w:val="ru-RU"/>
        </w:rPr>
        <w:instrText>"</w:instrText>
      </w:r>
      <w:r w:rsidR="00BE0BC0">
        <w:fldChar w:fldCharType="separate"/>
      </w:r>
      <w:r w:rsidRPr="008C49D7">
        <w:rPr>
          <w:rStyle w:val="Hyperlink"/>
          <w:sz w:val="24"/>
          <w:lang w:val="bg-BG"/>
        </w:rPr>
        <w:t>http://data.europa.eu/eli/C/2025/3151/oj</w:t>
      </w:r>
      <w:r w:rsidR="00BE0BC0">
        <w:rPr>
          <w:rStyle w:val="Hyperlink"/>
          <w:sz w:val="24"/>
          <w:lang w:val="bg-BG"/>
        </w:rPr>
        <w:fldChar w:fldCharType="end"/>
      </w:r>
      <w:r w:rsidRPr="008C49D7">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70C8" w14:textId="77777777" w:rsidR="00064002" w:rsidRPr="008C49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E0E4" w14:textId="77777777" w:rsidR="00064002" w:rsidRPr="008C49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7CA8" w14:textId="77777777" w:rsidR="00064002" w:rsidRPr="008C49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2320849">
    <w:abstractNumId w:val="9"/>
  </w:num>
  <w:num w:numId="2" w16cid:durableId="579945634">
    <w:abstractNumId w:val="9"/>
  </w:num>
  <w:num w:numId="3" w16cid:durableId="2081318285">
    <w:abstractNumId w:val="7"/>
  </w:num>
  <w:num w:numId="4" w16cid:durableId="1175463972">
    <w:abstractNumId w:val="7"/>
  </w:num>
  <w:num w:numId="5" w16cid:durableId="1290666702">
    <w:abstractNumId w:val="6"/>
  </w:num>
  <w:num w:numId="6" w16cid:durableId="1879125873">
    <w:abstractNumId w:val="6"/>
  </w:num>
  <w:num w:numId="7" w16cid:durableId="1513103308">
    <w:abstractNumId w:val="5"/>
  </w:num>
  <w:num w:numId="8" w16cid:durableId="1180193665">
    <w:abstractNumId w:val="5"/>
  </w:num>
  <w:num w:numId="9" w16cid:durableId="615479340">
    <w:abstractNumId w:val="4"/>
  </w:num>
  <w:num w:numId="10" w16cid:durableId="1139374184">
    <w:abstractNumId w:val="4"/>
  </w:num>
  <w:num w:numId="11" w16cid:durableId="1115323853">
    <w:abstractNumId w:val="8"/>
  </w:num>
  <w:num w:numId="12" w16cid:durableId="1044216309">
    <w:abstractNumId w:val="8"/>
  </w:num>
  <w:num w:numId="13" w16cid:durableId="827524573">
    <w:abstractNumId w:val="3"/>
  </w:num>
  <w:num w:numId="14" w16cid:durableId="354700731">
    <w:abstractNumId w:val="3"/>
  </w:num>
  <w:num w:numId="15" w16cid:durableId="49232453">
    <w:abstractNumId w:val="2"/>
  </w:num>
  <w:num w:numId="16" w16cid:durableId="1775249366">
    <w:abstractNumId w:val="2"/>
  </w:num>
  <w:num w:numId="17" w16cid:durableId="98834701">
    <w:abstractNumId w:val="1"/>
  </w:num>
  <w:num w:numId="18" w16cid:durableId="1251351256">
    <w:abstractNumId w:val="1"/>
  </w:num>
  <w:num w:numId="19" w16cid:durableId="79450658">
    <w:abstractNumId w:val="0"/>
  </w:num>
  <w:num w:numId="20" w16cid:durableId="832142387">
    <w:abstractNumId w:val="0"/>
  </w:num>
  <w:num w:numId="21" w16cid:durableId="2070884283">
    <w:abstractNumId w:val="9"/>
  </w:num>
  <w:num w:numId="22" w16cid:durableId="871263760">
    <w:abstractNumId w:val="7"/>
  </w:num>
  <w:num w:numId="23" w16cid:durableId="1596940701">
    <w:abstractNumId w:val="6"/>
  </w:num>
  <w:num w:numId="24" w16cid:durableId="89473763">
    <w:abstractNumId w:val="5"/>
  </w:num>
  <w:num w:numId="25" w16cid:durableId="1381126690">
    <w:abstractNumId w:val="4"/>
  </w:num>
  <w:num w:numId="26" w16cid:durableId="392045723">
    <w:abstractNumId w:val="8"/>
  </w:num>
  <w:num w:numId="27" w16cid:durableId="433281171">
    <w:abstractNumId w:val="3"/>
  </w:num>
  <w:num w:numId="28" w16cid:durableId="809984032">
    <w:abstractNumId w:val="2"/>
  </w:num>
  <w:num w:numId="29" w16cid:durableId="1625236435">
    <w:abstractNumId w:val="1"/>
  </w:num>
  <w:num w:numId="30" w16cid:durableId="374349334">
    <w:abstractNumId w:val="0"/>
  </w:num>
  <w:num w:numId="31" w16cid:durableId="2016377043">
    <w:abstractNumId w:val="9"/>
  </w:num>
  <w:num w:numId="32" w16cid:durableId="69500659">
    <w:abstractNumId w:val="7"/>
  </w:num>
  <w:num w:numId="33" w16cid:durableId="379402324">
    <w:abstractNumId w:val="6"/>
  </w:num>
  <w:num w:numId="34" w16cid:durableId="620772068">
    <w:abstractNumId w:val="5"/>
  </w:num>
  <w:num w:numId="35" w16cid:durableId="562108797">
    <w:abstractNumId w:val="4"/>
  </w:num>
  <w:num w:numId="36" w16cid:durableId="357513632">
    <w:abstractNumId w:val="8"/>
  </w:num>
  <w:num w:numId="37" w16cid:durableId="1822767798">
    <w:abstractNumId w:val="3"/>
  </w:num>
  <w:num w:numId="38" w16cid:durableId="535044094">
    <w:abstractNumId w:val="2"/>
  </w:num>
  <w:num w:numId="39" w16cid:durableId="1252160706">
    <w:abstractNumId w:val="1"/>
  </w:num>
  <w:num w:numId="40" w16cid:durableId="1267888728">
    <w:abstractNumId w:val="0"/>
  </w:num>
  <w:num w:numId="41" w16cid:durableId="1961958229">
    <w:abstractNumId w:val="10"/>
  </w:num>
  <w:num w:numId="42" w16cid:durableId="658774014">
    <w:abstractNumId w:val="10"/>
  </w:num>
  <w:num w:numId="43" w16cid:durableId="2023122737">
    <w:abstractNumId w:val="10"/>
  </w:num>
  <w:num w:numId="44" w16cid:durableId="73817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BG"/>
    <w:docVar w:name="dvnumam" w:val="0"/>
    <w:docVar w:name="dvpe" w:val="770.278"/>
    <w:docVar w:name="dvrapporteur" w:val="Докладчик: "/>
    <w:docVar w:name="dvtitre" w:val="Резолюция на Европейския парламент от ... 2025 г. относно институционалните аспекти на Доклада за бъдещето на европейската конкурентоспособност (доклад на Марио Драги)(2025/2013(INI))"/>
  </w:docVars>
  <w:rsids>
    <w:rsidRoot w:val="00F44FCA"/>
    <w:rsid w:val="00002272"/>
    <w:rsid w:val="00064002"/>
    <w:rsid w:val="000677B9"/>
    <w:rsid w:val="000831BA"/>
    <w:rsid w:val="000A42CC"/>
    <w:rsid w:val="000E7DD9"/>
    <w:rsid w:val="0010095E"/>
    <w:rsid w:val="00125B37"/>
    <w:rsid w:val="00187494"/>
    <w:rsid w:val="001E24DF"/>
    <w:rsid w:val="001F32AE"/>
    <w:rsid w:val="00213FDD"/>
    <w:rsid w:val="002767FF"/>
    <w:rsid w:val="002B18FE"/>
    <w:rsid w:val="002B5493"/>
    <w:rsid w:val="003302F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BE4"/>
    <w:rsid w:val="006F74FA"/>
    <w:rsid w:val="00731ADD"/>
    <w:rsid w:val="00734777"/>
    <w:rsid w:val="00747932"/>
    <w:rsid w:val="00751A4A"/>
    <w:rsid w:val="00756632"/>
    <w:rsid w:val="00762C74"/>
    <w:rsid w:val="00786EC0"/>
    <w:rsid w:val="007D1690"/>
    <w:rsid w:val="007E22AD"/>
    <w:rsid w:val="00817416"/>
    <w:rsid w:val="008316AE"/>
    <w:rsid w:val="00842779"/>
    <w:rsid w:val="00865F67"/>
    <w:rsid w:val="00881A7B"/>
    <w:rsid w:val="008840E5"/>
    <w:rsid w:val="00887B3E"/>
    <w:rsid w:val="008C2AC6"/>
    <w:rsid w:val="008C49D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BE5"/>
    <w:rsid w:val="00BD48FE"/>
    <w:rsid w:val="00BD7BD8"/>
    <w:rsid w:val="00BE0BC0"/>
    <w:rsid w:val="00BE6ADC"/>
    <w:rsid w:val="00C05BFE"/>
    <w:rsid w:val="00C23CD4"/>
    <w:rsid w:val="00C61C0C"/>
    <w:rsid w:val="00C941CB"/>
    <w:rsid w:val="00CC2357"/>
    <w:rsid w:val="00CF071A"/>
    <w:rsid w:val="00D058B8"/>
    <w:rsid w:val="00D56C11"/>
    <w:rsid w:val="00D834A0"/>
    <w:rsid w:val="00D872DF"/>
    <w:rsid w:val="00D91E21"/>
    <w:rsid w:val="00DA7FCD"/>
    <w:rsid w:val="00E20B67"/>
    <w:rsid w:val="00E365E1"/>
    <w:rsid w:val="00E820A4"/>
    <w:rsid w:val="00EB006A"/>
    <w:rsid w:val="00EB4772"/>
    <w:rsid w:val="00ED169E"/>
    <w:rsid w:val="00ED4235"/>
    <w:rsid w:val="00F04346"/>
    <w:rsid w:val="00F075DC"/>
    <w:rsid w:val="00F149E9"/>
    <w:rsid w:val="00F44FCA"/>
    <w:rsid w:val="00F5134D"/>
    <w:rsid w:val="00F74202"/>
    <w:rsid w:val="00F87713"/>
    <w:rsid w:val="00FA58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1E6A1"/>
  <w15:chartTrackingRefBased/>
  <w15:docId w15:val="{B182DD8B-0B2C-4620-B9A0-DE28F5D0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3FDD"/>
    <w:pPr>
      <w:spacing w:before="480" w:after="240"/>
    </w:pPr>
    <w:rPr>
      <w:snapToGrid w:val="0"/>
      <w:lang w:eastAsia="en-US"/>
    </w:rPr>
  </w:style>
  <w:style w:type="paragraph" w:customStyle="1" w:styleId="NormalHanging12a">
    <w:name w:val="NormalHanging12a"/>
    <w:basedOn w:val="Normal"/>
    <w:rsid w:val="00213FDD"/>
    <w:pPr>
      <w:widowControl/>
      <w:spacing w:after="240"/>
      <w:ind w:left="567" w:hanging="567"/>
    </w:pPr>
    <w:rPr>
      <w:snapToGrid w:val="0"/>
      <w:lang w:eastAsia="en-US"/>
    </w:rPr>
  </w:style>
  <w:style w:type="character" w:customStyle="1" w:styleId="BoldItalic">
    <w:name w:val="BoldItalic"/>
    <w:uiPriority w:val="1"/>
    <w:rsid w:val="00213FDD"/>
    <w:rPr>
      <w:b/>
      <w:i/>
      <w:u w:val="none"/>
    </w:rPr>
  </w:style>
  <w:style w:type="character" w:customStyle="1" w:styleId="Italic">
    <w:name w:val="Italic"/>
    <w:uiPriority w:val="1"/>
    <w:rsid w:val="00213FDD"/>
    <w:rPr>
      <w:i/>
    </w:rPr>
  </w:style>
  <w:style w:type="paragraph" w:customStyle="1" w:styleId="Normal12a24b">
    <w:name w:val="Normal12a24b"/>
    <w:basedOn w:val="Normal"/>
    <w:rsid w:val="00213FDD"/>
    <w:pPr>
      <w:spacing w:before="360" w:after="240"/>
    </w:pPr>
    <w:rPr>
      <w:snapToGrid w:val="0"/>
      <w:lang w:eastAsia="en-US"/>
    </w:rPr>
  </w:style>
  <w:style w:type="character" w:styleId="Hyperlink">
    <w:name w:val="Hyperlink"/>
    <w:basedOn w:val="DefaultParagraphFont"/>
    <w:rsid w:val="00213FDD"/>
    <w:rPr>
      <w:color w:val="0000FF"/>
      <w:u w:val="single"/>
    </w:rPr>
  </w:style>
  <w:style w:type="paragraph" w:styleId="Revision">
    <w:name w:val="Revision"/>
    <w:hidden/>
    <w:uiPriority w:val="99"/>
    <w:semiHidden/>
    <w:rsid w:val="008316A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4746</Words>
  <Characters>28511</Characters>
  <Application>Microsoft Office Word</Application>
  <DocSecurity>0</DocSecurity>
  <Lines>1583</Lines>
  <Paragraphs>898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2026-01-20T10:38:00Z</dcterms:created>
  <dcterms:modified xsi:type="dcterms:W3CDTF">2026-01-20T10:38:00Z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A10-0196/2025</vt:lpwstr>
  </property>
  <property fmtid="{D5CDD505-2E9C-101B-9397-08002B2CF9AE}" pid="4" name="&lt;Type&gt;">
    <vt:lpwstr>RR</vt:lpwstr>
  </property>
</Properties>
</file>