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3D2A" w14:paraId="3E752B1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2E50A94" w14:textId="77777777" w:rsidR="00751A4A" w:rsidRPr="00BA3D2A" w:rsidRDefault="00FA1225" w:rsidP="0010095E">
            <w:pPr>
              <w:pStyle w:val="EPName"/>
            </w:pPr>
            <w:r w:rsidRPr="00BA3D2A">
              <w:t>Evropský parlament</w:t>
            </w:r>
          </w:p>
          <w:p w14:paraId="27D38A70" w14:textId="77777777" w:rsidR="00751A4A" w:rsidRPr="00BA3D2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3D2A">
              <w:t>2024</w:t>
            </w:r>
            <w:r w:rsidR="00817416" w:rsidRPr="00BA3D2A">
              <w:t>-202</w:t>
            </w:r>
            <w:r w:rsidRPr="00BA3D2A">
              <w:t>9</w:t>
            </w:r>
          </w:p>
        </w:tc>
        <w:tc>
          <w:tcPr>
            <w:tcW w:w="2268" w:type="dxa"/>
            <w:shd w:val="clear" w:color="auto" w:fill="auto"/>
          </w:tcPr>
          <w:p w14:paraId="7972A6C7" w14:textId="77777777" w:rsidR="00751A4A" w:rsidRPr="00BA3D2A" w:rsidRDefault="00187494" w:rsidP="0010095E">
            <w:pPr>
              <w:pStyle w:val="EPLogo"/>
            </w:pPr>
            <w:r w:rsidRPr="00BA3D2A">
              <w:rPr>
                <w:noProof/>
                <w:lang w:eastAsia="ja-JP"/>
              </w:rPr>
              <w:drawing>
                <wp:inline distT="0" distB="0" distL="0" distR="0" wp14:anchorId="38758B3B" wp14:editId="106B1DB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01C793" w14:textId="77777777" w:rsidR="00D058B8" w:rsidRPr="00BA3D2A" w:rsidRDefault="00D058B8" w:rsidP="004C5D52">
      <w:pPr>
        <w:pStyle w:val="LineTop"/>
      </w:pPr>
    </w:p>
    <w:p w14:paraId="4F52262C" w14:textId="77777777" w:rsidR="00680577" w:rsidRPr="00BA3D2A" w:rsidRDefault="00FA1225" w:rsidP="00680577">
      <w:pPr>
        <w:pStyle w:val="EPBodyTA1"/>
      </w:pPr>
      <w:r w:rsidRPr="00BA3D2A">
        <w:t>PŘIJATÉ TEXTY</w:t>
      </w:r>
    </w:p>
    <w:p w14:paraId="1D8F42AC" w14:textId="77777777" w:rsidR="00D058B8" w:rsidRPr="00BA3D2A" w:rsidRDefault="00D058B8" w:rsidP="00D058B8">
      <w:pPr>
        <w:pStyle w:val="LineBottom"/>
      </w:pPr>
    </w:p>
    <w:p w14:paraId="1BFD8E6A" w14:textId="23656EFD" w:rsidR="00FA1225" w:rsidRPr="00BA3D2A" w:rsidRDefault="00FA1225" w:rsidP="00FA1225">
      <w:pPr>
        <w:pStyle w:val="ATHeading1"/>
      </w:pPr>
      <w:bookmarkStart w:id="0" w:name="TANumber"/>
      <w:r w:rsidRPr="00BA3D2A">
        <w:t>P10_</w:t>
      </w:r>
      <w:proofErr w:type="gramStart"/>
      <w:r w:rsidRPr="00BA3D2A">
        <w:t>TA(</w:t>
      </w:r>
      <w:proofErr w:type="gramEnd"/>
      <w:r w:rsidRPr="00BA3D2A">
        <w:t>2025)0</w:t>
      </w:r>
      <w:r w:rsidR="00FE6217">
        <w:t>285</w:t>
      </w:r>
      <w:bookmarkEnd w:id="0"/>
    </w:p>
    <w:p w14:paraId="694D2863" w14:textId="77777777" w:rsidR="00FA1225" w:rsidRPr="00BA3D2A" w:rsidRDefault="00FA1225" w:rsidP="00FA1225">
      <w:pPr>
        <w:pStyle w:val="ATHeading2"/>
      </w:pPr>
      <w:bookmarkStart w:id="1" w:name="title"/>
      <w:r w:rsidRPr="00BA3D2A">
        <w:t>Institucionální aspekty zprávy o budoucnosti evropské konkurenceschopnosti (</w:t>
      </w:r>
      <w:proofErr w:type="spellStart"/>
      <w:r w:rsidRPr="00BA3D2A">
        <w:t>Draghiho</w:t>
      </w:r>
      <w:proofErr w:type="spellEnd"/>
      <w:r w:rsidRPr="00BA3D2A">
        <w:t xml:space="preserve"> zpráva)</w:t>
      </w:r>
      <w:bookmarkEnd w:id="1"/>
    </w:p>
    <w:p w14:paraId="50133A6D" w14:textId="77777777" w:rsidR="00FA1225" w:rsidRPr="00BA3D2A" w:rsidRDefault="00FA1225" w:rsidP="00FA1225">
      <w:pPr>
        <w:rPr>
          <w:i/>
          <w:vanish/>
        </w:rPr>
      </w:pPr>
      <w:r w:rsidRPr="00BA3D2A">
        <w:rPr>
          <w:i/>
        </w:rPr>
        <w:fldChar w:fldCharType="begin"/>
      </w:r>
      <w:r w:rsidRPr="00BA3D2A">
        <w:rPr>
          <w:i/>
        </w:rPr>
        <w:instrText xml:space="preserve"> TC"(</w:instrText>
      </w:r>
      <w:bookmarkStart w:id="2" w:name="DocNumber"/>
      <w:r w:rsidRPr="00BA3D2A">
        <w:rPr>
          <w:i/>
        </w:rPr>
        <w:instrText>A10-0196/2025</w:instrText>
      </w:r>
      <w:bookmarkEnd w:id="2"/>
      <w:r w:rsidRPr="00BA3D2A">
        <w:rPr>
          <w:i/>
        </w:rPr>
        <w:instrText xml:space="preserve"> - Zpravodaj: Brando </w:instrText>
      </w:r>
      <w:proofErr w:type="spellStart"/>
      <w:r w:rsidRPr="00BA3D2A">
        <w:rPr>
          <w:i/>
        </w:rPr>
        <w:instrText>Benifei</w:instrText>
      </w:r>
      <w:proofErr w:type="spellEnd"/>
      <w:r w:rsidRPr="00BA3D2A">
        <w:rPr>
          <w:i/>
        </w:rPr>
        <w:instrText xml:space="preserve">)"\l3 \n&gt; \* MERGEFORMAT </w:instrText>
      </w:r>
      <w:r w:rsidRPr="00BA3D2A">
        <w:rPr>
          <w:i/>
        </w:rPr>
        <w:fldChar w:fldCharType="end"/>
      </w:r>
    </w:p>
    <w:p w14:paraId="0CB546FC" w14:textId="77777777" w:rsidR="00FA1225" w:rsidRPr="00BA3D2A" w:rsidRDefault="00FA1225" w:rsidP="00FA1225">
      <w:pPr>
        <w:rPr>
          <w:vanish/>
        </w:rPr>
      </w:pPr>
      <w:bookmarkStart w:id="3" w:name="Commission"/>
      <w:r w:rsidRPr="00BA3D2A">
        <w:rPr>
          <w:vanish/>
        </w:rPr>
        <w:t>Výbor pro ústavní záležitosti</w:t>
      </w:r>
      <w:bookmarkEnd w:id="3"/>
    </w:p>
    <w:p w14:paraId="2170EDCB" w14:textId="77777777" w:rsidR="00FA1225" w:rsidRPr="00BA3D2A" w:rsidRDefault="00FA1225" w:rsidP="00FA1225">
      <w:pPr>
        <w:rPr>
          <w:vanish/>
        </w:rPr>
      </w:pPr>
      <w:bookmarkStart w:id="4" w:name="PE"/>
      <w:r w:rsidRPr="00BA3D2A">
        <w:rPr>
          <w:vanish/>
        </w:rPr>
        <w:t>PE770.278</w:t>
      </w:r>
      <w:bookmarkEnd w:id="4"/>
    </w:p>
    <w:p w14:paraId="045F39B9" w14:textId="77777777" w:rsidR="00FA1225" w:rsidRPr="00BA3D2A" w:rsidRDefault="00FA1225" w:rsidP="00FA1225">
      <w:pPr>
        <w:pStyle w:val="ATHeading3"/>
      </w:pPr>
      <w:bookmarkStart w:id="5" w:name="Sujet"/>
      <w:r w:rsidRPr="00BA3D2A">
        <w:t>Usnesení Evropského parlamentu ze dne 25. listopadu 2025 o institucionálních aspektech zprávy o budoucnosti evropské konkurenceschopnosti (</w:t>
      </w:r>
      <w:proofErr w:type="spellStart"/>
      <w:r w:rsidRPr="00BA3D2A">
        <w:t>Draghiho</w:t>
      </w:r>
      <w:proofErr w:type="spellEnd"/>
      <w:r w:rsidRPr="00BA3D2A">
        <w:t xml:space="preserve"> zpráva)</w:t>
      </w:r>
      <w:bookmarkEnd w:id="5"/>
      <w:r w:rsidRPr="00BA3D2A">
        <w:t xml:space="preserve"> </w:t>
      </w:r>
      <w:bookmarkStart w:id="6" w:name="References"/>
      <w:r w:rsidRPr="00BA3D2A">
        <w:t>(2025/2013(INI))</w:t>
      </w:r>
      <w:bookmarkEnd w:id="6"/>
    </w:p>
    <w:p w14:paraId="02ABECCB" w14:textId="77777777" w:rsidR="00381CD5" w:rsidRPr="00BA3D2A" w:rsidRDefault="00381CD5" w:rsidP="00381CD5">
      <w:pPr>
        <w:pStyle w:val="EPComma"/>
      </w:pPr>
      <w:r w:rsidRPr="00BA3D2A">
        <w:rPr>
          <w:rStyle w:val="Italic"/>
        </w:rPr>
        <w:t>Evropský parlament</w:t>
      </w:r>
      <w:r w:rsidRPr="00BA3D2A">
        <w:t>,</w:t>
      </w:r>
    </w:p>
    <w:p w14:paraId="18A7D65B" w14:textId="77777777" w:rsidR="00381CD5" w:rsidRPr="00E31FAA" w:rsidRDefault="00381CD5" w:rsidP="00E31FAA">
      <w:pPr>
        <w:pStyle w:val="NormalHanging12a"/>
        <w:rPr>
          <w:szCs w:val="24"/>
        </w:rPr>
      </w:pPr>
      <w:r w:rsidRPr="00BA3D2A">
        <w:t>–</w:t>
      </w:r>
      <w:r w:rsidRPr="00BA3D2A">
        <w:tab/>
      </w:r>
      <w:r w:rsidRPr="00E31FAA">
        <w:rPr>
          <w:szCs w:val="24"/>
        </w:rPr>
        <w:t xml:space="preserve">s ohledem na zprávu Maria </w:t>
      </w:r>
      <w:proofErr w:type="spellStart"/>
      <w:r w:rsidRPr="00E31FAA">
        <w:rPr>
          <w:szCs w:val="24"/>
        </w:rPr>
        <w:t>Draghiho</w:t>
      </w:r>
      <w:proofErr w:type="spellEnd"/>
      <w:r w:rsidRPr="00E31FAA">
        <w:rPr>
          <w:szCs w:val="24"/>
        </w:rPr>
        <w:t xml:space="preserve"> ze dne 9. září 2024 s názvem „Budoucnost evropské konkurenceschopnosti“ (</w:t>
      </w:r>
      <w:proofErr w:type="spellStart"/>
      <w:r w:rsidRPr="00E31FAA">
        <w:rPr>
          <w:szCs w:val="24"/>
        </w:rPr>
        <w:t>Draghiho</w:t>
      </w:r>
      <w:proofErr w:type="spellEnd"/>
      <w:r w:rsidRPr="00E31FAA">
        <w:rPr>
          <w:szCs w:val="24"/>
        </w:rPr>
        <w:t xml:space="preserve"> zpráva),</w:t>
      </w:r>
    </w:p>
    <w:p w14:paraId="79D713C9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–</w:t>
      </w:r>
      <w:r w:rsidRPr="00E31FAA">
        <w:rPr>
          <w:szCs w:val="24"/>
        </w:rPr>
        <w:tab/>
        <w:t xml:space="preserve">s ohledem na projev Maria </w:t>
      </w:r>
      <w:proofErr w:type="spellStart"/>
      <w:r w:rsidRPr="00E31FAA">
        <w:rPr>
          <w:szCs w:val="24"/>
        </w:rPr>
        <w:t>Draghiho</w:t>
      </w:r>
      <w:proofErr w:type="spellEnd"/>
      <w:r w:rsidRPr="00E31FAA">
        <w:rPr>
          <w:szCs w:val="24"/>
        </w:rPr>
        <w:t xml:space="preserve"> přednesený při předložení </w:t>
      </w:r>
      <w:proofErr w:type="spellStart"/>
      <w:r w:rsidRPr="00E31FAA">
        <w:rPr>
          <w:szCs w:val="24"/>
        </w:rPr>
        <w:t>Draghiho</w:t>
      </w:r>
      <w:proofErr w:type="spellEnd"/>
      <w:r w:rsidRPr="00E31FAA">
        <w:rPr>
          <w:szCs w:val="24"/>
        </w:rPr>
        <w:t xml:space="preserve"> zprávy Evropskému parlamentu dne 17. září 2024,</w:t>
      </w:r>
    </w:p>
    <w:p w14:paraId="4B1EF5BD" w14:textId="085A1843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–</w:t>
      </w:r>
      <w:r w:rsidRPr="00E31FAA">
        <w:rPr>
          <w:szCs w:val="24"/>
        </w:rPr>
        <w:tab/>
        <w:t xml:space="preserve">s ohledem na zprávu Enrica </w:t>
      </w:r>
      <w:proofErr w:type="spellStart"/>
      <w:r w:rsidRPr="00E31FAA">
        <w:rPr>
          <w:szCs w:val="24"/>
        </w:rPr>
        <w:t>Letty</w:t>
      </w:r>
      <w:proofErr w:type="spellEnd"/>
      <w:r w:rsidRPr="00E31FAA">
        <w:rPr>
          <w:szCs w:val="24"/>
        </w:rPr>
        <w:t xml:space="preserve"> ze dne 17. dubna 2024 </w:t>
      </w:r>
      <w:r w:rsidR="00EF58F7">
        <w:rPr>
          <w:szCs w:val="24"/>
        </w:rPr>
        <w:t>nazvanou</w:t>
      </w:r>
      <w:r w:rsidRPr="00E31FAA">
        <w:rPr>
          <w:szCs w:val="24"/>
        </w:rPr>
        <w:t xml:space="preserve"> „Mnohem více než jen trh“ (</w:t>
      </w:r>
      <w:proofErr w:type="spellStart"/>
      <w:r w:rsidRPr="00E31FAA">
        <w:rPr>
          <w:szCs w:val="24"/>
        </w:rPr>
        <w:t>Lettova</w:t>
      </w:r>
      <w:proofErr w:type="spellEnd"/>
      <w:r w:rsidRPr="00E31FAA">
        <w:rPr>
          <w:szCs w:val="24"/>
        </w:rPr>
        <w:t xml:space="preserve"> zpráva),</w:t>
      </w:r>
    </w:p>
    <w:p w14:paraId="7DC626E7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–</w:t>
      </w:r>
      <w:r w:rsidRPr="00E31FAA">
        <w:rPr>
          <w:szCs w:val="24"/>
        </w:rPr>
        <w:tab/>
        <w:t>s ohledem na sdělení Komise ze dne 29. ledna 2025 nazvané „Kompas konkurenceschopnosti pro EU“ (</w:t>
      </w:r>
      <w:hyperlink r:id="rId9" w:history="1">
        <w:proofErr w:type="gramStart"/>
        <w:r w:rsidRPr="00614CC8">
          <w:rPr>
            <w:rStyle w:val="Hyperlink"/>
            <w:color w:val="auto"/>
            <w:szCs w:val="24"/>
            <w:u w:val="none"/>
          </w:rPr>
          <w:t>COM(</w:t>
        </w:r>
        <w:proofErr w:type="gramEnd"/>
        <w:r w:rsidRPr="00614CC8">
          <w:rPr>
            <w:rStyle w:val="Hyperlink"/>
            <w:color w:val="auto"/>
            <w:szCs w:val="24"/>
            <w:u w:val="none"/>
          </w:rPr>
          <w:t>2025)0030</w:t>
        </w:r>
      </w:hyperlink>
      <w:r w:rsidRPr="00E31FAA">
        <w:rPr>
          <w:szCs w:val="24"/>
        </w:rPr>
        <w:t>),</w:t>
      </w:r>
    </w:p>
    <w:p w14:paraId="35CF648E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–</w:t>
      </w:r>
      <w:r w:rsidRPr="00E31FAA">
        <w:rPr>
          <w:szCs w:val="24"/>
        </w:rPr>
        <w:tab/>
        <w:t>s ohledem na sdělení Komise ze dne 11. února 2025 nazvané „Cesta k příštímu víceletému finančnímu rámci“ (</w:t>
      </w:r>
      <w:hyperlink r:id="rId10" w:history="1">
        <w:proofErr w:type="gramStart"/>
        <w:r w:rsidRPr="00614CC8">
          <w:rPr>
            <w:rStyle w:val="Hyperlink"/>
            <w:color w:val="auto"/>
            <w:szCs w:val="24"/>
            <w:u w:val="none"/>
          </w:rPr>
          <w:t>COM(</w:t>
        </w:r>
        <w:proofErr w:type="gramEnd"/>
        <w:r w:rsidRPr="00614CC8">
          <w:rPr>
            <w:rStyle w:val="Hyperlink"/>
            <w:color w:val="auto"/>
            <w:szCs w:val="24"/>
            <w:u w:val="none"/>
          </w:rPr>
          <w:t>2025)0046</w:t>
        </w:r>
      </w:hyperlink>
      <w:r w:rsidRPr="00E31FAA">
        <w:rPr>
          <w:szCs w:val="24"/>
        </w:rPr>
        <w:t>),</w:t>
      </w:r>
    </w:p>
    <w:p w14:paraId="70516025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–</w:t>
      </w:r>
      <w:r w:rsidRPr="00E31FAA">
        <w:rPr>
          <w:szCs w:val="24"/>
        </w:rPr>
        <w:tab/>
        <w:t xml:space="preserve">s ohledem na sdělení Komise ze dne 19. března 2025 nazvané „Unie úspor a investic – strategie na podporu bohatství občanů a hospodářské konkurenceschopnosti v EU“ </w:t>
      </w:r>
      <w:hyperlink r:id="rId11" w:history="1">
        <w:r w:rsidRPr="00614CC8">
          <w:rPr>
            <w:rStyle w:val="Hyperlink"/>
            <w:color w:val="auto"/>
            <w:szCs w:val="24"/>
          </w:rPr>
          <w:t>(</w:t>
        </w:r>
        <w:proofErr w:type="gramStart"/>
        <w:r w:rsidRPr="00614CC8">
          <w:rPr>
            <w:rStyle w:val="Hyperlink"/>
            <w:color w:val="auto"/>
            <w:szCs w:val="24"/>
            <w:u w:val="none"/>
          </w:rPr>
          <w:t>COM(</w:t>
        </w:r>
        <w:proofErr w:type="gramEnd"/>
        <w:r w:rsidRPr="00614CC8">
          <w:rPr>
            <w:rStyle w:val="Hyperlink"/>
            <w:color w:val="auto"/>
            <w:szCs w:val="24"/>
            <w:u w:val="none"/>
          </w:rPr>
          <w:t>2025)0124</w:t>
        </w:r>
      </w:hyperlink>
      <w:r w:rsidRPr="00E31FAA">
        <w:rPr>
          <w:szCs w:val="24"/>
        </w:rPr>
        <w:t>),</w:t>
      </w:r>
    </w:p>
    <w:p w14:paraId="7CE24CFF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–</w:t>
      </w:r>
      <w:r w:rsidRPr="00E31FAA">
        <w:rPr>
          <w:szCs w:val="24"/>
        </w:rPr>
        <w:tab/>
        <w:t xml:space="preserve">s ohledem na zprávu ze dne 30. října 2024, kterou vypracoval </w:t>
      </w:r>
      <w:proofErr w:type="spellStart"/>
      <w:r w:rsidRPr="00E31FAA">
        <w:rPr>
          <w:szCs w:val="24"/>
        </w:rPr>
        <w:t>Sauli</w:t>
      </w:r>
      <w:proofErr w:type="spellEnd"/>
      <w:r w:rsidRPr="00E31FAA">
        <w:rPr>
          <w:szCs w:val="24"/>
        </w:rPr>
        <w:t xml:space="preserve"> </w:t>
      </w:r>
      <w:proofErr w:type="spellStart"/>
      <w:r w:rsidRPr="00E31FAA">
        <w:rPr>
          <w:szCs w:val="24"/>
        </w:rPr>
        <w:t>Niinistö</w:t>
      </w:r>
      <w:proofErr w:type="spellEnd"/>
      <w:r w:rsidRPr="00E31FAA">
        <w:rPr>
          <w:szCs w:val="24"/>
        </w:rPr>
        <w:t xml:space="preserve"> pod názvem „Společně bezpečnější – posílení civilní a vojenské pohotovosti a připravenosti Evropy“ (</w:t>
      </w:r>
      <w:proofErr w:type="spellStart"/>
      <w:r w:rsidRPr="00E31FAA">
        <w:rPr>
          <w:szCs w:val="24"/>
        </w:rPr>
        <w:t>Niinistöva</w:t>
      </w:r>
      <w:proofErr w:type="spellEnd"/>
      <w:r w:rsidRPr="00E31FAA">
        <w:rPr>
          <w:szCs w:val="24"/>
        </w:rPr>
        <w:t xml:space="preserve"> zpráva),</w:t>
      </w:r>
    </w:p>
    <w:p w14:paraId="10B0BFA9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–</w:t>
      </w:r>
      <w:r w:rsidRPr="00E31FAA">
        <w:rPr>
          <w:szCs w:val="24"/>
        </w:rPr>
        <w:tab/>
        <w:t>s ohledem na zprávu ze dne 9. května 2022 o </w:t>
      </w:r>
      <w:proofErr w:type="gramStart"/>
      <w:r w:rsidRPr="00E31FAA">
        <w:rPr>
          <w:szCs w:val="24"/>
        </w:rPr>
        <w:t>konečných závěrech</w:t>
      </w:r>
      <w:proofErr w:type="gramEnd"/>
      <w:r w:rsidRPr="00E31FAA">
        <w:rPr>
          <w:szCs w:val="24"/>
        </w:rPr>
        <w:t xml:space="preserve"> Konference o budoucnosti Evropy,</w:t>
      </w:r>
    </w:p>
    <w:p w14:paraId="67B574F5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lastRenderedPageBreak/>
        <w:t>–</w:t>
      </w:r>
      <w:r w:rsidRPr="00E31FAA">
        <w:rPr>
          <w:szCs w:val="24"/>
        </w:rPr>
        <w:tab/>
        <w:t>s ohledem na své usnesení ze dne 4. května 2022 o opatřeních v návaznosti na Konferenci o budoucnosti Evropy</w:t>
      </w:r>
      <w:r w:rsidRPr="00E31FAA">
        <w:rPr>
          <w:rStyle w:val="FootnoteReference"/>
          <w:szCs w:val="24"/>
        </w:rPr>
        <w:footnoteReference w:id="1"/>
      </w:r>
      <w:r w:rsidRPr="00E31FAA">
        <w:rPr>
          <w:szCs w:val="24"/>
        </w:rPr>
        <w:t>,</w:t>
      </w:r>
    </w:p>
    <w:p w14:paraId="3754CE8B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–</w:t>
      </w:r>
      <w:r w:rsidRPr="00E31FAA">
        <w:rPr>
          <w:szCs w:val="24"/>
        </w:rPr>
        <w:tab/>
        <w:t>s ohledem na své usnesení ze dne 9. června 2022 o výzvě ke svolání konventu k revizi Smluv</w:t>
      </w:r>
      <w:r w:rsidRPr="00E31FAA">
        <w:rPr>
          <w:rStyle w:val="FootnoteReference"/>
          <w:szCs w:val="24"/>
        </w:rPr>
        <w:footnoteReference w:id="2"/>
      </w:r>
      <w:r w:rsidRPr="00E31FAA">
        <w:rPr>
          <w:szCs w:val="24"/>
        </w:rPr>
        <w:t>,</w:t>
      </w:r>
    </w:p>
    <w:p w14:paraId="4B8487C8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–</w:t>
      </w:r>
      <w:r w:rsidRPr="00E31FAA">
        <w:rPr>
          <w:szCs w:val="24"/>
        </w:rPr>
        <w:tab/>
        <w:t>s ohledem na své usnesení ze dne 22. listopadu 2023 k návrhům Evropského parlamentu na změnu Smluv</w:t>
      </w:r>
      <w:r w:rsidRPr="00E31FAA">
        <w:rPr>
          <w:rStyle w:val="FootnoteReference"/>
          <w:szCs w:val="24"/>
        </w:rPr>
        <w:footnoteReference w:id="3"/>
      </w:r>
      <w:r w:rsidRPr="00E31FAA">
        <w:rPr>
          <w:szCs w:val="24"/>
        </w:rPr>
        <w:t>,</w:t>
      </w:r>
    </w:p>
    <w:p w14:paraId="3659E2F7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–</w:t>
      </w:r>
      <w:r w:rsidRPr="00E31FAA">
        <w:rPr>
          <w:szCs w:val="24"/>
        </w:rPr>
        <w:tab/>
        <w:t xml:space="preserve">s ohledem na své usnesení ze dne 11. července 2023 o provádění </w:t>
      </w:r>
      <w:r w:rsidRPr="00E31FAA">
        <w:rPr>
          <w:rStyle w:val="Italic"/>
          <w:iCs/>
          <w:szCs w:val="24"/>
        </w:rPr>
        <w:t>překlenovacích</w:t>
      </w:r>
      <w:r w:rsidRPr="00E31FAA">
        <w:rPr>
          <w:szCs w:val="24"/>
        </w:rPr>
        <w:t xml:space="preserve"> ustanovení ve Smlouvách EU</w:t>
      </w:r>
      <w:r w:rsidRPr="00E31FAA">
        <w:rPr>
          <w:rStyle w:val="FootnoteReference"/>
          <w:szCs w:val="24"/>
        </w:rPr>
        <w:footnoteReference w:id="4"/>
      </w:r>
      <w:r w:rsidRPr="00E31FAA">
        <w:rPr>
          <w:szCs w:val="24"/>
        </w:rPr>
        <w:t>,</w:t>
      </w:r>
    </w:p>
    <w:p w14:paraId="3164F95E" w14:textId="77777777" w:rsidR="00381CD5" w:rsidRPr="00E31FAA" w:rsidRDefault="00381CD5" w:rsidP="00E31FAA">
      <w:pPr>
        <w:pStyle w:val="NormalHanging12a"/>
        <w:rPr>
          <w:bCs/>
          <w:iCs/>
          <w:szCs w:val="24"/>
        </w:rPr>
      </w:pPr>
      <w:r w:rsidRPr="00E31FAA">
        <w:rPr>
          <w:szCs w:val="24"/>
        </w:rPr>
        <w:t>–</w:t>
      </w:r>
      <w:r w:rsidRPr="00E31FAA">
        <w:rPr>
          <w:szCs w:val="24"/>
        </w:rPr>
        <w:tab/>
        <w:t>s ohledem na své usnesení ze dne 7. května 2025 o přepracovaném dlouhodobém rozpočtu Unie v měnícím se světě</w:t>
      </w:r>
      <w:r w:rsidRPr="00E31FAA">
        <w:rPr>
          <w:rStyle w:val="FootnoteReference"/>
          <w:bCs/>
          <w:iCs/>
          <w:szCs w:val="24"/>
        </w:rPr>
        <w:footnoteReference w:id="5"/>
      </w:r>
      <w:r w:rsidRPr="00E31FAA">
        <w:rPr>
          <w:szCs w:val="24"/>
        </w:rPr>
        <w:t>,</w:t>
      </w:r>
    </w:p>
    <w:p w14:paraId="09BF6A9C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–</w:t>
      </w:r>
      <w:r w:rsidRPr="00E31FAA">
        <w:rPr>
          <w:szCs w:val="24"/>
        </w:rPr>
        <w:tab/>
        <w:t>s ohledem na své usnesení ze dne 12. března 2025 o bílé knize o budoucnosti evropské obrany</w:t>
      </w:r>
      <w:r w:rsidRPr="00E31FAA">
        <w:rPr>
          <w:rStyle w:val="FootnoteReference"/>
          <w:szCs w:val="24"/>
        </w:rPr>
        <w:footnoteReference w:id="6"/>
      </w:r>
      <w:r w:rsidRPr="00E31FAA">
        <w:rPr>
          <w:szCs w:val="24"/>
        </w:rPr>
        <w:t>,</w:t>
      </w:r>
    </w:p>
    <w:p w14:paraId="0F69A5E3" w14:textId="46BA7B79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–</w:t>
      </w:r>
      <w:r w:rsidRPr="00E31FAA">
        <w:rPr>
          <w:szCs w:val="24"/>
        </w:rPr>
        <w:tab/>
        <w:t>s ohledem na článek 48 Smlouvy o Evropské unii (</w:t>
      </w:r>
      <w:r w:rsidR="00E31FAA">
        <w:rPr>
          <w:szCs w:val="24"/>
        </w:rPr>
        <w:t>dále jen „</w:t>
      </w:r>
      <w:r w:rsidRPr="00E31FAA">
        <w:rPr>
          <w:szCs w:val="24"/>
        </w:rPr>
        <w:t>S</w:t>
      </w:r>
      <w:r w:rsidR="00E31FAA">
        <w:rPr>
          <w:szCs w:val="24"/>
        </w:rPr>
        <w:t xml:space="preserve">mlouva o </w:t>
      </w:r>
      <w:r w:rsidRPr="00E31FAA">
        <w:rPr>
          <w:szCs w:val="24"/>
        </w:rPr>
        <w:t>EU</w:t>
      </w:r>
      <w:r w:rsidR="00E31FAA">
        <w:rPr>
          <w:szCs w:val="24"/>
        </w:rPr>
        <w:t>“</w:t>
      </w:r>
      <w:r w:rsidRPr="00E31FAA">
        <w:rPr>
          <w:szCs w:val="24"/>
        </w:rPr>
        <w:t>),</w:t>
      </w:r>
    </w:p>
    <w:p w14:paraId="630DA651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–</w:t>
      </w:r>
      <w:r w:rsidRPr="00E31FAA">
        <w:rPr>
          <w:szCs w:val="24"/>
        </w:rPr>
        <w:tab/>
        <w:t xml:space="preserve">s ohledem na </w:t>
      </w:r>
      <w:r w:rsidRPr="00614CC8">
        <w:rPr>
          <w:i/>
          <w:iCs/>
          <w:szCs w:val="24"/>
        </w:rPr>
        <w:t>překlenovací</w:t>
      </w:r>
      <w:r w:rsidRPr="00E31FAA">
        <w:rPr>
          <w:szCs w:val="24"/>
        </w:rPr>
        <w:t xml:space="preserve"> ustanovení ve Smlouvách EU,</w:t>
      </w:r>
    </w:p>
    <w:p w14:paraId="1DB25BC0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–</w:t>
      </w:r>
      <w:r w:rsidRPr="00E31FAA">
        <w:rPr>
          <w:szCs w:val="24"/>
        </w:rPr>
        <w:tab/>
        <w:t>s ohledem na ustanovení Smlouvy o posílené spolupráci a stálé strukturované spolupráci,</w:t>
      </w:r>
    </w:p>
    <w:p w14:paraId="5E76A4EC" w14:textId="4678FB5A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–</w:t>
      </w:r>
      <w:r w:rsidRPr="00E31FAA">
        <w:rPr>
          <w:szCs w:val="24"/>
        </w:rPr>
        <w:tab/>
        <w:t>s ohledem na článek 122 Smlouvy o fungování Evropské unie (</w:t>
      </w:r>
      <w:r w:rsidR="00E31FAA">
        <w:rPr>
          <w:szCs w:val="24"/>
        </w:rPr>
        <w:t>dále jen „</w:t>
      </w:r>
      <w:r w:rsidRPr="00E31FAA">
        <w:rPr>
          <w:szCs w:val="24"/>
        </w:rPr>
        <w:t>S</w:t>
      </w:r>
      <w:r w:rsidR="00E31FAA">
        <w:rPr>
          <w:szCs w:val="24"/>
        </w:rPr>
        <w:t xml:space="preserve">mlouvy o fungování </w:t>
      </w:r>
      <w:r w:rsidRPr="00E31FAA">
        <w:rPr>
          <w:szCs w:val="24"/>
        </w:rPr>
        <w:t>EU</w:t>
      </w:r>
      <w:r w:rsidR="00E31FAA">
        <w:rPr>
          <w:szCs w:val="24"/>
        </w:rPr>
        <w:t>“</w:t>
      </w:r>
      <w:r w:rsidRPr="00E31FAA">
        <w:rPr>
          <w:szCs w:val="24"/>
        </w:rPr>
        <w:t>),</w:t>
      </w:r>
    </w:p>
    <w:p w14:paraId="08A1D937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–</w:t>
      </w:r>
      <w:r w:rsidRPr="00E31FAA">
        <w:rPr>
          <w:szCs w:val="24"/>
        </w:rPr>
        <w:tab/>
        <w:t>s ohledem na článek 55 jednacího řádu,</w:t>
      </w:r>
    </w:p>
    <w:p w14:paraId="4416C089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–</w:t>
      </w:r>
      <w:r w:rsidRPr="00E31FAA">
        <w:rPr>
          <w:szCs w:val="24"/>
        </w:rPr>
        <w:tab/>
        <w:t>s ohledem na zprávu Výboru pro ústavní záležitosti (A10-0196/2025),</w:t>
      </w:r>
    </w:p>
    <w:p w14:paraId="37E53265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A.</w:t>
      </w:r>
      <w:r w:rsidRPr="00E31FAA">
        <w:rPr>
          <w:szCs w:val="24"/>
        </w:rPr>
        <w:tab/>
        <w:t xml:space="preserve">vzhledem k tomu, že Mario </w:t>
      </w:r>
      <w:proofErr w:type="spellStart"/>
      <w:r w:rsidRPr="00E31FAA">
        <w:rPr>
          <w:szCs w:val="24"/>
        </w:rPr>
        <w:t>Draghi</w:t>
      </w:r>
      <w:proofErr w:type="spellEnd"/>
      <w:r w:rsidRPr="00E31FAA">
        <w:rPr>
          <w:szCs w:val="24"/>
        </w:rPr>
        <w:t xml:space="preserve"> vypracoval na žádost předsedkyně Komise Ursuly von der </w:t>
      </w:r>
      <w:proofErr w:type="spellStart"/>
      <w:r w:rsidRPr="00E31FAA">
        <w:rPr>
          <w:szCs w:val="24"/>
        </w:rPr>
        <w:t>Leyenové</w:t>
      </w:r>
      <w:proofErr w:type="spellEnd"/>
      <w:r w:rsidRPr="00E31FAA">
        <w:rPr>
          <w:szCs w:val="24"/>
        </w:rPr>
        <w:t xml:space="preserve"> zprávu (dále „</w:t>
      </w:r>
      <w:proofErr w:type="spellStart"/>
      <w:r w:rsidRPr="00E31FAA">
        <w:rPr>
          <w:szCs w:val="24"/>
        </w:rPr>
        <w:t>Draghiho</w:t>
      </w:r>
      <w:proofErr w:type="spellEnd"/>
      <w:r w:rsidRPr="00E31FAA">
        <w:rPr>
          <w:szCs w:val="24"/>
        </w:rPr>
        <w:t xml:space="preserve"> zpráva“), v níž nabízí komplexní diagnózu strukturálních problémů EU a upozorňuje na riziko dlouhodobého zpomalení hospodářského růstu EU, které by v konečném důsledku mohlo ohrozit její prosperitu a systém sociálního zabezpečení; vzhledem k tomu, že </w:t>
      </w:r>
      <w:proofErr w:type="spellStart"/>
      <w:r w:rsidRPr="00E31FAA">
        <w:rPr>
          <w:szCs w:val="24"/>
        </w:rPr>
        <w:t>Draghiho</w:t>
      </w:r>
      <w:proofErr w:type="spellEnd"/>
      <w:r w:rsidRPr="00E31FAA">
        <w:rPr>
          <w:szCs w:val="24"/>
        </w:rPr>
        <w:t xml:space="preserve"> zpráva ukazuje, že Evropa se již nemůže spoléhat na řadu faktorů, které v minulosti podporovaly její růst;</w:t>
      </w:r>
    </w:p>
    <w:p w14:paraId="6ECB125F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B.</w:t>
      </w:r>
      <w:r w:rsidRPr="00E31FAA">
        <w:rPr>
          <w:szCs w:val="24"/>
        </w:rPr>
        <w:tab/>
        <w:t xml:space="preserve">vzhledem k tomu, že mezi EU a Spojenými státy výrazně vzrostl rozdíl v HDP, který se zvýšil z více než 15 % v roce 2002 na přibližně 30 % v roce 2023 (měřeno v cenách z roku 2015); vzhledem k tomu, že příčinou je především výraznější pokles produktivity v Evropě a skutečnost, že EU nedokázala využít digitální revoluci, kterou přinesl </w:t>
      </w:r>
      <w:r w:rsidRPr="00E31FAA">
        <w:rPr>
          <w:szCs w:val="24"/>
        </w:rPr>
        <w:lastRenderedPageBreak/>
        <w:t>internet, a s ní spojené možnosti pro zvýšení produktivity, což je částečně způsobeno roztříštěností jednotného evropského trhu;</w:t>
      </w:r>
    </w:p>
    <w:p w14:paraId="7F8CC3DD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C.</w:t>
      </w:r>
      <w:r w:rsidRPr="00E31FAA">
        <w:rPr>
          <w:szCs w:val="24"/>
        </w:rPr>
        <w:tab/>
        <w:t>vzhledem k tomu, že v </w:t>
      </w:r>
      <w:proofErr w:type="spellStart"/>
      <w:r w:rsidRPr="00E31FAA">
        <w:rPr>
          <w:szCs w:val="24"/>
        </w:rPr>
        <w:t>Draghiho</w:t>
      </w:r>
      <w:proofErr w:type="spellEnd"/>
      <w:r w:rsidRPr="00E31FAA">
        <w:rPr>
          <w:szCs w:val="24"/>
        </w:rPr>
        <w:t xml:space="preserve"> zprávě se mezi základními předpoklady pro budoucí růst Evropy uvádí odstranění rozdílů v inovacích, společný plán dekarbonizace a konkurenceschopnosti, zvýšení bezpečnosti a snížení závislosti a plnění hospodářských, environmentálních a sociálních cílů EU; vzhledem k tomu, že zpráva odhaduje, že to bude vyžadovat zvýšení investic o přibližně 5 % HDP EU, což bude představovat dodatečné roční investice ve výši minimálně 750 až 800 miliard EUR;</w:t>
      </w:r>
    </w:p>
    <w:p w14:paraId="5642F124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D.</w:t>
      </w:r>
      <w:r w:rsidRPr="00E31FAA">
        <w:rPr>
          <w:szCs w:val="24"/>
        </w:rPr>
        <w:tab/>
        <w:t>vzhledem k tomu, že rychle roste celosvětová poptávka po kritických surovinách kvůli přechodu na čistou energii a že Evropa je velmi závislá rovněž na dovozu digitálních technologií, zejména pro výrobu čipů, neboť 75–80 % celosvětové kapacity pro výrobu polovodičových destiček se nachází v Asii; vzhledem k tomu, že by měla být koncipována skutečná „zahraniční hospodářská politika“ EU, která by umožnila zachovat autonomii a konkurenceschopnost EU nejen v této kritické oblasti, ale i v dalších strategických odvětvích;</w:t>
      </w:r>
    </w:p>
    <w:p w14:paraId="6129D5A8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E.</w:t>
      </w:r>
      <w:r w:rsidRPr="00E31FAA">
        <w:rPr>
          <w:szCs w:val="24"/>
        </w:rPr>
        <w:tab/>
        <w:t xml:space="preserve">vzhledem k tomu, že jak zpráva Enrica </w:t>
      </w:r>
      <w:proofErr w:type="spellStart"/>
      <w:r w:rsidRPr="00E31FAA">
        <w:rPr>
          <w:szCs w:val="24"/>
        </w:rPr>
        <w:t>Letty</w:t>
      </w:r>
      <w:proofErr w:type="spellEnd"/>
      <w:r w:rsidRPr="00E31FAA">
        <w:rPr>
          <w:szCs w:val="24"/>
        </w:rPr>
        <w:t xml:space="preserve">, kterou zadala Evropská rada, tak </w:t>
      </w:r>
      <w:proofErr w:type="spellStart"/>
      <w:r w:rsidRPr="00E31FAA">
        <w:rPr>
          <w:szCs w:val="24"/>
        </w:rPr>
        <w:t>Draghiho</w:t>
      </w:r>
      <w:proofErr w:type="spellEnd"/>
      <w:r w:rsidRPr="00E31FAA">
        <w:rPr>
          <w:szCs w:val="24"/>
        </w:rPr>
        <w:t xml:space="preserve"> zpráva upozorňují na to, že od počátku se prokázalo, že jednotný trh je obrovskou podporou hospodářství EU a má výraznou zásluhu na její přitažlivosti a že je i nadále základním kamenem evropské integrace a hodnot a funguje jako silný katalyzátor růstu, prosperity a solidarity; vzhledem k tomu, že mezinárodní situace se hluboce proměnila, což zdůraznilo skutečnost, že jednotný trh je třeba dokončit a prohloubit, aby mohl dosáhnout plného potenciálu;</w:t>
      </w:r>
    </w:p>
    <w:p w14:paraId="1CF6773C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F.</w:t>
      </w:r>
      <w:r w:rsidRPr="00E31FAA">
        <w:rPr>
          <w:szCs w:val="24"/>
        </w:rPr>
        <w:tab/>
        <w:t>vzhledem k tomu, že v </w:t>
      </w:r>
      <w:proofErr w:type="spellStart"/>
      <w:r w:rsidRPr="00E31FAA">
        <w:rPr>
          <w:szCs w:val="24"/>
        </w:rPr>
        <w:t>Draghiho</w:t>
      </w:r>
      <w:proofErr w:type="spellEnd"/>
      <w:r w:rsidRPr="00E31FAA">
        <w:rPr>
          <w:szCs w:val="24"/>
        </w:rPr>
        <w:t xml:space="preserve"> zprávě se uvádí, že má-li být obnovena produktivita EU a mají-li být splněny její environmentálních a sociální cíle, jsou zapotřebí dodatečné roční investice ve výši minimálně 750 až 800 miliard EUR;</w:t>
      </w:r>
    </w:p>
    <w:p w14:paraId="3648ED2C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G.</w:t>
      </w:r>
      <w:r w:rsidRPr="00E31FAA">
        <w:rPr>
          <w:szCs w:val="24"/>
        </w:rPr>
        <w:tab/>
        <w:t xml:space="preserve">vzhledem k tomu, že unijní podpora veřejných i soukromých investic je omezena velikostí rozpočtu EU, jeho nedostatečnou </w:t>
      </w:r>
      <w:proofErr w:type="spellStart"/>
      <w:r w:rsidRPr="00E31FAA">
        <w:rPr>
          <w:szCs w:val="24"/>
        </w:rPr>
        <w:t>zacíleností</w:t>
      </w:r>
      <w:proofErr w:type="spellEnd"/>
      <w:r w:rsidRPr="00E31FAA">
        <w:rPr>
          <w:szCs w:val="24"/>
        </w:rPr>
        <w:t>, složitým správním rámcem a příliš konzervativním přístupem k riziku; vzhledem k tomu, že pro řešení výzev, které přesahují hranice jednotlivých států, jsou nezbytné společné investice EU, včetně společně financovaných tržních iniciativ, neboť umožňují úspory z rozsahu, podporují strategickou autonomii, chrání a podporují soudržnost v celé Unii, přitahují soukromý kapitál, zvyšují globální konkurenceschopnost EU v kritických odvětvích a umožňují financovat další evropské veřejné statky;</w:t>
      </w:r>
    </w:p>
    <w:p w14:paraId="26BF898D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H.</w:t>
      </w:r>
      <w:r w:rsidRPr="00E31FAA">
        <w:rPr>
          <w:szCs w:val="24"/>
        </w:rPr>
        <w:tab/>
        <w:t xml:space="preserve">vzhledem k tomu, že snahy o vytvoření unie kapitálových trhů, což předsedkyně Komise von der </w:t>
      </w:r>
      <w:proofErr w:type="spellStart"/>
      <w:r w:rsidRPr="00E31FAA">
        <w:rPr>
          <w:szCs w:val="24"/>
        </w:rPr>
        <w:t>Leyenová</w:t>
      </w:r>
      <w:proofErr w:type="spellEnd"/>
      <w:r w:rsidRPr="00E31FAA">
        <w:rPr>
          <w:szCs w:val="24"/>
        </w:rPr>
        <w:t xml:space="preserve"> označila za strategickou prioritu, za poslední desetiletí zatím nedosáhly svých cílů; vzhledem k tomu, že z budování unie kapitálových trhů vyplývá, že dobře integrované finanční služby v rámci jednotného trhu jsou nezbytné pro splnění strategických cílů hospodářské politiky EU;</w:t>
      </w:r>
    </w:p>
    <w:p w14:paraId="1D0CB486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I.</w:t>
      </w:r>
      <w:r w:rsidRPr="00E31FAA">
        <w:rPr>
          <w:szCs w:val="24"/>
        </w:rPr>
        <w:tab/>
        <w:t xml:space="preserve">vzhledem k tomu, že </w:t>
      </w:r>
      <w:proofErr w:type="spellStart"/>
      <w:r w:rsidRPr="00E31FAA">
        <w:rPr>
          <w:szCs w:val="24"/>
        </w:rPr>
        <w:t>Draghiho</w:t>
      </w:r>
      <w:proofErr w:type="spellEnd"/>
      <w:r w:rsidRPr="00E31FAA">
        <w:rPr>
          <w:szCs w:val="24"/>
        </w:rPr>
        <w:t xml:space="preserve"> zpráva přináší komplexní analýzu správy ekonomických záležitostí a konkurenceschopnosti EU; </w:t>
      </w:r>
    </w:p>
    <w:p w14:paraId="0B764B67" w14:textId="77777777" w:rsidR="00381CD5" w:rsidRPr="00E31FAA" w:rsidRDefault="00381CD5" w:rsidP="00E31FAA">
      <w:pPr>
        <w:pStyle w:val="NormalHanging12a"/>
        <w:rPr>
          <w:bCs/>
          <w:iCs/>
          <w:szCs w:val="24"/>
        </w:rPr>
      </w:pPr>
      <w:r w:rsidRPr="00E31FAA">
        <w:rPr>
          <w:szCs w:val="24"/>
        </w:rPr>
        <w:t>J.</w:t>
      </w:r>
      <w:r w:rsidRPr="00E31FAA">
        <w:rPr>
          <w:szCs w:val="24"/>
        </w:rPr>
        <w:tab/>
        <w:t xml:space="preserve">vzhledem k tomu, že od zahájení útočné války Ruska proti Ukrajině dostal proces přistoupení několika zemí nový impuls, takže EU se musí připravit na příští kolo rozšíření a zlepšit své rozhodovací procesy tak, aby mohla účinně fungovat s větším </w:t>
      </w:r>
      <w:r w:rsidRPr="00E31FAA">
        <w:rPr>
          <w:szCs w:val="24"/>
        </w:rPr>
        <w:lastRenderedPageBreak/>
        <w:t>počtem členských států; vzhledem k tomu, že v </w:t>
      </w:r>
      <w:proofErr w:type="spellStart"/>
      <w:r w:rsidRPr="00E31FAA">
        <w:rPr>
          <w:szCs w:val="24"/>
        </w:rPr>
        <w:t>Draghiho</w:t>
      </w:r>
      <w:proofErr w:type="spellEnd"/>
      <w:r w:rsidRPr="00E31FAA">
        <w:rPr>
          <w:szCs w:val="24"/>
        </w:rPr>
        <w:t xml:space="preserve"> zprávě se uvádí, že legislativní činnost Komise se rozrůstá a že EU by měla důsledně uplatňovat zásadu subsidiarity; vzhledem k tomu, že </w:t>
      </w:r>
      <w:proofErr w:type="spellStart"/>
      <w:r w:rsidRPr="00E31FAA">
        <w:rPr>
          <w:szCs w:val="24"/>
        </w:rPr>
        <w:t>Draghiho</w:t>
      </w:r>
      <w:proofErr w:type="spellEnd"/>
      <w:r w:rsidRPr="00E31FAA">
        <w:rPr>
          <w:szCs w:val="24"/>
        </w:rPr>
        <w:t xml:space="preserve"> zpráva poukazuje rovněž na to, že pravidla, jimiž se řídí rozhodování v EU, neprošla po jejím rozšíření žádným podstatným vývojem a že s ohledem na budoucí rozšíření a složitější globální prostředí je nutné, aby tato pravidla byla posílena a zjednodušena; vzhledem k tomu, že rozšíření jednotného trhu nabízí značný potenciál pro růst hospodářství EU a posílení </w:t>
      </w:r>
      <w:proofErr w:type="spellStart"/>
      <w:r w:rsidRPr="00E31FAA">
        <w:rPr>
          <w:szCs w:val="24"/>
        </w:rPr>
        <w:t>geoekonomického</w:t>
      </w:r>
      <w:proofErr w:type="spellEnd"/>
      <w:r w:rsidRPr="00E31FAA">
        <w:rPr>
          <w:szCs w:val="24"/>
        </w:rPr>
        <w:t xml:space="preserve"> postavení EU;</w:t>
      </w:r>
    </w:p>
    <w:p w14:paraId="54377646" w14:textId="77777777" w:rsidR="00381CD5" w:rsidRPr="00E31FAA" w:rsidRDefault="00381CD5" w:rsidP="00E31FAA">
      <w:pPr>
        <w:pStyle w:val="NormalHanging12a"/>
        <w:rPr>
          <w:bCs/>
          <w:iCs/>
          <w:szCs w:val="24"/>
        </w:rPr>
      </w:pPr>
      <w:r w:rsidRPr="00E31FAA">
        <w:rPr>
          <w:szCs w:val="24"/>
        </w:rPr>
        <w:t xml:space="preserve">K. </w:t>
      </w:r>
      <w:r w:rsidRPr="00E31FAA">
        <w:rPr>
          <w:szCs w:val="24"/>
        </w:rPr>
        <w:tab/>
        <w:t>vzhledem k tomu, že v </w:t>
      </w:r>
      <w:proofErr w:type="spellStart"/>
      <w:r w:rsidRPr="00E31FAA">
        <w:rPr>
          <w:szCs w:val="24"/>
        </w:rPr>
        <w:t>Draghiho</w:t>
      </w:r>
      <w:proofErr w:type="spellEnd"/>
      <w:r w:rsidRPr="00E31FAA">
        <w:rPr>
          <w:szCs w:val="24"/>
        </w:rPr>
        <w:t xml:space="preserve"> zprávě se rovněž uvádí, že více vlád používá národního práva veta k oddalování nebo rozmělňování činnosti pomocí rozhodovacího procesu; vzhledem k tomu, že ve zprávě se dále zdůrazňuje, že ačkoli posílení EU vyžaduje změny Smlouvy, mnoho lze dosáhnout cílenými úpravami; vzhledem k tomu, že </w:t>
      </w:r>
      <w:proofErr w:type="spellStart"/>
      <w:r w:rsidRPr="00E31FAA">
        <w:rPr>
          <w:szCs w:val="24"/>
        </w:rPr>
        <w:t>Draghiho</w:t>
      </w:r>
      <w:proofErr w:type="spellEnd"/>
      <w:r w:rsidRPr="00E31FAA">
        <w:rPr>
          <w:szCs w:val="24"/>
        </w:rPr>
        <w:t xml:space="preserve"> zpráva proto zdůrazňuje, že novou průmyslovou strategii pro Evropu musí doprovázet souběžná optimalizace institucionálního uspořádání a fungování EU; </w:t>
      </w:r>
    </w:p>
    <w:p w14:paraId="6EC13CAF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L.</w:t>
      </w:r>
      <w:r w:rsidRPr="00E31FAA">
        <w:rPr>
          <w:szCs w:val="24"/>
        </w:rPr>
        <w:tab/>
        <w:t xml:space="preserve">vzhledem k tomu, že </w:t>
      </w:r>
      <w:proofErr w:type="spellStart"/>
      <w:r w:rsidRPr="00E31FAA">
        <w:rPr>
          <w:szCs w:val="24"/>
        </w:rPr>
        <w:t>Draghiho</w:t>
      </w:r>
      <w:proofErr w:type="spellEnd"/>
      <w:r w:rsidRPr="00E31FAA">
        <w:rPr>
          <w:szCs w:val="24"/>
        </w:rPr>
        <w:t xml:space="preserve"> zpráva zdůrazňuje, že je třeba evropský rozhodovací proces zjednodušit, aby se usnadnilo přijímání opatření na posílení konkurenceschopnosti a hospodářského růstu EU a aby se taktéž zajistilo včasné a efektivní přijímání rozhodnutí;</w:t>
      </w:r>
    </w:p>
    <w:p w14:paraId="0641FCF0" w14:textId="77777777" w:rsidR="00381CD5" w:rsidRPr="00E31FAA" w:rsidRDefault="00381CD5" w:rsidP="00E31FAA">
      <w:pPr>
        <w:pStyle w:val="NormalHanging12a"/>
        <w:rPr>
          <w:bCs/>
          <w:iCs/>
          <w:szCs w:val="24"/>
        </w:rPr>
      </w:pPr>
      <w:r w:rsidRPr="00E31FAA">
        <w:rPr>
          <w:szCs w:val="24"/>
        </w:rPr>
        <w:t>M.</w:t>
      </w:r>
      <w:r w:rsidRPr="00E31FAA">
        <w:rPr>
          <w:szCs w:val="24"/>
        </w:rPr>
        <w:tab/>
        <w:t xml:space="preserve">vzhledem k tomu, že </w:t>
      </w:r>
      <w:proofErr w:type="spellStart"/>
      <w:r w:rsidRPr="00E31FAA">
        <w:rPr>
          <w:szCs w:val="24"/>
        </w:rPr>
        <w:t>Draghiho</w:t>
      </w:r>
      <w:proofErr w:type="spellEnd"/>
      <w:r w:rsidRPr="00E31FAA">
        <w:rPr>
          <w:szCs w:val="24"/>
        </w:rPr>
        <w:t xml:space="preserve"> zpráva objasňuje, že politický a institucionální model EU je možné posílit ve stávajícím právním rámci, a to jeho cílenou racionalizací, aniž by bylo nutné měnit Smlouvu; vzhledem k tomu, že tato racionalizace by se měla zaměřit spíše na deregulaci než na zvyšování počtu pravidel a postupů EU;</w:t>
      </w:r>
    </w:p>
    <w:p w14:paraId="2C91444D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N.</w:t>
      </w:r>
      <w:r w:rsidRPr="00E31FAA">
        <w:rPr>
          <w:szCs w:val="24"/>
        </w:rPr>
        <w:tab/>
        <w:t xml:space="preserve">vzhledem k tomu, že </w:t>
      </w:r>
      <w:proofErr w:type="spellStart"/>
      <w:r w:rsidRPr="00E31FAA">
        <w:rPr>
          <w:szCs w:val="24"/>
        </w:rPr>
        <w:t>Draghiho</w:t>
      </w:r>
      <w:proofErr w:type="spellEnd"/>
      <w:r w:rsidRPr="00E31FAA">
        <w:rPr>
          <w:szCs w:val="24"/>
        </w:rPr>
        <w:t xml:space="preserve"> zpráva označuje digitalizaci a rozvoj umělé inteligence (AI) za klíčové stimuly budoucí evropské konkurenceschopnosti; vzhledem k tomu, že EU zatím propásla zásadní příležitosti digitální revoluce a stále zaostává za světovými lídry v oblasti kapacit AI, datové infrastruktury a rozšiřování hlubokých technologií;</w:t>
      </w:r>
    </w:p>
    <w:p w14:paraId="5BF611E4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O.</w:t>
      </w:r>
      <w:r w:rsidRPr="00E31FAA">
        <w:rPr>
          <w:szCs w:val="24"/>
        </w:rPr>
        <w:tab/>
        <w:t xml:space="preserve">vzhledem k tomu, že </w:t>
      </w:r>
      <w:proofErr w:type="spellStart"/>
      <w:r w:rsidRPr="00E31FAA">
        <w:rPr>
          <w:szCs w:val="24"/>
        </w:rPr>
        <w:t>Draghiho</w:t>
      </w:r>
      <w:proofErr w:type="spellEnd"/>
      <w:r w:rsidRPr="00E31FAA">
        <w:rPr>
          <w:szCs w:val="24"/>
        </w:rPr>
        <w:t xml:space="preserve"> zpráva zdůrazňuje, že EU musí posílit strategickou autonomii a obrannou kapacitu a že by za tímto účelem měla překonat roztříštěnost trhu, posílit interoperabilitu a konsolidovat evropský obranný průmysl; vzhledem k tomu, že tuto vizi doplňuje </w:t>
      </w:r>
      <w:proofErr w:type="spellStart"/>
      <w:r w:rsidRPr="00E31FAA">
        <w:rPr>
          <w:szCs w:val="24"/>
        </w:rPr>
        <w:t>Niinistöova</w:t>
      </w:r>
      <w:proofErr w:type="spellEnd"/>
      <w:r w:rsidRPr="00E31FAA">
        <w:rPr>
          <w:szCs w:val="24"/>
        </w:rPr>
        <w:t xml:space="preserve"> zpráva, v níž se zdůrazňuje, že je třeba zlepšit připravenost na rizika, reakci na krize a odolnost kritické infrastruktury a dodavatelských řetězců; vzhledem k tomu, že obě zprávy poukazují na to, že důvěryhodná evropská obranná unie vyžaduje integrovaný rámec řízení a trvalé a koordinované investice na úrovni EU;</w:t>
      </w:r>
    </w:p>
    <w:p w14:paraId="0A194274" w14:textId="77777777" w:rsidR="00381CD5" w:rsidRPr="00E31FAA" w:rsidRDefault="00381CD5" w:rsidP="00614CC8">
      <w:pPr>
        <w:pStyle w:val="Normal12a24b"/>
        <w:spacing w:before="0"/>
        <w:ind w:left="567" w:hanging="567"/>
        <w:rPr>
          <w:szCs w:val="24"/>
        </w:rPr>
      </w:pPr>
      <w:r w:rsidRPr="00E31FAA">
        <w:rPr>
          <w:rStyle w:val="BoldItalic"/>
          <w:szCs w:val="24"/>
        </w:rPr>
        <w:t xml:space="preserve">Obecné připomínky </w:t>
      </w:r>
    </w:p>
    <w:p w14:paraId="061721D4" w14:textId="2A4F80D1" w:rsidR="00381CD5" w:rsidRPr="00E31FAA" w:rsidRDefault="00381CD5" w:rsidP="00E31FAA">
      <w:pPr>
        <w:pStyle w:val="NormalHanging12a"/>
        <w:rPr>
          <w:bCs/>
          <w:iCs/>
          <w:szCs w:val="24"/>
        </w:rPr>
      </w:pPr>
      <w:r w:rsidRPr="00E31FAA">
        <w:rPr>
          <w:szCs w:val="24"/>
        </w:rPr>
        <w:t>1.</w:t>
      </w:r>
      <w:r w:rsidRPr="00E31FAA">
        <w:rPr>
          <w:szCs w:val="24"/>
        </w:rPr>
        <w:tab/>
        <w:t xml:space="preserve">vítá </w:t>
      </w:r>
      <w:proofErr w:type="spellStart"/>
      <w:r w:rsidRPr="00E31FAA">
        <w:rPr>
          <w:szCs w:val="24"/>
        </w:rPr>
        <w:t>Draghiho</w:t>
      </w:r>
      <w:proofErr w:type="spellEnd"/>
      <w:r w:rsidRPr="00E31FAA">
        <w:rPr>
          <w:szCs w:val="24"/>
        </w:rPr>
        <w:t xml:space="preserve"> zprávu, její závěry a výzvu k akci; souhlasí s analýzou, že Evropa čelí existenční výzvě, takže její orgány by měly vyvinout mimořádné úsilí, má-li si v současném rychle se měnícím geopolitickém kontextu udržet konkurenceschopnost a nadále růst; zdůrazňuje, že tato reakce musí být zakotvena v demokratické správě, vyváženém rozdělení moci mezi orgány a dodržování Smluv; vyzývá k přijetí obnovené evropské strategie, která Unii umožní přijímat rychlá a účinná rozhodnutí, a tak zajistit její konkurenceschopnost a udržitelnost;</w:t>
      </w:r>
    </w:p>
    <w:p w14:paraId="407972A5" w14:textId="7AA40C06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2.</w:t>
      </w:r>
      <w:r w:rsidRPr="00E31FAA">
        <w:rPr>
          <w:szCs w:val="24"/>
        </w:rPr>
        <w:tab/>
        <w:t>ve shodě s tím, co se uvádí v </w:t>
      </w:r>
      <w:proofErr w:type="spellStart"/>
      <w:r w:rsidRPr="00E31FAA">
        <w:rPr>
          <w:szCs w:val="24"/>
        </w:rPr>
        <w:t>Draghiho</w:t>
      </w:r>
      <w:proofErr w:type="spellEnd"/>
      <w:r w:rsidRPr="00E31FAA">
        <w:rPr>
          <w:szCs w:val="24"/>
        </w:rPr>
        <w:t xml:space="preserve"> zprávě, zdůrazňuje, že EU musí urychleně zlepšit svou institucionální správu; upozorňuje na to, že tuto optimalizaci by měla doprovázet jasná a inkluzivní komunikační strategie, která by zajistila angažovanost občanů a průběžně je informovala o přínosech těchto změn, a tak zajistila plnou veřejnou podporu a posílila pocit sounáležitosti a společné odpovědnosti; zdůrazňuje, že uvedená opatření společně s nutným opuštěním nejednotných národních přístupů a posílením přeorientovaných, zrychlených a zjednodušených rozhodovacích postupů na úrovni EU umožní, aby Unie mohla jako skutečný globální aktér účinněji a účelněji jednat tam, kde je to nejdůležitější; souhlasí s tím, že je důležité řešit blokování rozhodnutí v Radě ve více oblastech; podporuje všechny iniciativy zaměřené na zefektivnění rozhodovacího procesu, který je klíčem ke zvýšení konkurenceschopnosti EU, avšak v plném souladu se zásadami subsidiarity a proporcionality, jak jsou stanoveny v čl. 5 odst. 3 a v článku 4 S</w:t>
      </w:r>
      <w:r w:rsidR="00E31FAA">
        <w:rPr>
          <w:szCs w:val="24"/>
        </w:rPr>
        <w:t xml:space="preserve">mlouvy o </w:t>
      </w:r>
      <w:r w:rsidRPr="00E31FAA">
        <w:rPr>
          <w:szCs w:val="24"/>
        </w:rPr>
        <w:t>EU;</w:t>
      </w:r>
    </w:p>
    <w:p w14:paraId="0E2FF95D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3.</w:t>
      </w:r>
      <w:r w:rsidRPr="00E31FAA">
        <w:rPr>
          <w:szCs w:val="24"/>
        </w:rPr>
        <w:tab/>
        <w:t>zdůrazňuje, že klíčovými oblastmi, které vyžadují strategickou politickou reformu pro zvýšení konkurenceschopnosti EU, jsou dokončení jednotného evropského trhu a vytvoření evropské unie úspor a investic, zefektivnění rozpočtu EU a jeho plnění, zachování vysoké úrovně sociální ochrany a sociálních a pracovních práv, hlubší propracování evropského modelu AI a digitální transformace a rozvoj evropské energetické unie a evropské obranné unie;</w:t>
      </w:r>
    </w:p>
    <w:p w14:paraId="617E1AF5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4.</w:t>
      </w:r>
      <w:r w:rsidRPr="00E31FAA">
        <w:rPr>
          <w:szCs w:val="24"/>
        </w:rPr>
        <w:tab/>
        <w:t>zdůrazňuje, že strategické politické reformy a navrhované změny v institucionální struktuře EU by měly být vnímány jako neoddělitelné aspekty, které je třeba provádět současně, má-li se povzbudit konkurenceschopnost EU;</w:t>
      </w:r>
    </w:p>
    <w:p w14:paraId="3DDD0F5B" w14:textId="77777777" w:rsidR="00381CD5" w:rsidRPr="00E31FAA" w:rsidRDefault="00381CD5" w:rsidP="00E31FAA">
      <w:pPr>
        <w:pStyle w:val="NormalHanging12a"/>
        <w:rPr>
          <w:b/>
          <w:i/>
          <w:iCs/>
          <w:szCs w:val="24"/>
        </w:rPr>
      </w:pPr>
      <w:r w:rsidRPr="00E31FAA">
        <w:rPr>
          <w:b/>
          <w:i/>
          <w:szCs w:val="24"/>
        </w:rPr>
        <w:t>Přeorientování, urychlení a zjednodušení správy EU</w:t>
      </w:r>
    </w:p>
    <w:p w14:paraId="64A2F48B" w14:textId="470D929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5.</w:t>
      </w:r>
      <w:r w:rsidRPr="00E31FAA">
        <w:rPr>
          <w:szCs w:val="24"/>
        </w:rPr>
        <w:tab/>
        <w:t>oceňuje úsilí o přeorientování a zjednodušení práce EU, čehož se má dosáhnout stanovením strategických priorit a účinným fungováním institucí; vyzývá k posílení schopnosti EU jednat tam, kde to má jasnou přidanou hodnotu, a to v souladu se zásadami subsidiarity a proporcionality; zdůrazňuje, že zjednodušování, subsidiarita a proporcionalita musí vést k inteligentnějším a účinnějším právním předpisům, nikoli však k oslabení zájmu o oblasti, které vyžadují opatření na úrovni EU; zdůrazňuje, že účinné zásahy v oblastech politiky, které přispívají k vyšší hospodářské konkurenceschopnosti, vyžadují přizpůsobení pravomocí, které byly Unii svěřeny Smlouvami; zdůrazňuje, že toto zjednodušení a přesun důrazu se musí odrazit i v efektivnějším a jednodušším institucionálním uspořádání, včetně reorganizace Komise a sboru komisařů, jehož cílem by mělo být zvýšení schopnosti EU efektivněji řešit měnící se výzvy a posílení její úlohy na světové scéně;</w:t>
      </w:r>
    </w:p>
    <w:p w14:paraId="5A8C5435" w14:textId="6EBD7B53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6.</w:t>
      </w:r>
      <w:r w:rsidRPr="00E31FAA">
        <w:rPr>
          <w:szCs w:val="24"/>
        </w:rPr>
        <w:tab/>
        <w:t xml:space="preserve">bere na vědomí iniciativu Komise Kompas konkurenceschopnosti, která vychází z vize </w:t>
      </w:r>
      <w:proofErr w:type="spellStart"/>
      <w:r w:rsidRPr="00E31FAA">
        <w:rPr>
          <w:szCs w:val="24"/>
        </w:rPr>
        <w:t>Draghiho</w:t>
      </w:r>
      <w:proofErr w:type="spellEnd"/>
      <w:r w:rsidRPr="00E31FAA">
        <w:rPr>
          <w:szCs w:val="24"/>
        </w:rPr>
        <w:t xml:space="preserve"> zprávy, a její důraz na potřebnou větší strategickou autonomii a odolnost a na naprosto nezbytné posílení konkurenceschopnosti EU, která by měla být založena na udržitelnosti, inovacích, energetické bezpečnosti a sociální, hospodářské a územní soudržnosti; uznává, že důraz, který Kompas konkurenceschopnosti klade na účinnost právních předpisů, má zásadní význam pro podporu inovací, přilákání investic a umožnění udržitelného růstu; podporuje zavedení nástrojů pro posuzování dopadu nových návrhů na malé a střední podniky a konkurenceschopnost a doporučuje, aby byl pravidelně sledován pokrok a aby byla prosazována digitální řešení s cílem usnadnit administrativní postupy; zdůrazňuje, že nedostatek pracovních sil a dovedností je třeba řešit jako strukturální výzvu pro konkurenceschopnost ve všech členských státech; zdůrazňuje však, že Kompas konkurenceschopnosti je nutné dále zlepšit posílením institucionálního uspořádání EU; </w:t>
      </w:r>
    </w:p>
    <w:p w14:paraId="54875BAE" w14:textId="76312280" w:rsidR="00381CD5" w:rsidRPr="00E31FAA" w:rsidRDefault="00381CD5" w:rsidP="00E31FAA">
      <w:pPr>
        <w:pStyle w:val="NormalHanging12a"/>
        <w:rPr>
          <w:bCs/>
          <w:iCs/>
          <w:szCs w:val="24"/>
        </w:rPr>
      </w:pPr>
      <w:r w:rsidRPr="00E31FAA">
        <w:rPr>
          <w:szCs w:val="24"/>
        </w:rPr>
        <w:t>7.</w:t>
      </w:r>
      <w:r w:rsidRPr="00E31FAA">
        <w:rPr>
          <w:szCs w:val="24"/>
        </w:rPr>
        <w:tab/>
        <w:t xml:space="preserve">vítá myšlenku posílit rozhodování EU o cílených a strategických prioritách v oblasti konkurenceschopnosti; domnívá se, že jakýkoli nástroj pro koordinaci opatření zaměřených na konkurenceschopnost by měl sloužit jako zastřešující institucionální rámec, který by EU umožnil nejen koordinovat unijní a vnitrostátní politiky, ale rovněž jednat jako jeden subjekt; zdůrazňuje, že takový nástroj by měl podléhat vedení Komise a dohledu Parlamentu a Rady a že by měla být nezávisle hodnocena jeho účinnost, transparentnost a dosažené výsledky; upozorňuje na to, že má-li být zajištěna demokratická legitimita, je nezbytné spolupracovat s vnitrostátními parlamenty a regulačními orgány; zdůrazňuje, že na správě EU se musí podílet sociální partneři a zúčastněné strany, aby byla zajištěna </w:t>
      </w:r>
      <w:proofErr w:type="spellStart"/>
      <w:r w:rsidRPr="00E31FAA">
        <w:rPr>
          <w:szCs w:val="24"/>
        </w:rPr>
        <w:t>inkluzivita</w:t>
      </w:r>
      <w:proofErr w:type="spellEnd"/>
      <w:r w:rsidRPr="00E31FAA">
        <w:rPr>
          <w:szCs w:val="24"/>
        </w:rPr>
        <w:t xml:space="preserve"> a veřejná odpovědnost;</w:t>
      </w:r>
    </w:p>
    <w:p w14:paraId="67D507A9" w14:textId="5605725F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8.</w:t>
      </w:r>
      <w:r w:rsidRPr="00E31FAA">
        <w:rPr>
          <w:szCs w:val="24"/>
        </w:rPr>
        <w:tab/>
        <w:t>vítá záměr urychlit práci EU a opětovně vyzývá k většímu zefektivnění rozhodovacího procesu, mimo jiné k přechodu na hlasování kvalifikovanou většinou a k zavedení řádného legislativního postupu v klíčových oblastech politiky, když to bude zapotřebí; konstatuje, že v některých oblastech zásadního významu by se měly uplatňovat vyšší hranice pro hlasování; konstatuje, že v minulosti byla nalezena řešení, díky nimž jsou rozhodovací procesy rozhodnější; zdůrazňuje například, že Amsterodamská smlouva zavedla hlasování kvalifikovanou většinou a současně v některých oblastech politiky umožnila konstruktivně se zdržet hlasování;</w:t>
      </w:r>
    </w:p>
    <w:p w14:paraId="7293DC59" w14:textId="2A0199AE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9.</w:t>
      </w:r>
      <w:r w:rsidRPr="00E31FAA">
        <w:rPr>
          <w:szCs w:val="24"/>
        </w:rPr>
        <w:tab/>
        <w:t>naléhá na Evropskou radu, aby projednala návrh na svolání konventu v souladu s řádným revizním postupem podle článku 48 S</w:t>
      </w:r>
      <w:r w:rsidR="00E31FAA">
        <w:rPr>
          <w:szCs w:val="24"/>
        </w:rPr>
        <w:t xml:space="preserve">mlouvy o </w:t>
      </w:r>
      <w:r w:rsidRPr="00E31FAA">
        <w:rPr>
          <w:szCs w:val="24"/>
        </w:rPr>
        <w:t>EU, jak jej Parlament formuloval v usneseních ze dne 9. června 2022 a 22. listopadu 2023, a aby tam, kde je to možné, zvážila provedení cílených změn Smluv pomocí zjednodušeného postupu podle čl. 48 odst. 6 S</w:t>
      </w:r>
      <w:r w:rsidR="00E31FAA">
        <w:rPr>
          <w:szCs w:val="24"/>
        </w:rPr>
        <w:t xml:space="preserve">mlouvy o </w:t>
      </w:r>
      <w:r w:rsidRPr="00E31FAA">
        <w:rPr>
          <w:szCs w:val="24"/>
        </w:rPr>
        <w:t>EU, aby mohly být urychleny zásadní a naléhavé reformy; připomíná závěry Konference o budoucnosti Evropy a naléhavě vyzývá Komisi a Radu, aby v návaznosti na její doporučení rychle podnikly konkrétní kroky; domnívá se, že hledání kompromisu ve věci příštího víceletého finančního rámce je důležitou příležitostí k intenzivnější práci na posílení institucionálního uspořádání EU;</w:t>
      </w:r>
    </w:p>
    <w:p w14:paraId="2D792923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10.</w:t>
      </w:r>
      <w:r w:rsidRPr="00E31FAA">
        <w:rPr>
          <w:szCs w:val="24"/>
        </w:rPr>
        <w:tab/>
        <w:t>připomíná závěry Konference o budoucnosti Evropy, zejména o potřebné reformě Smluv, a naléhavě vyzývá Komisi a Radu, aby v souladu s doporučeními Konference rychle podnikly konkrétní kroky;</w:t>
      </w:r>
    </w:p>
    <w:p w14:paraId="1C2BDF49" w14:textId="1A7162A8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11.</w:t>
      </w:r>
      <w:r w:rsidRPr="00E31FAA">
        <w:rPr>
          <w:b/>
          <w:i/>
          <w:szCs w:val="24"/>
        </w:rPr>
        <w:tab/>
      </w:r>
      <w:r w:rsidRPr="00E31FAA">
        <w:rPr>
          <w:szCs w:val="24"/>
        </w:rPr>
        <w:t xml:space="preserve">opakuje, že je odhodlán posílit schopnost EU jednat rychle a účinně a zefektivnit rozhodování v klíčových oblastech politiky; znovu žádá, aby hlasování kvalifikovanou většinou a řádný legislativní postup byly v nutných případech pomocí </w:t>
      </w:r>
      <w:r w:rsidRPr="00614CC8">
        <w:rPr>
          <w:i/>
          <w:iCs/>
          <w:szCs w:val="24"/>
        </w:rPr>
        <w:t>překlenovacích</w:t>
      </w:r>
      <w:r w:rsidRPr="00E31FAA">
        <w:rPr>
          <w:szCs w:val="24"/>
        </w:rPr>
        <w:t xml:space="preserve"> ustanovení, jež jsou uvedena ve Smlouvách, rozšířeny i na další oblasti politik, tak aby EU dokázala jednat rychleji a účinněji;</w:t>
      </w:r>
    </w:p>
    <w:p w14:paraId="5A21B681" w14:textId="316AF1E5" w:rsidR="00381CD5" w:rsidRPr="00E31FAA" w:rsidRDefault="00381CD5" w:rsidP="00E31FAA">
      <w:pPr>
        <w:pStyle w:val="NormalHanging12a"/>
        <w:rPr>
          <w:bCs/>
          <w:szCs w:val="24"/>
        </w:rPr>
      </w:pPr>
      <w:r w:rsidRPr="00E31FAA">
        <w:rPr>
          <w:szCs w:val="24"/>
        </w:rPr>
        <w:t>12.</w:t>
      </w:r>
      <w:r w:rsidRPr="00E31FAA">
        <w:rPr>
          <w:szCs w:val="24"/>
        </w:rPr>
        <w:tab/>
        <w:t>vyzývá Radu, aby zvážila využívání posílené spolupráce podle článku 20 S</w:t>
      </w:r>
      <w:r w:rsidR="00E31FAA">
        <w:rPr>
          <w:szCs w:val="24"/>
        </w:rPr>
        <w:t xml:space="preserve">mlouvy o </w:t>
      </w:r>
      <w:r w:rsidRPr="00E31FAA">
        <w:rPr>
          <w:szCs w:val="24"/>
        </w:rPr>
        <w:t xml:space="preserve">EU v případech, kdy jednomyslné hlasování brání přijetí důležitých rozhodnutí pro celou EU v klíčových oblastech politiky; připomíná, že posílená spolupráce vychází z legitimních potřeb členských států, pokud cílů této spolupráce nemůže Unie jako celek dosáhnout v přiměřené lhůtě; zdůrazňuje, že posílená spolupráce nabízí dvě důležité záruky, a to souhlas Parlamentu a soudní přezkum Soudním dvorem Evropské unie, a že rozhodnutí přijatá v rámci posílené spolupráce vychází z návrhu Komise; zdůrazňuje, že hlavním účelem posílené spolupráce je jednodušší rozhodování; doporučuje zúčastněným členským státům, aby aktivovaly zvláštní </w:t>
      </w:r>
      <w:r w:rsidRPr="00614CC8">
        <w:rPr>
          <w:i/>
          <w:iCs/>
          <w:szCs w:val="24"/>
        </w:rPr>
        <w:t>překlenovací</w:t>
      </w:r>
      <w:r w:rsidRPr="00E31FAA">
        <w:rPr>
          <w:szCs w:val="24"/>
        </w:rPr>
        <w:t xml:space="preserve"> ustanovení zakotvené v článku 333 S</w:t>
      </w:r>
      <w:r w:rsidR="00E31FAA">
        <w:rPr>
          <w:szCs w:val="24"/>
        </w:rPr>
        <w:t xml:space="preserve">mlouvy o fungování </w:t>
      </w:r>
      <w:r w:rsidRPr="00E31FAA">
        <w:rPr>
          <w:szCs w:val="24"/>
        </w:rPr>
        <w:t xml:space="preserve">EU, aby mohly v rámci posílené spolupráce přejít na hlasování kvalifikovanou většinou a řádný legislativní postup; bere na vědomí, že </w:t>
      </w:r>
      <w:proofErr w:type="spellStart"/>
      <w:r w:rsidRPr="00E31FAA">
        <w:rPr>
          <w:szCs w:val="24"/>
        </w:rPr>
        <w:t>Draghiho</w:t>
      </w:r>
      <w:proofErr w:type="spellEnd"/>
      <w:r w:rsidRPr="00E31FAA">
        <w:rPr>
          <w:szCs w:val="24"/>
        </w:rPr>
        <w:t xml:space="preserve"> zpráva navrhuje, že v případech, kdy nelze dosáhnout jednomyslného rozhodnutí o hlasování kvalifikovanou většinou, by zainteresované členské státy mohly zvážit mezivládní spolupráci;</w:t>
      </w:r>
    </w:p>
    <w:p w14:paraId="5A635B89" w14:textId="6ECEA8E4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13.</w:t>
      </w:r>
      <w:r w:rsidRPr="00E31FAA">
        <w:rPr>
          <w:szCs w:val="24"/>
        </w:rPr>
        <w:tab/>
        <w:t xml:space="preserve">zdůrazňuje, že zlepšení rozhodovacího procesu v EU vyžaduje posílení postavení Parlamentu, aby měl stejné postavení jako Rada, a vyzývá k tomu, aby měl Parlament silnější úlohu také v rámci legislativního procesu; opakuje svoji výzvu, aby Parlament získal plné právo legislativního podnětu; zdůrazňuje, že je důležité modernizovat vyšetřovací právo Parlamentu s cílem posílit demokratickou kontrolu nad výkonnou mocí EU; </w:t>
      </w:r>
    </w:p>
    <w:p w14:paraId="30BB8D75" w14:textId="093236B5" w:rsidR="00381CD5" w:rsidRPr="00E31FAA" w:rsidRDefault="00381CD5" w:rsidP="00614CC8">
      <w:pPr>
        <w:pStyle w:val="Normal12a24b"/>
        <w:tabs>
          <w:tab w:val="left" w:pos="567"/>
        </w:tabs>
        <w:spacing w:before="0"/>
        <w:ind w:left="567" w:hanging="567"/>
        <w:rPr>
          <w:bCs/>
          <w:iCs/>
          <w:szCs w:val="24"/>
        </w:rPr>
      </w:pPr>
      <w:r w:rsidRPr="00E31FAA">
        <w:rPr>
          <w:szCs w:val="24"/>
        </w:rPr>
        <w:t>14.</w:t>
      </w:r>
      <w:r w:rsidRPr="00E31FAA">
        <w:rPr>
          <w:szCs w:val="24"/>
        </w:rPr>
        <w:tab/>
        <w:t>domnívá se, že článek 122 S</w:t>
      </w:r>
      <w:r w:rsidR="00E31FAA">
        <w:rPr>
          <w:szCs w:val="24"/>
        </w:rPr>
        <w:t xml:space="preserve">mlouvy o fungování </w:t>
      </w:r>
      <w:r w:rsidRPr="00E31FAA">
        <w:rPr>
          <w:szCs w:val="24"/>
        </w:rPr>
        <w:t>EU může být nástrojem pro rychlou akci EU výhradně v krizových situacích, ale zdůrazňuje, že jeho použití musí podléhat důkladnému dohledu nejen ze strany Soudního dvora EU, ale také Parlamentu; zdůrazňuje, že je třeba zajistit úzkou spolupráci mezi Komisí, Parlamentem a dalšími příslušnými orgány a institucemi EU; žádá, aby byly vyjasněny a systematizovány postupy pro aktivaci článku 122 S</w:t>
      </w:r>
      <w:r w:rsidR="00E31FAA">
        <w:rPr>
          <w:szCs w:val="24"/>
        </w:rPr>
        <w:t xml:space="preserve">mlouvy o </w:t>
      </w:r>
      <w:r w:rsidRPr="00E31FAA">
        <w:rPr>
          <w:szCs w:val="24"/>
        </w:rPr>
        <w:t xml:space="preserve">FEU, zejména tak, aby o jeho aktivaci měly pravomoc rozhodnout oba </w:t>
      </w:r>
      <w:proofErr w:type="spellStart"/>
      <w:r w:rsidRPr="00E31FAA">
        <w:rPr>
          <w:szCs w:val="24"/>
        </w:rPr>
        <w:t>spolunormotvůrci</w:t>
      </w:r>
      <w:proofErr w:type="spellEnd"/>
      <w:r w:rsidRPr="00E31FAA">
        <w:rPr>
          <w:szCs w:val="24"/>
        </w:rPr>
        <w:t>;</w:t>
      </w:r>
    </w:p>
    <w:p w14:paraId="262E908E" w14:textId="77777777" w:rsidR="00381CD5" w:rsidRPr="00E31FAA" w:rsidRDefault="00381CD5" w:rsidP="00614CC8">
      <w:pPr>
        <w:pStyle w:val="Normal12a24b"/>
        <w:tabs>
          <w:tab w:val="left" w:pos="567"/>
        </w:tabs>
        <w:spacing w:before="0"/>
        <w:ind w:left="567" w:hanging="567"/>
        <w:rPr>
          <w:bCs/>
          <w:iCs/>
          <w:szCs w:val="24"/>
        </w:rPr>
      </w:pPr>
      <w:r w:rsidRPr="00E31FAA">
        <w:rPr>
          <w:szCs w:val="24"/>
        </w:rPr>
        <w:t>15.</w:t>
      </w:r>
      <w:r w:rsidRPr="00E31FAA">
        <w:rPr>
          <w:szCs w:val="24"/>
        </w:rPr>
        <w:tab/>
        <w:t xml:space="preserve">zdůrazňuje, že je naléhavě nutné zlepšit institucionální a finanční rámec EU, aby byl i nadále funkční, demokratický a konkurenceschopný a aby byl s ohledem na budoucí rozšíření schopen přijímat nové členy a podporovat jejich úspěšnou integraci; znovu proto potvrzuje, že rozšíření musí jít ruku v ruce s posílením správy EU; podporuje, aby mezi EU a vládami, parlamenty a občanskou společností kandidátských zemí probíhal dialog o veškerých plánovaných návrzích změn institucionálního uspořádání EU; uznává význam iniciativ, jako je Evropské politické společenství, které umožňují politickou spolupráci, přispívají k regionálním dialogům a mohly by usnadnit postupné začlenění kandidátských zemí do Unie a jejích politik, aniž by byly alternativou k členství v EU; zdůrazňuje, že o vývoji v Evropském politickém společenství by měl být pravidelně informován a konzultován Parlament, aby byla zajištěna demokratická odpovědnost a soudržnost s institucionálním rámcem EU; </w:t>
      </w:r>
    </w:p>
    <w:p w14:paraId="636C6343" w14:textId="77777777" w:rsidR="00381CD5" w:rsidRPr="00E31FAA" w:rsidRDefault="00381CD5" w:rsidP="00E31FAA">
      <w:pPr>
        <w:pStyle w:val="NormalHanging12a"/>
        <w:rPr>
          <w:b/>
          <w:szCs w:val="24"/>
          <w:u w:val="single"/>
        </w:rPr>
      </w:pPr>
      <w:r w:rsidRPr="00E31FAA">
        <w:rPr>
          <w:b/>
          <w:i/>
          <w:szCs w:val="24"/>
        </w:rPr>
        <w:t>Efektivní správa EU v klíčových oblastech politiky</w:t>
      </w:r>
    </w:p>
    <w:p w14:paraId="5028ECB6" w14:textId="3EA16963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16.</w:t>
      </w:r>
      <w:r w:rsidRPr="00E31FAA">
        <w:rPr>
          <w:szCs w:val="24"/>
        </w:rPr>
        <w:tab/>
        <w:t>vyzývá k dokončení jednotného evropského trhu, jak je zakotveno v článku 26, článku 114 S</w:t>
      </w:r>
      <w:r w:rsidR="00E31FAA">
        <w:rPr>
          <w:szCs w:val="24"/>
        </w:rPr>
        <w:t xml:space="preserve">mlouvy o fungování </w:t>
      </w:r>
      <w:r w:rsidRPr="00E31FAA">
        <w:rPr>
          <w:szCs w:val="24"/>
        </w:rPr>
        <w:t>EU a čl. 3 odst. 3 S</w:t>
      </w:r>
      <w:r w:rsidR="00E31FAA">
        <w:rPr>
          <w:szCs w:val="24"/>
        </w:rPr>
        <w:t xml:space="preserve">mlouvy o </w:t>
      </w:r>
      <w:r w:rsidRPr="00E31FAA">
        <w:rPr>
          <w:szCs w:val="24"/>
        </w:rPr>
        <w:t>EU, aby se plně rozvinul jeho potenciál a odstranily zbývající překážky, včetně nekalé mezinárodní hospodářské soutěže, s cílem bojovat proti vysokým cenám energií, nedostatku kvalifikovaných pracovníků a pracovních sil, obtížné dostupnosti kapitálu, nejednotnému uplatňování pravidel EU, nedostatečné podpoře digitální a ekologické transformace a vysoké administrativní zátěži pro občany a podniky a také s cílem podpořit hospodářský růst, sociální, hospodářskou a územní soudržnost a kulturní výměny v rámci EU; vyzývá k rozvoji evropského integrovaného kapitálového trhu, jak stanoví články 26 a 63 S</w:t>
      </w:r>
      <w:r w:rsidR="00E31FAA">
        <w:rPr>
          <w:szCs w:val="24"/>
        </w:rPr>
        <w:t xml:space="preserve">mlouvy o fungování </w:t>
      </w:r>
      <w:r w:rsidRPr="00E31FAA">
        <w:rPr>
          <w:szCs w:val="24"/>
        </w:rPr>
        <w:t>EU, prostřednictvím nově zřízené unie úspor a investic, která bude vycházet z neúplné unie kapitálových trhů; vyzývá k posílení Evropského orgánu pro cenné papíry a trhy podle právního základu, kterým je článek 114 S</w:t>
      </w:r>
      <w:r w:rsidR="00E31FAA">
        <w:rPr>
          <w:szCs w:val="24"/>
        </w:rPr>
        <w:t xml:space="preserve">mlouvy o fungování </w:t>
      </w:r>
      <w:r w:rsidRPr="00E31FAA">
        <w:rPr>
          <w:szCs w:val="24"/>
        </w:rPr>
        <w:t xml:space="preserve">EU, s cílem posílit sbližování dohledu a přeshraniční koordinaci v rámci unie úspor a investic; konstatuje rovněž, že podle </w:t>
      </w:r>
      <w:proofErr w:type="spellStart"/>
      <w:r w:rsidRPr="00E31FAA">
        <w:rPr>
          <w:szCs w:val="24"/>
        </w:rPr>
        <w:t>Lettovy</w:t>
      </w:r>
      <w:proofErr w:type="spellEnd"/>
      <w:r w:rsidRPr="00E31FAA">
        <w:rPr>
          <w:szCs w:val="24"/>
        </w:rPr>
        <w:t xml:space="preserve"> zprávy je hospodářská síla jednotného trhu důležitá pro globální a obchodní ambice EU, a to i v hospodářských vztazích se strategickými partnery;</w:t>
      </w:r>
    </w:p>
    <w:p w14:paraId="4D0DE71F" w14:textId="77777777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17.</w:t>
      </w:r>
      <w:r w:rsidRPr="00E31FAA">
        <w:rPr>
          <w:szCs w:val="24"/>
        </w:rPr>
        <w:tab/>
        <w:t xml:space="preserve">podporuje to, aby ke stávajícím čtyřem svobodám byla ve smyslu </w:t>
      </w:r>
      <w:proofErr w:type="spellStart"/>
      <w:r w:rsidRPr="00E31FAA">
        <w:rPr>
          <w:szCs w:val="24"/>
        </w:rPr>
        <w:t>Lettovy</w:t>
      </w:r>
      <w:proofErr w:type="spellEnd"/>
      <w:r w:rsidRPr="00E31FAA">
        <w:rPr>
          <w:szCs w:val="24"/>
        </w:rPr>
        <w:t xml:space="preserve"> zprávy přidána ještě „pátá svoboda“ s cílem posílit výzkum, inovace, znalosti a vzdělávání pro výzkumné pracovníky, inovátory a pracovníky na jednotném trhu;</w:t>
      </w:r>
    </w:p>
    <w:p w14:paraId="29686468" w14:textId="5154C1B2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18.</w:t>
      </w:r>
      <w:r w:rsidRPr="00E31FAA">
        <w:rPr>
          <w:szCs w:val="24"/>
        </w:rPr>
        <w:tab/>
        <w:t>vyzývá Komisi, aby zajistila, že budoucí iniciativy zaměřené na zvýšení konkurenceschopnosti EU a prohloubení jednotného trhu budou zakotveny v opatřeních na posílení hospodářské, sociální a územní soudržnosti, jak stanoví smlouvy; zdůrazňuje, že do systému správy EU musí být plně začleněny institucionální mechanismy pro rovné příležitosti, solidaritu a snižování nerovností; opakuje svou výzvu k posílení provádění a monitorování evropského pilíře sociálních práv prostřednictvím správních struktur EU, čímž se sociální pokrok stane zásadním prvkem rozhodovacího procesu EU;</w:t>
      </w:r>
    </w:p>
    <w:p w14:paraId="24E0C2F3" w14:textId="3B97B57D" w:rsidR="00381CD5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19.</w:t>
      </w:r>
      <w:r w:rsidRPr="00E31FAA">
        <w:rPr>
          <w:szCs w:val="24"/>
        </w:rPr>
        <w:tab/>
        <w:t>znovu potvrzuje, že cíle jednotného trhu by měly být v souladu nejen s právem na volný pohyb, ale také s „právem zůstat“, jak je uvedeno v </w:t>
      </w:r>
      <w:proofErr w:type="spellStart"/>
      <w:r w:rsidRPr="00E31FAA">
        <w:rPr>
          <w:szCs w:val="24"/>
        </w:rPr>
        <w:t>Lettově</w:t>
      </w:r>
      <w:proofErr w:type="spellEnd"/>
      <w:r w:rsidRPr="00E31FAA">
        <w:rPr>
          <w:szCs w:val="24"/>
        </w:rPr>
        <w:t xml:space="preserve"> zprávě; vyzývá proto Komisi, aby odpovědnost za „právo zůstat“ svěřila jednomu z komisařů, do jehož působnosti by spadala politika soudržnosti a služby obecného zájmu, a aby byl mezi tímto komisařem a regionálními orgány členských států navázán strukturovaný a trvalý dialog s cílem zajistit, že politické předpisy zaměřující se na „právo zůstat“ budou pečlivě přizpůsobeny zvláštním charakteristikám regionů EU a budou respektovat jejich socioekonomickou a kulturní rozmanitost; uznává, že podpora rozvoje infrastruktury, budování komunit, vytváření pracovních míst, přístupu k veřejným službám a vhodného prostředí pro průmyslová odvětví a investice má zásadní význam pro zachování práva lidí zůstat ve svých regionech a přispívá k hospodářskému rozvoji a konkurenceschopnosti EU; zdůrazňuje, že je důležité, aby významná část rozpočtu byla i nadále vyčleňována na politiku soudržnosti, a že by mělo být zajištěno, aby tato politika účinněji reagovala na specifické potřeby regionů a měst, mimo jiné tím, že bude poskytovat přímější přístup k finančním prostředkům EU; zdůrazňuje, že je třeba, aby projekty politiky soudržnosti byly v praxi zaváděny efektivněji a viditelněji a aby přinesly hmatatelné výsledky, které posílí pocit sounáležitosti občanů a podpoří integraci do EU; </w:t>
      </w:r>
    </w:p>
    <w:p w14:paraId="5DA39D99" w14:textId="77777777" w:rsidR="00381CD5" w:rsidRPr="00E31FAA" w:rsidRDefault="00381CD5" w:rsidP="00614CC8">
      <w:pPr>
        <w:pStyle w:val="Normal12a24b"/>
        <w:spacing w:before="0"/>
        <w:ind w:left="567" w:hanging="567"/>
        <w:rPr>
          <w:bCs/>
          <w:iCs/>
          <w:szCs w:val="24"/>
        </w:rPr>
      </w:pPr>
      <w:r w:rsidRPr="00E31FAA">
        <w:rPr>
          <w:szCs w:val="24"/>
        </w:rPr>
        <w:t>20.</w:t>
      </w:r>
      <w:r w:rsidRPr="00E31FAA">
        <w:rPr>
          <w:szCs w:val="24"/>
        </w:rPr>
        <w:tab/>
        <w:t>zdůrazňuje, že EU by měla ve strategických oblastech jednat účinněji a doplňovat vnitrostátní opatření, přičemž by měla využít vlastních zdrojů EU spolu s koordinovanými příspěvky, a že takovými kroky posílí konkurenceschopnost, inovace, hospodářskou odolnost, sociální a územní soudržnost, environmentální a energetickou udržitelnost a kolektivní bezpečnost Evropy; s ohledem na zjištění uvedená v </w:t>
      </w:r>
      <w:proofErr w:type="spellStart"/>
      <w:r w:rsidRPr="00E31FAA">
        <w:rPr>
          <w:szCs w:val="24"/>
        </w:rPr>
        <w:t>Draghiho</w:t>
      </w:r>
      <w:proofErr w:type="spellEnd"/>
      <w:r w:rsidRPr="00E31FAA">
        <w:rPr>
          <w:szCs w:val="24"/>
        </w:rPr>
        <w:t xml:space="preserve"> zprávě zdůrazňuje, že je třeba zachovat otevřenou diskusi zaměřenou na budoucnost, s přihlédnutím k poznatkům získaným ze zkušeností s nástrojem </w:t>
      </w:r>
      <w:proofErr w:type="spellStart"/>
      <w:r w:rsidRPr="00E31FAA">
        <w:rPr>
          <w:szCs w:val="24"/>
        </w:rPr>
        <w:t>NextGenerationEU</w:t>
      </w:r>
      <w:proofErr w:type="spellEnd"/>
      <w:r w:rsidRPr="00E31FAA">
        <w:rPr>
          <w:szCs w:val="24"/>
        </w:rPr>
        <w:t>; zdůrazňuje, že je důležité na úrovni EU vytvořit nástroje pro investice určené pro financování společných strategických investic do evropských veřejných statků a služeb a upravit programy financování tak, aby zohledňovaly měnící se dynamiku obchodu a inovací; zdůrazňuje, že skutečné nové vlastní zdroje EU jsou klíčem k tomu, aby Parlament a Rada mohly přijímat flexibilní rozpočty s cílem umožnit EU, aby jednala autonomněji a snížila svou závislost na příspěvcích z vnitrostátních rozpočtů; zdůrazňuje, že novým vlastním zdrojem EU by se mohl stát například mechanismus uhlíkového vyrovnání na hranicích, který členské státy silně podporují; připomíná postoj Parlamentu vyjádřený v jeho návrhu víceletého finančního rámce na období 2028–2034, podle nějž je třeba jít nad rámec pravidla, které si Parlament sám stanovil a podle kterého výše dlouhodobého rozpočtu EU nesmí překročit 1 % souhrnného hrubého národního produktu členských států;</w:t>
      </w:r>
    </w:p>
    <w:p w14:paraId="68E1CEB2" w14:textId="77777777" w:rsidR="00381CD5" w:rsidRPr="00E31FAA" w:rsidRDefault="00381CD5" w:rsidP="00614CC8">
      <w:pPr>
        <w:pStyle w:val="Normal12a24b"/>
        <w:spacing w:before="0"/>
        <w:ind w:left="567" w:hanging="567"/>
        <w:rPr>
          <w:szCs w:val="24"/>
        </w:rPr>
      </w:pPr>
      <w:r w:rsidRPr="00E31FAA">
        <w:rPr>
          <w:szCs w:val="24"/>
        </w:rPr>
        <w:t>21.</w:t>
      </w:r>
      <w:r w:rsidRPr="00E31FAA">
        <w:rPr>
          <w:szCs w:val="24"/>
        </w:rPr>
        <w:tab/>
        <w:t>zdůrazňuje, že rozpočet EU by měl být zjednodušen, aby se zachovala a posílila celosvětová konkurenceschopnost EU, snížila zbytečná administrativní zátěž, usnadnil se přístup k finančním prostředkům pro příjemce a lépe se splnil cíl posílení hospodářské, sociální a územní soudržnosti, a to tím, že se zajistí, aby se finanční prostředky dostaly k těm nejpotřebnějším, zejména k malým a středním podnikům, místním komunitám a subjektům sociální ekonomiky, a to i ve venkovských, okrajových nebo hospodářsky znevýhodněných oblastech; připomíná však, že úsilí o zjednodušení nesmí nijak ohrozit základní zásady, na nichž je založen víceletý finanční rámec a jeho programy, ani oslabit demokratickou kontrolu nad jejich prováděním; zdůrazňuje, že zjednodušení musí být doprovázeno silnými zárukami rovného přístupu, nediskriminace a účinné odpovědnosti, přičemž Parlament zajistí demokratický dohled během celého cyklu financování;</w:t>
      </w:r>
    </w:p>
    <w:p w14:paraId="39C373E2" w14:textId="461A3E7F" w:rsidR="00381CD5" w:rsidRPr="00E31FAA" w:rsidRDefault="00381CD5" w:rsidP="00614CC8">
      <w:pPr>
        <w:pStyle w:val="Normal12a24b"/>
        <w:spacing w:before="0"/>
        <w:ind w:left="567" w:hanging="567"/>
        <w:rPr>
          <w:bCs/>
          <w:iCs/>
          <w:szCs w:val="24"/>
        </w:rPr>
      </w:pPr>
      <w:r w:rsidRPr="00E31FAA">
        <w:rPr>
          <w:szCs w:val="24"/>
        </w:rPr>
        <w:t>22.</w:t>
      </w:r>
      <w:r w:rsidRPr="00E31FAA">
        <w:rPr>
          <w:szCs w:val="24"/>
        </w:rPr>
        <w:tab/>
        <w:t>zdůrazňuje, že dosažení cílů EU v oblasti konkurenceschopnosti vyžaduje začlenění cílů klimatické neutrality a udržitelnosti do institucionálního a správního rámce EU; poukazuje na to, že reformy musí respektovat ustanovení Smluv, včetně článku 194 S</w:t>
      </w:r>
      <w:r w:rsidR="00E31FAA">
        <w:rPr>
          <w:szCs w:val="24"/>
        </w:rPr>
        <w:t xml:space="preserve">mlouvy o fungování </w:t>
      </w:r>
      <w:r w:rsidRPr="00E31FAA">
        <w:rPr>
          <w:szCs w:val="24"/>
        </w:rPr>
        <w:t>EU, a že silná demokratická legitimita musí být zajištěna zapojením Parlamentu do jejich návrhu, financování a dohledu; zdůrazňuje, že je důležité posílit interinstitucionální koordinaci a zajistit, aby rozhodnutí v této oblasti podléhala účinné parlamentní kontrole, čímž se posílí demokratické základy Unie;</w:t>
      </w:r>
    </w:p>
    <w:p w14:paraId="1A416A30" w14:textId="2963595D" w:rsidR="00381CD5" w:rsidRPr="00E31FAA" w:rsidRDefault="00381CD5" w:rsidP="00614CC8">
      <w:pPr>
        <w:pStyle w:val="Normal12a24b"/>
        <w:spacing w:before="0"/>
        <w:ind w:left="567" w:hanging="567"/>
        <w:rPr>
          <w:bCs/>
          <w:iCs/>
          <w:szCs w:val="24"/>
        </w:rPr>
      </w:pPr>
      <w:r w:rsidRPr="00E31FAA">
        <w:rPr>
          <w:szCs w:val="24"/>
        </w:rPr>
        <w:t>23.</w:t>
      </w:r>
      <w:r w:rsidRPr="00E31FAA">
        <w:rPr>
          <w:szCs w:val="24"/>
        </w:rPr>
        <w:tab/>
        <w:t>vyzývá Komisi a členské státy, aby s ohledem na stávající geopolitické výzvy vytvořily skutečnou evropskou obrannou unii a posílily investice do evropského obranného průmyslu, zejména využíváním skutečně evropských nástrojů s novými finančními zdroji ve spojení s kompletním programem pro obranu, včetně boje proti hybridním útokům, a zajistily, aby plánování, rozvoj, zadávání veřejných zakázek a řízení kapacit probíhalo společně ve skupinách zahrnujících značný počet členských států; vyzývá Komisi, aby zlepšila soulad mezi stávajícími a budoucími nástroji, a to i na úrovni řízení, aby byla zajištěna účinná demokratická kontrola nové obranné unie; vyzývá EU, aby v souladu s doporučeními uvedenými v </w:t>
      </w:r>
      <w:proofErr w:type="spellStart"/>
      <w:r w:rsidRPr="00E31FAA">
        <w:rPr>
          <w:szCs w:val="24"/>
        </w:rPr>
        <w:t>Draghiho</w:t>
      </w:r>
      <w:proofErr w:type="spellEnd"/>
      <w:r w:rsidRPr="00E31FAA">
        <w:rPr>
          <w:szCs w:val="24"/>
        </w:rPr>
        <w:t xml:space="preserve">, </w:t>
      </w:r>
      <w:proofErr w:type="spellStart"/>
      <w:r w:rsidRPr="00E31FAA">
        <w:rPr>
          <w:szCs w:val="24"/>
        </w:rPr>
        <w:t>Lettově</w:t>
      </w:r>
      <w:proofErr w:type="spellEnd"/>
      <w:r w:rsidRPr="00E31FAA">
        <w:rPr>
          <w:szCs w:val="24"/>
        </w:rPr>
        <w:t xml:space="preserve"> a </w:t>
      </w:r>
      <w:proofErr w:type="spellStart"/>
      <w:r w:rsidRPr="00E31FAA">
        <w:rPr>
          <w:szCs w:val="24"/>
        </w:rPr>
        <w:t>Niinistöově</w:t>
      </w:r>
      <w:proofErr w:type="spellEnd"/>
      <w:r w:rsidRPr="00E31FAA">
        <w:rPr>
          <w:szCs w:val="24"/>
        </w:rPr>
        <w:t xml:space="preserve"> zprávě překonala roztříštěnost trhu tím, že vytvoří jednotný trh v oblasti obrany, na němž budou uplatňována závazná společná pravidla; konstatuje, že tato společná pravidla by zaručila spravedlivou hospodářskou soutěž a usnadnila křížovou certifikaci obranných produktů a zároveň by zajistila plnou interoperabilitu a zaměnitelnost, přinesla úspory z rozsahu a posílila kapacity a zdroje; vyzývá Komisi a členské státy, aby začlenily investice do obrany do širší koncepce bezpečnosti, která bude zahrnovat také společné evropské iniciativy, zejména evropské obranné projekty společného zájmu, čímž posílí kritickou infrastrukturu a pokrok v projektech v oblasti výzkumu a vývoje, což přispěje k vytváření a zachovávání kvalitních pracovních míst; vyzývá Evropskou radu, aby se dohodla na aktivaci čl. 42 odst. 2 S</w:t>
      </w:r>
      <w:r w:rsidR="00E31FAA">
        <w:rPr>
          <w:szCs w:val="24"/>
        </w:rPr>
        <w:t xml:space="preserve">mlouvy o </w:t>
      </w:r>
      <w:r w:rsidRPr="00E31FAA">
        <w:rPr>
          <w:szCs w:val="24"/>
        </w:rPr>
        <w:t>EU za účelem zavedení společné obranné politiky Unie; zdůrazňuje, že nová obranná unie musí doplňovat NATO, nikoli jej nahrazovat; bere na vědomí skutečnost, že členské státy zahájily postupné vymezení evropské obranné politiky a zároveň zřídily Evropskou obrannou agenturu (EDA) a zahájily stálou strukturovanou spolupráci (PESCO); vyzývá členské státy, aby pokračovaly v práci na postupném vymezení evropské obranné unie se společnou obranou; připomíná, že zřízení fondu pro zahájení operace, Evropské obranné agentury a stálé strukturované spolupráce, jakož i využívání rozpočtu EU se řídí hlasováním kvalifikovanou většinou; připomíná, že podle článku 44 S</w:t>
      </w:r>
      <w:r w:rsidR="00E31FAA">
        <w:rPr>
          <w:szCs w:val="24"/>
        </w:rPr>
        <w:t xml:space="preserve">mlouvy o </w:t>
      </w:r>
      <w:r w:rsidRPr="00E31FAA">
        <w:rPr>
          <w:szCs w:val="24"/>
        </w:rPr>
        <w:t>EU se může skupina členských států rovněž rozhodnout použít hlasování kvalifikovanou většinou;</w:t>
      </w:r>
    </w:p>
    <w:p w14:paraId="5A93790B" w14:textId="77DC6FEA" w:rsidR="00381CD5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24.</w:t>
      </w:r>
      <w:r w:rsidRPr="00E31FAA">
        <w:rPr>
          <w:szCs w:val="24"/>
        </w:rPr>
        <w:tab/>
        <w:t xml:space="preserve">zdůrazňuje, že posílení správy umělé inteligence musí být založeno na transparentnosti, ochraně základních práv a ochraně veřejného zájmu v souladu s přístupem EU založeným na pravidlech; vyzývá Komisi, aby posílila úlohu stávajícího Evropského úřadu pro umělou inteligenci; vítá Akční plán pro kontinent umělé inteligence, jehož cílem je vyvinout „model umělé inteligence“ EU, který by byl založen na spolupráci mezi veřejnými a soukromými subjekty; </w:t>
      </w:r>
    </w:p>
    <w:p w14:paraId="3867C616" w14:textId="002713B0" w:rsidR="003928EC" w:rsidRDefault="003928EC" w:rsidP="003928EC">
      <w:pPr>
        <w:pStyle w:val="NormalHanging12a"/>
        <w:ind w:left="0" w:firstLine="0"/>
        <w:jc w:val="center"/>
        <w:rPr>
          <w:szCs w:val="24"/>
        </w:rPr>
      </w:pPr>
      <w:r>
        <w:rPr>
          <w:szCs w:val="24"/>
        </w:rPr>
        <w:t>°</w:t>
      </w:r>
    </w:p>
    <w:p w14:paraId="176C53D4" w14:textId="77777777" w:rsidR="00B2660F" w:rsidRDefault="003928EC" w:rsidP="00B2660F">
      <w:pPr>
        <w:pStyle w:val="NormalHanging12a"/>
        <w:jc w:val="center"/>
        <w:rPr>
          <w:szCs w:val="24"/>
        </w:rPr>
      </w:pPr>
      <w:r>
        <w:rPr>
          <w:szCs w:val="24"/>
        </w:rPr>
        <w:t>°     °</w:t>
      </w:r>
    </w:p>
    <w:p w14:paraId="66979161" w14:textId="554D741D" w:rsidR="00BA3D2A" w:rsidRPr="00E31FAA" w:rsidRDefault="00381CD5" w:rsidP="00E31FAA">
      <w:pPr>
        <w:pStyle w:val="NormalHanging12a"/>
        <w:rPr>
          <w:szCs w:val="24"/>
        </w:rPr>
      </w:pPr>
      <w:r w:rsidRPr="00E31FAA">
        <w:rPr>
          <w:szCs w:val="24"/>
        </w:rPr>
        <w:t>25.</w:t>
      </w:r>
      <w:r w:rsidRPr="00E31FAA">
        <w:rPr>
          <w:szCs w:val="24"/>
        </w:rPr>
        <w:tab/>
        <w:t>pověřuje svou předsedkyni, aby předala toto usnesení Radě, Komisi, Evropské radě a vládám a parlamentům členských států.</w:t>
      </w:r>
    </w:p>
    <w:p w14:paraId="14E720C6" w14:textId="0D3BD982" w:rsidR="00E365E1" w:rsidRPr="00E31FAA" w:rsidRDefault="00E365E1" w:rsidP="00614CC8">
      <w:pPr>
        <w:spacing w:after="240"/>
        <w:ind w:left="567" w:hanging="567"/>
        <w:rPr>
          <w:szCs w:val="24"/>
        </w:rPr>
      </w:pPr>
    </w:p>
    <w:sectPr w:rsidR="00E365E1" w:rsidRPr="00E31FAA" w:rsidSect="00BA3D2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3C90F" w14:textId="77777777" w:rsidR="00FA1225" w:rsidRPr="00BA3D2A" w:rsidRDefault="00FA1225">
      <w:r w:rsidRPr="00BA3D2A">
        <w:separator/>
      </w:r>
    </w:p>
  </w:endnote>
  <w:endnote w:type="continuationSeparator" w:id="0">
    <w:p w14:paraId="11333F63" w14:textId="77777777" w:rsidR="00FA1225" w:rsidRPr="00BA3D2A" w:rsidRDefault="00FA1225">
      <w:r w:rsidRPr="00BA3D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27571" w14:textId="77777777" w:rsidR="00064002" w:rsidRPr="00BA3D2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41292" w14:textId="77777777" w:rsidR="00064002" w:rsidRPr="00BA3D2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7B753" w14:textId="77777777" w:rsidR="00064002" w:rsidRPr="00BA3D2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48CF3" w14:textId="77777777" w:rsidR="00FA1225" w:rsidRPr="00BA3D2A" w:rsidRDefault="00FA1225">
      <w:r w:rsidRPr="00BA3D2A">
        <w:separator/>
      </w:r>
    </w:p>
  </w:footnote>
  <w:footnote w:type="continuationSeparator" w:id="0">
    <w:p w14:paraId="78351E34" w14:textId="77777777" w:rsidR="00FA1225" w:rsidRPr="00BA3D2A" w:rsidRDefault="00FA1225">
      <w:r w:rsidRPr="00BA3D2A">
        <w:continuationSeparator/>
      </w:r>
    </w:p>
  </w:footnote>
  <w:footnote w:id="1">
    <w:p w14:paraId="2C76DF3E" w14:textId="2390B501" w:rsidR="00381CD5" w:rsidRPr="00BA3D2A" w:rsidRDefault="00381CD5" w:rsidP="00BA3D2A">
      <w:pPr>
        <w:pStyle w:val="FootnoteText"/>
        <w:ind w:left="567" w:hanging="567"/>
        <w:rPr>
          <w:sz w:val="24"/>
          <w:lang w:val="cs-CZ"/>
        </w:rPr>
      </w:pPr>
      <w:r w:rsidRPr="00BA3D2A">
        <w:rPr>
          <w:rStyle w:val="FootnoteReference"/>
          <w:sz w:val="24"/>
          <w:lang w:val="cs-CZ"/>
        </w:rPr>
        <w:footnoteRef/>
      </w:r>
      <w:r w:rsidR="00BA3D2A" w:rsidRPr="00BA3D2A">
        <w:rPr>
          <w:sz w:val="24"/>
          <w:lang w:val="cs-CZ"/>
        </w:rPr>
        <w:t xml:space="preserve"> </w:t>
      </w:r>
      <w:r w:rsidR="00BA3D2A" w:rsidRPr="00BA3D2A">
        <w:rPr>
          <w:sz w:val="24"/>
          <w:lang w:val="cs-CZ"/>
        </w:rPr>
        <w:tab/>
      </w:r>
      <w:proofErr w:type="spellStart"/>
      <w:r w:rsidRPr="00BA3D2A">
        <w:rPr>
          <w:sz w:val="24"/>
          <w:lang w:val="cs-CZ"/>
        </w:rPr>
        <w:t>Úř</w:t>
      </w:r>
      <w:proofErr w:type="spellEnd"/>
      <w:r w:rsidRPr="00BA3D2A">
        <w:rPr>
          <w:sz w:val="24"/>
          <w:lang w:val="cs-CZ"/>
        </w:rPr>
        <w:t xml:space="preserve">. </w:t>
      </w:r>
      <w:proofErr w:type="spellStart"/>
      <w:r w:rsidRPr="00BA3D2A">
        <w:rPr>
          <w:sz w:val="24"/>
          <w:lang w:val="cs-CZ"/>
        </w:rPr>
        <w:t>věst</w:t>
      </w:r>
      <w:proofErr w:type="spellEnd"/>
      <w:r w:rsidRPr="00BA3D2A">
        <w:rPr>
          <w:sz w:val="24"/>
          <w:lang w:val="cs-CZ"/>
        </w:rPr>
        <w:t>. C 465, 6.12.2022, s. 109.</w:t>
      </w:r>
    </w:p>
  </w:footnote>
  <w:footnote w:id="2">
    <w:p w14:paraId="675F1108" w14:textId="293AE301" w:rsidR="00381CD5" w:rsidRPr="00BA3D2A" w:rsidRDefault="00381CD5" w:rsidP="00BA3D2A">
      <w:pPr>
        <w:pStyle w:val="FootnoteText"/>
        <w:ind w:left="567" w:hanging="567"/>
        <w:rPr>
          <w:sz w:val="24"/>
          <w:lang w:val="cs-CZ"/>
        </w:rPr>
      </w:pPr>
      <w:r w:rsidRPr="00BA3D2A">
        <w:rPr>
          <w:rStyle w:val="FootnoteReference"/>
          <w:sz w:val="24"/>
          <w:lang w:val="cs-CZ"/>
        </w:rPr>
        <w:footnoteRef/>
      </w:r>
      <w:r w:rsidR="00BA3D2A" w:rsidRPr="00BA3D2A">
        <w:rPr>
          <w:sz w:val="24"/>
          <w:lang w:val="cs-CZ"/>
        </w:rPr>
        <w:t xml:space="preserve"> </w:t>
      </w:r>
      <w:r w:rsidR="00BA3D2A" w:rsidRPr="00BA3D2A">
        <w:rPr>
          <w:sz w:val="24"/>
          <w:lang w:val="cs-CZ"/>
        </w:rPr>
        <w:tab/>
      </w:r>
      <w:proofErr w:type="spellStart"/>
      <w:r w:rsidRPr="00BA3D2A">
        <w:rPr>
          <w:sz w:val="24"/>
          <w:lang w:val="cs-CZ"/>
        </w:rPr>
        <w:t>Úř</w:t>
      </w:r>
      <w:proofErr w:type="spellEnd"/>
      <w:r w:rsidRPr="00BA3D2A">
        <w:rPr>
          <w:sz w:val="24"/>
          <w:lang w:val="cs-CZ"/>
        </w:rPr>
        <w:t xml:space="preserve">. </w:t>
      </w:r>
      <w:proofErr w:type="spellStart"/>
      <w:r w:rsidRPr="00BA3D2A">
        <w:rPr>
          <w:sz w:val="24"/>
          <w:lang w:val="cs-CZ"/>
        </w:rPr>
        <w:t>věst</w:t>
      </w:r>
      <w:proofErr w:type="spellEnd"/>
      <w:r w:rsidRPr="00BA3D2A">
        <w:rPr>
          <w:sz w:val="24"/>
          <w:lang w:val="cs-CZ"/>
        </w:rPr>
        <w:t>. C 493, 27.12.2022, s. 130.</w:t>
      </w:r>
    </w:p>
  </w:footnote>
  <w:footnote w:id="3">
    <w:p w14:paraId="451D52FF" w14:textId="0D839BC8" w:rsidR="00381CD5" w:rsidRPr="00BA3D2A" w:rsidRDefault="00381CD5" w:rsidP="00BA3D2A">
      <w:pPr>
        <w:pStyle w:val="FootnoteText"/>
        <w:ind w:left="567" w:hanging="567"/>
        <w:rPr>
          <w:sz w:val="24"/>
          <w:lang w:val="cs-CZ"/>
        </w:rPr>
      </w:pPr>
      <w:r w:rsidRPr="00BA3D2A">
        <w:rPr>
          <w:rStyle w:val="FootnoteReference"/>
          <w:sz w:val="24"/>
          <w:lang w:val="cs-CZ"/>
        </w:rPr>
        <w:footnoteRef/>
      </w:r>
      <w:r w:rsidR="00BA3D2A" w:rsidRPr="00BA3D2A">
        <w:rPr>
          <w:sz w:val="24"/>
          <w:lang w:val="cs-CZ"/>
        </w:rPr>
        <w:t xml:space="preserve"> </w:t>
      </w:r>
      <w:r w:rsidR="00BA3D2A" w:rsidRPr="00BA3D2A">
        <w:rPr>
          <w:sz w:val="24"/>
          <w:lang w:val="cs-CZ"/>
        </w:rPr>
        <w:tab/>
      </w:r>
      <w:proofErr w:type="spellStart"/>
      <w:r w:rsidRPr="00BA3D2A">
        <w:rPr>
          <w:sz w:val="24"/>
          <w:lang w:val="cs-CZ"/>
        </w:rPr>
        <w:t>Úř</w:t>
      </w:r>
      <w:proofErr w:type="spellEnd"/>
      <w:r w:rsidRPr="00BA3D2A">
        <w:rPr>
          <w:sz w:val="24"/>
          <w:lang w:val="cs-CZ"/>
        </w:rPr>
        <w:t xml:space="preserve">. </w:t>
      </w:r>
      <w:proofErr w:type="spellStart"/>
      <w:r w:rsidRPr="00BA3D2A">
        <w:rPr>
          <w:sz w:val="24"/>
          <w:lang w:val="cs-CZ"/>
        </w:rPr>
        <w:t>věst</w:t>
      </w:r>
      <w:proofErr w:type="spellEnd"/>
      <w:r w:rsidRPr="00BA3D2A">
        <w:rPr>
          <w:sz w:val="24"/>
          <w:lang w:val="cs-CZ"/>
        </w:rPr>
        <w:t xml:space="preserve">. C, C/2024/4216, 24.7.2024, ELI: </w:t>
      </w:r>
      <w:r w:rsidR="00B2660F">
        <w:fldChar w:fldCharType="begin"/>
      </w:r>
      <w:r w:rsidR="00B2660F" w:rsidRPr="00B2660F">
        <w:rPr>
          <w:lang w:val="fi-FI"/>
        </w:rPr>
        <w:instrText>HYPERLINK "http://data.europa.eu/eli/C/2024/4216/oj"</w:instrText>
      </w:r>
      <w:r w:rsidR="00B2660F">
        <w:fldChar w:fldCharType="separate"/>
      </w:r>
      <w:r w:rsidRPr="00E31FAA">
        <w:rPr>
          <w:rStyle w:val="Hyperlink"/>
          <w:sz w:val="24"/>
          <w:lang w:val="cs-CZ"/>
        </w:rPr>
        <w:t>http://data.europa.eu/eli/C/2024/4216/oj</w:t>
      </w:r>
      <w:r w:rsidR="00B2660F">
        <w:rPr>
          <w:rStyle w:val="Hyperlink"/>
          <w:sz w:val="24"/>
          <w:lang w:val="cs-CZ"/>
        </w:rPr>
        <w:fldChar w:fldCharType="end"/>
      </w:r>
      <w:r w:rsidRPr="00BA3D2A">
        <w:rPr>
          <w:sz w:val="24"/>
          <w:lang w:val="cs-CZ"/>
        </w:rPr>
        <w:t>.</w:t>
      </w:r>
    </w:p>
  </w:footnote>
  <w:footnote w:id="4">
    <w:p w14:paraId="1105DA7B" w14:textId="50AC529B" w:rsidR="00381CD5" w:rsidRPr="00BA3D2A" w:rsidRDefault="00381CD5" w:rsidP="00BA3D2A">
      <w:pPr>
        <w:pStyle w:val="FootnoteText"/>
        <w:ind w:left="567" w:hanging="567"/>
        <w:rPr>
          <w:sz w:val="24"/>
          <w:lang w:val="cs-CZ"/>
        </w:rPr>
      </w:pPr>
      <w:r w:rsidRPr="00BA3D2A">
        <w:rPr>
          <w:rStyle w:val="FootnoteReference"/>
          <w:sz w:val="24"/>
          <w:lang w:val="cs-CZ"/>
        </w:rPr>
        <w:footnoteRef/>
      </w:r>
      <w:r w:rsidR="00BA3D2A" w:rsidRPr="00BA3D2A">
        <w:rPr>
          <w:sz w:val="24"/>
          <w:lang w:val="cs-CZ"/>
        </w:rPr>
        <w:t xml:space="preserve"> </w:t>
      </w:r>
      <w:r w:rsidR="00BA3D2A" w:rsidRPr="00BA3D2A">
        <w:rPr>
          <w:sz w:val="24"/>
          <w:lang w:val="cs-CZ"/>
        </w:rPr>
        <w:tab/>
      </w:r>
      <w:proofErr w:type="spellStart"/>
      <w:r w:rsidRPr="00BA3D2A">
        <w:rPr>
          <w:sz w:val="24"/>
          <w:lang w:val="cs-CZ"/>
        </w:rPr>
        <w:t>Úř</w:t>
      </w:r>
      <w:proofErr w:type="spellEnd"/>
      <w:r w:rsidRPr="00BA3D2A">
        <w:rPr>
          <w:sz w:val="24"/>
          <w:lang w:val="cs-CZ"/>
        </w:rPr>
        <w:t xml:space="preserve">. </w:t>
      </w:r>
      <w:proofErr w:type="spellStart"/>
      <w:r w:rsidRPr="00BA3D2A">
        <w:rPr>
          <w:sz w:val="24"/>
          <w:lang w:val="cs-CZ"/>
        </w:rPr>
        <w:t>věst</w:t>
      </w:r>
      <w:proofErr w:type="spellEnd"/>
      <w:r w:rsidRPr="00BA3D2A">
        <w:rPr>
          <w:sz w:val="24"/>
          <w:lang w:val="cs-CZ"/>
        </w:rPr>
        <w:t xml:space="preserve">. C, C/2024/3996, 17.7.2024, ELI: </w:t>
      </w:r>
      <w:r w:rsidR="00B2660F">
        <w:fldChar w:fldCharType="begin"/>
      </w:r>
      <w:r w:rsidR="00B2660F" w:rsidRPr="00B2660F">
        <w:rPr>
          <w:lang w:val="fi-FI"/>
        </w:rPr>
        <w:instrText>HYPERLINK "http://data.europa.eu/eli/C/2024/3996/oj"</w:instrText>
      </w:r>
      <w:r w:rsidR="00B2660F">
        <w:fldChar w:fldCharType="separate"/>
      </w:r>
      <w:r w:rsidRPr="00E31FAA">
        <w:rPr>
          <w:rStyle w:val="Hyperlink"/>
          <w:sz w:val="24"/>
          <w:lang w:val="cs-CZ"/>
        </w:rPr>
        <w:t>http://data.europa.eu/eli/C/2024/3996/oj</w:t>
      </w:r>
      <w:r w:rsidR="00B2660F">
        <w:rPr>
          <w:rStyle w:val="Hyperlink"/>
          <w:sz w:val="24"/>
          <w:lang w:val="cs-CZ"/>
        </w:rPr>
        <w:fldChar w:fldCharType="end"/>
      </w:r>
      <w:r w:rsidRPr="00BA3D2A">
        <w:rPr>
          <w:sz w:val="24"/>
          <w:lang w:val="cs-CZ"/>
        </w:rPr>
        <w:t>.</w:t>
      </w:r>
    </w:p>
  </w:footnote>
  <w:footnote w:id="5">
    <w:p w14:paraId="289B4BFE" w14:textId="3A6A0E87" w:rsidR="00381CD5" w:rsidRPr="00BA3D2A" w:rsidRDefault="00381CD5" w:rsidP="00BA3D2A">
      <w:pPr>
        <w:pStyle w:val="FootnoteText"/>
        <w:ind w:left="567" w:hanging="567"/>
        <w:rPr>
          <w:sz w:val="24"/>
          <w:lang w:val="cs-CZ"/>
        </w:rPr>
      </w:pPr>
      <w:r w:rsidRPr="00BA3D2A">
        <w:rPr>
          <w:rStyle w:val="FootnoteReference"/>
          <w:sz w:val="24"/>
          <w:lang w:val="cs-CZ"/>
        </w:rPr>
        <w:footnoteRef/>
      </w:r>
      <w:r w:rsidR="00BA3D2A" w:rsidRPr="00BA3D2A">
        <w:rPr>
          <w:sz w:val="24"/>
          <w:lang w:val="cs-CZ"/>
        </w:rPr>
        <w:t xml:space="preserve"> </w:t>
      </w:r>
      <w:r w:rsidR="00BA3D2A" w:rsidRPr="00BA3D2A">
        <w:rPr>
          <w:sz w:val="24"/>
          <w:lang w:val="cs-CZ"/>
        </w:rPr>
        <w:tab/>
      </w:r>
      <w:r w:rsidRPr="00BA3D2A">
        <w:rPr>
          <w:sz w:val="24"/>
          <w:lang w:val="cs-CZ"/>
        </w:rPr>
        <w:t>Přijaté texty, P10_</w:t>
      </w:r>
      <w:proofErr w:type="gramStart"/>
      <w:r w:rsidRPr="00BA3D2A">
        <w:rPr>
          <w:sz w:val="24"/>
          <w:lang w:val="cs-CZ"/>
        </w:rPr>
        <w:t>TA(</w:t>
      </w:r>
      <w:proofErr w:type="gramEnd"/>
      <w:r w:rsidRPr="00BA3D2A">
        <w:rPr>
          <w:sz w:val="24"/>
          <w:lang w:val="cs-CZ"/>
        </w:rPr>
        <w:t>2025)0090.</w:t>
      </w:r>
    </w:p>
  </w:footnote>
  <w:footnote w:id="6">
    <w:p w14:paraId="68BF28A9" w14:textId="7A729585" w:rsidR="00381CD5" w:rsidRPr="00BA3D2A" w:rsidRDefault="00381CD5" w:rsidP="00BA3D2A">
      <w:pPr>
        <w:pStyle w:val="FootnoteText"/>
        <w:ind w:left="567" w:hanging="567"/>
        <w:rPr>
          <w:sz w:val="24"/>
          <w:lang w:val="cs-CZ"/>
        </w:rPr>
      </w:pPr>
      <w:r w:rsidRPr="00BA3D2A">
        <w:rPr>
          <w:rStyle w:val="FootnoteReference"/>
          <w:sz w:val="24"/>
          <w:lang w:val="cs-CZ"/>
        </w:rPr>
        <w:footnoteRef/>
      </w:r>
      <w:r w:rsidR="00BA3D2A" w:rsidRPr="00BA3D2A">
        <w:rPr>
          <w:sz w:val="24"/>
          <w:lang w:val="cs-CZ"/>
        </w:rPr>
        <w:t xml:space="preserve"> </w:t>
      </w:r>
      <w:r w:rsidR="00BA3D2A" w:rsidRPr="00BA3D2A">
        <w:rPr>
          <w:sz w:val="24"/>
          <w:lang w:val="cs-CZ"/>
        </w:rPr>
        <w:tab/>
      </w:r>
      <w:proofErr w:type="spellStart"/>
      <w:r w:rsidRPr="00BA3D2A">
        <w:rPr>
          <w:sz w:val="24"/>
          <w:lang w:val="cs-CZ"/>
        </w:rPr>
        <w:t>Úř</w:t>
      </w:r>
      <w:proofErr w:type="spellEnd"/>
      <w:r w:rsidRPr="00BA3D2A">
        <w:rPr>
          <w:sz w:val="24"/>
          <w:lang w:val="cs-CZ"/>
        </w:rPr>
        <w:t xml:space="preserve">. </w:t>
      </w:r>
      <w:proofErr w:type="spellStart"/>
      <w:r w:rsidRPr="00BA3D2A">
        <w:rPr>
          <w:sz w:val="24"/>
          <w:lang w:val="cs-CZ"/>
        </w:rPr>
        <w:t>věst</w:t>
      </w:r>
      <w:proofErr w:type="spellEnd"/>
      <w:r w:rsidRPr="00BA3D2A">
        <w:rPr>
          <w:sz w:val="24"/>
          <w:lang w:val="cs-CZ"/>
        </w:rPr>
        <w:t xml:space="preserve">. C, C/2025/3151, 20.6.2025, ELI: </w:t>
      </w:r>
      <w:r w:rsidR="00B2660F">
        <w:fldChar w:fldCharType="begin"/>
      </w:r>
      <w:r w:rsidR="00B2660F" w:rsidRPr="00B2660F">
        <w:rPr>
          <w:lang w:val="fi-FI"/>
        </w:rPr>
        <w:instrText>HYPERLINK "http://data.europa.eu/eli/C/2025/3151/oj"</w:instrText>
      </w:r>
      <w:r w:rsidR="00B2660F">
        <w:fldChar w:fldCharType="separate"/>
      </w:r>
      <w:r w:rsidRPr="00BA3D2A">
        <w:rPr>
          <w:rStyle w:val="Hyperlink"/>
          <w:sz w:val="24"/>
          <w:lang w:val="cs-CZ"/>
        </w:rPr>
        <w:t>http://data.europa.eu/eli/C/2025/3151/oj</w:t>
      </w:r>
      <w:r w:rsidR="00B2660F">
        <w:rPr>
          <w:rStyle w:val="Hyperlink"/>
          <w:sz w:val="24"/>
          <w:lang w:val="cs-CZ"/>
        </w:rPr>
        <w:fldChar w:fldCharType="end"/>
      </w:r>
      <w:r w:rsidRPr="00BA3D2A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C6045" w14:textId="77777777" w:rsidR="00064002" w:rsidRPr="00BA3D2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44E28" w14:textId="77777777" w:rsidR="00064002" w:rsidRPr="00BA3D2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B725C" w14:textId="77777777" w:rsidR="00064002" w:rsidRPr="00BA3D2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33401862">
    <w:abstractNumId w:val="9"/>
  </w:num>
  <w:num w:numId="2" w16cid:durableId="1528907177">
    <w:abstractNumId w:val="9"/>
  </w:num>
  <w:num w:numId="3" w16cid:durableId="1051421733">
    <w:abstractNumId w:val="7"/>
  </w:num>
  <w:num w:numId="4" w16cid:durableId="668949735">
    <w:abstractNumId w:val="7"/>
  </w:num>
  <w:num w:numId="5" w16cid:durableId="1138035950">
    <w:abstractNumId w:val="6"/>
  </w:num>
  <w:num w:numId="6" w16cid:durableId="768813172">
    <w:abstractNumId w:val="6"/>
  </w:num>
  <w:num w:numId="7" w16cid:durableId="25034752">
    <w:abstractNumId w:val="5"/>
  </w:num>
  <w:num w:numId="8" w16cid:durableId="661393577">
    <w:abstractNumId w:val="5"/>
  </w:num>
  <w:num w:numId="9" w16cid:durableId="1908832245">
    <w:abstractNumId w:val="4"/>
  </w:num>
  <w:num w:numId="10" w16cid:durableId="1361934544">
    <w:abstractNumId w:val="4"/>
  </w:num>
  <w:num w:numId="11" w16cid:durableId="604312584">
    <w:abstractNumId w:val="8"/>
  </w:num>
  <w:num w:numId="12" w16cid:durableId="1520390215">
    <w:abstractNumId w:val="8"/>
  </w:num>
  <w:num w:numId="13" w16cid:durableId="2088574836">
    <w:abstractNumId w:val="3"/>
  </w:num>
  <w:num w:numId="14" w16cid:durableId="2116245133">
    <w:abstractNumId w:val="3"/>
  </w:num>
  <w:num w:numId="15" w16cid:durableId="2029479036">
    <w:abstractNumId w:val="2"/>
  </w:num>
  <w:num w:numId="16" w16cid:durableId="694697515">
    <w:abstractNumId w:val="2"/>
  </w:num>
  <w:num w:numId="17" w16cid:durableId="977995256">
    <w:abstractNumId w:val="1"/>
  </w:num>
  <w:num w:numId="18" w16cid:durableId="830609021">
    <w:abstractNumId w:val="1"/>
  </w:num>
  <w:num w:numId="19" w16cid:durableId="1990672699">
    <w:abstractNumId w:val="0"/>
  </w:num>
  <w:num w:numId="20" w16cid:durableId="343551931">
    <w:abstractNumId w:val="0"/>
  </w:num>
  <w:num w:numId="21" w16cid:durableId="163713250">
    <w:abstractNumId w:val="9"/>
  </w:num>
  <w:num w:numId="22" w16cid:durableId="2119399975">
    <w:abstractNumId w:val="7"/>
  </w:num>
  <w:num w:numId="23" w16cid:durableId="669721314">
    <w:abstractNumId w:val="6"/>
  </w:num>
  <w:num w:numId="24" w16cid:durableId="512112346">
    <w:abstractNumId w:val="5"/>
  </w:num>
  <w:num w:numId="25" w16cid:durableId="1478641805">
    <w:abstractNumId w:val="4"/>
  </w:num>
  <w:num w:numId="26" w16cid:durableId="554855970">
    <w:abstractNumId w:val="8"/>
  </w:num>
  <w:num w:numId="27" w16cid:durableId="1612586787">
    <w:abstractNumId w:val="3"/>
  </w:num>
  <w:num w:numId="28" w16cid:durableId="1003095109">
    <w:abstractNumId w:val="2"/>
  </w:num>
  <w:num w:numId="29" w16cid:durableId="295449364">
    <w:abstractNumId w:val="1"/>
  </w:num>
  <w:num w:numId="30" w16cid:durableId="915437224">
    <w:abstractNumId w:val="0"/>
  </w:num>
  <w:num w:numId="31" w16cid:durableId="1272012113">
    <w:abstractNumId w:val="9"/>
  </w:num>
  <w:num w:numId="32" w16cid:durableId="794787743">
    <w:abstractNumId w:val="7"/>
  </w:num>
  <w:num w:numId="33" w16cid:durableId="673192461">
    <w:abstractNumId w:val="6"/>
  </w:num>
  <w:num w:numId="34" w16cid:durableId="1045569261">
    <w:abstractNumId w:val="5"/>
  </w:num>
  <w:num w:numId="35" w16cid:durableId="1823736547">
    <w:abstractNumId w:val="4"/>
  </w:num>
  <w:num w:numId="36" w16cid:durableId="1773473848">
    <w:abstractNumId w:val="8"/>
  </w:num>
  <w:num w:numId="37" w16cid:durableId="726804530">
    <w:abstractNumId w:val="3"/>
  </w:num>
  <w:num w:numId="38" w16cid:durableId="862519579">
    <w:abstractNumId w:val="2"/>
  </w:num>
  <w:num w:numId="39" w16cid:durableId="1206022927">
    <w:abstractNumId w:val="1"/>
  </w:num>
  <w:num w:numId="40" w16cid:durableId="884755658">
    <w:abstractNumId w:val="0"/>
  </w:num>
  <w:num w:numId="41" w16cid:durableId="769357234">
    <w:abstractNumId w:val="10"/>
  </w:num>
  <w:num w:numId="42" w16cid:durableId="1374619899">
    <w:abstractNumId w:val="10"/>
  </w:num>
  <w:num w:numId="43" w16cid:durableId="248927061">
    <w:abstractNumId w:val="10"/>
  </w:num>
  <w:num w:numId="44" w16cid:durableId="10531176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6/2025"/>
    <w:docVar w:name="dvlangue" w:val="CS"/>
    <w:docVar w:name="dvnumam" w:val="0"/>
    <w:docVar w:name="dvpe" w:val="770.278"/>
    <w:docVar w:name="dvrapporteur" w:val="Zpravodaj: "/>
    <w:docVar w:name="dvtitre" w:val="Usnesení Evropského parlamentu ze dne 25. listopadu 2025 o institucionálních aspektech zprávy o budoucnosti evropské konkurenceschopnosti (Draghiho zpráva)(2025/2013(INI))"/>
  </w:docVars>
  <w:rsids>
    <w:rsidRoot w:val="00FA122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3645"/>
    <w:rsid w:val="00343214"/>
    <w:rsid w:val="00361C00"/>
    <w:rsid w:val="00381CD5"/>
    <w:rsid w:val="003928E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4CC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6691"/>
    <w:rsid w:val="009509D8"/>
    <w:rsid w:val="00950B64"/>
    <w:rsid w:val="00981893"/>
    <w:rsid w:val="009A1427"/>
    <w:rsid w:val="009B543F"/>
    <w:rsid w:val="00A1687D"/>
    <w:rsid w:val="00A3540E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660F"/>
    <w:rsid w:val="00B558F0"/>
    <w:rsid w:val="00BA3D2A"/>
    <w:rsid w:val="00BD48FE"/>
    <w:rsid w:val="00BD7BD8"/>
    <w:rsid w:val="00BE6ADC"/>
    <w:rsid w:val="00C05BFE"/>
    <w:rsid w:val="00C23CD4"/>
    <w:rsid w:val="00C61C0C"/>
    <w:rsid w:val="00C941CB"/>
    <w:rsid w:val="00CC2357"/>
    <w:rsid w:val="00CD4428"/>
    <w:rsid w:val="00CF071A"/>
    <w:rsid w:val="00D058B8"/>
    <w:rsid w:val="00D56C11"/>
    <w:rsid w:val="00D834A0"/>
    <w:rsid w:val="00D872DF"/>
    <w:rsid w:val="00D91E21"/>
    <w:rsid w:val="00DA7FCD"/>
    <w:rsid w:val="00DC2F42"/>
    <w:rsid w:val="00E31FAA"/>
    <w:rsid w:val="00E365E1"/>
    <w:rsid w:val="00E820A4"/>
    <w:rsid w:val="00EB006A"/>
    <w:rsid w:val="00EB4772"/>
    <w:rsid w:val="00ED169E"/>
    <w:rsid w:val="00ED4235"/>
    <w:rsid w:val="00EF58F7"/>
    <w:rsid w:val="00F04346"/>
    <w:rsid w:val="00F075DC"/>
    <w:rsid w:val="00F149E9"/>
    <w:rsid w:val="00F5134D"/>
    <w:rsid w:val="00F74202"/>
    <w:rsid w:val="00F87713"/>
    <w:rsid w:val="00FA1225"/>
    <w:rsid w:val="00FB4360"/>
    <w:rsid w:val="00FD0C70"/>
    <w:rsid w:val="00FE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7ACD77"/>
  <w15:chartTrackingRefBased/>
  <w15:docId w15:val="{A7C64235-F164-4F73-BD9D-19A01E80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81CD5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381CD5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381CD5"/>
    <w:rPr>
      <w:b/>
      <w:i/>
      <w:u w:val="none"/>
    </w:rPr>
  </w:style>
  <w:style w:type="character" w:customStyle="1" w:styleId="Italic">
    <w:name w:val="Italic"/>
    <w:uiPriority w:val="1"/>
    <w:rsid w:val="00381CD5"/>
    <w:rPr>
      <w:i/>
    </w:rPr>
  </w:style>
  <w:style w:type="paragraph" w:customStyle="1" w:styleId="Normal12a24b">
    <w:name w:val="Normal12a24b"/>
    <w:basedOn w:val="Normal"/>
    <w:rsid w:val="00381CD5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381CD5"/>
    <w:rPr>
      <w:color w:val="0000FF"/>
      <w:u w:val="single"/>
    </w:rPr>
  </w:style>
  <w:style w:type="paragraph" w:styleId="Revision">
    <w:name w:val="Revision"/>
    <w:hidden/>
    <w:uiPriority w:val="99"/>
    <w:semiHidden/>
    <w:rsid w:val="00E31FAA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E31F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legal-content/CS/ALL/?uri=CELEX:52025DC0124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eur-lex.europa.eu/legal-content/CS/ALL/?uri=CELEX:52025DC0046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CS/ALL/?uri=CELEX:52025DC003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4130</Words>
  <Characters>25127</Characters>
  <Application>Microsoft Office Word</Application>
  <DocSecurity>0</DocSecurity>
  <Lines>209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2025-11-25T12:21:00Z</dcterms:created>
  <dcterms:modified xsi:type="dcterms:W3CDTF">2025-11-25T12:21:00Z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A10-0196/2025</vt:lpwstr>
  </property>
  <property fmtid="{D5CDD505-2E9C-101B-9397-08002B2CF9AE}" pid="4" name="&lt;Type&gt;">
    <vt:lpwstr>RR</vt:lpwstr>
  </property>
</Properties>
</file>