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9C6" w14:paraId="204E9FA3" w14:textId="77777777" w:rsidTr="0010095E">
        <w:trPr>
          <w:trHeight w:hRule="exact" w:val="1418"/>
        </w:trPr>
        <w:tc>
          <w:tcPr>
            <w:tcW w:w="6804" w:type="dxa"/>
            <w:shd w:val="clear" w:color="auto" w:fill="auto"/>
            <w:vAlign w:val="center"/>
          </w:tcPr>
          <w:p w14:paraId="03D9D6DB" w14:textId="77777777" w:rsidR="00751A4A" w:rsidRPr="005C49C6" w:rsidRDefault="002B1036" w:rsidP="0010095E">
            <w:pPr>
              <w:pStyle w:val="EPName"/>
            </w:pPr>
            <w:r w:rsidRPr="005C49C6">
              <w:t>Ευρωπαϊκό Κοινοβούλιο</w:t>
            </w:r>
          </w:p>
          <w:p w14:paraId="5714316D" w14:textId="77777777" w:rsidR="00751A4A" w:rsidRPr="005C49C6" w:rsidRDefault="005F1B17" w:rsidP="005F1B17">
            <w:pPr>
              <w:pStyle w:val="EPTerm"/>
              <w:rPr>
                <w:rStyle w:val="HideTWBExt"/>
                <w:noProof w:val="0"/>
                <w:vanish w:val="0"/>
                <w:color w:val="auto"/>
              </w:rPr>
            </w:pPr>
            <w:r w:rsidRPr="005C49C6">
              <w:t>2024</w:t>
            </w:r>
            <w:r w:rsidR="00817416" w:rsidRPr="005C49C6">
              <w:t>-202</w:t>
            </w:r>
            <w:r w:rsidRPr="005C49C6">
              <w:t>9</w:t>
            </w:r>
          </w:p>
        </w:tc>
        <w:tc>
          <w:tcPr>
            <w:tcW w:w="2268" w:type="dxa"/>
            <w:shd w:val="clear" w:color="auto" w:fill="auto"/>
          </w:tcPr>
          <w:p w14:paraId="3CB90055" w14:textId="77777777" w:rsidR="00751A4A" w:rsidRPr="005C49C6" w:rsidRDefault="00187494" w:rsidP="0010095E">
            <w:pPr>
              <w:pStyle w:val="EPLogo"/>
            </w:pPr>
            <w:r w:rsidRPr="005C49C6">
              <w:rPr>
                <w:noProof/>
                <w:lang w:eastAsia="ja-JP"/>
              </w:rPr>
              <w:drawing>
                <wp:inline distT="0" distB="0" distL="0" distR="0" wp14:anchorId="68E3D9BD" wp14:editId="082512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4EF321" w14:textId="77777777" w:rsidR="00D058B8" w:rsidRPr="005C49C6" w:rsidRDefault="00D058B8" w:rsidP="004C5D52">
      <w:pPr>
        <w:pStyle w:val="LineTop"/>
      </w:pPr>
    </w:p>
    <w:p w14:paraId="06D1F456" w14:textId="77777777" w:rsidR="00680577" w:rsidRPr="005C49C6" w:rsidRDefault="002B1036" w:rsidP="00680577">
      <w:pPr>
        <w:pStyle w:val="EPBodyTA1"/>
      </w:pPr>
      <w:r w:rsidRPr="005C49C6">
        <w:t>ΚΕΙΜΕΝΑ ΠΟΥ ΕΓΚΡΙΘΗΚΑΝ</w:t>
      </w:r>
    </w:p>
    <w:p w14:paraId="3F973553" w14:textId="77777777" w:rsidR="00D058B8" w:rsidRPr="005C49C6" w:rsidRDefault="00D058B8" w:rsidP="00D058B8">
      <w:pPr>
        <w:pStyle w:val="LineBottom"/>
      </w:pPr>
    </w:p>
    <w:p w14:paraId="26E596D3" w14:textId="2AE5C7F6" w:rsidR="002B1036" w:rsidRPr="005C49C6" w:rsidRDefault="002B1036" w:rsidP="002B1036">
      <w:pPr>
        <w:pStyle w:val="ATHeading1"/>
      </w:pPr>
      <w:bookmarkStart w:id="0" w:name="TANumber"/>
      <w:r w:rsidRPr="005C49C6">
        <w:t>P10_TA(2025)0</w:t>
      </w:r>
      <w:r w:rsidR="008A374B">
        <w:t>285</w:t>
      </w:r>
      <w:bookmarkEnd w:id="0"/>
    </w:p>
    <w:p w14:paraId="50D7D380" w14:textId="3C79A2F4" w:rsidR="002B1036" w:rsidRPr="005C49C6" w:rsidRDefault="006B4584" w:rsidP="002B1036">
      <w:pPr>
        <w:pStyle w:val="ATHeading2"/>
      </w:pPr>
      <w:bookmarkStart w:id="1" w:name="title"/>
      <w:r w:rsidRPr="005C49C6">
        <w:t>Θεσμικές πτυχές της έκθεσης για το μέλλον της ευρωπαϊκής ανταγωνιστικότητας (έκθεση Draghi)</w:t>
      </w:r>
      <w:bookmarkEnd w:id="1"/>
    </w:p>
    <w:p w14:paraId="02D9ADD8" w14:textId="77777777" w:rsidR="002B1036" w:rsidRPr="005C49C6" w:rsidRDefault="002B1036" w:rsidP="002B1036">
      <w:pPr>
        <w:rPr>
          <w:i/>
          <w:vanish/>
        </w:rPr>
      </w:pPr>
      <w:r w:rsidRPr="005C49C6">
        <w:rPr>
          <w:i/>
        </w:rPr>
        <w:fldChar w:fldCharType="begin"/>
      </w:r>
      <w:r w:rsidRPr="005C49C6">
        <w:rPr>
          <w:i/>
        </w:rPr>
        <w:instrText xml:space="preserve"> TC"(</w:instrText>
      </w:r>
      <w:bookmarkStart w:id="2" w:name="DocNumber"/>
      <w:r w:rsidRPr="005C49C6">
        <w:rPr>
          <w:i/>
        </w:rPr>
        <w:instrText>A10-0196/2025</w:instrText>
      </w:r>
      <w:bookmarkEnd w:id="2"/>
      <w:r w:rsidRPr="005C49C6">
        <w:rPr>
          <w:i/>
        </w:rPr>
        <w:instrText xml:space="preserve"> - Εισηγητής: Brando Benifei)"\l3 \n&gt; \* MERGEFORMAT </w:instrText>
      </w:r>
      <w:r w:rsidRPr="005C49C6">
        <w:rPr>
          <w:i/>
        </w:rPr>
        <w:fldChar w:fldCharType="end"/>
      </w:r>
    </w:p>
    <w:p w14:paraId="73EEF0DC" w14:textId="77777777" w:rsidR="002B1036" w:rsidRPr="005C49C6" w:rsidRDefault="002B1036" w:rsidP="002B1036">
      <w:pPr>
        <w:rPr>
          <w:vanish/>
        </w:rPr>
      </w:pPr>
      <w:bookmarkStart w:id="3" w:name="Commission"/>
      <w:r w:rsidRPr="005C49C6">
        <w:rPr>
          <w:vanish/>
        </w:rPr>
        <w:t>Επιτροπή Συνταγματικών Υποθέσεων</w:t>
      </w:r>
      <w:bookmarkEnd w:id="3"/>
    </w:p>
    <w:p w14:paraId="309B2D5F" w14:textId="77777777" w:rsidR="002B1036" w:rsidRPr="005C49C6" w:rsidRDefault="002B1036" w:rsidP="002B1036">
      <w:pPr>
        <w:rPr>
          <w:vanish/>
        </w:rPr>
      </w:pPr>
      <w:bookmarkStart w:id="4" w:name="PE"/>
      <w:r w:rsidRPr="005C49C6">
        <w:rPr>
          <w:vanish/>
        </w:rPr>
        <w:t>PE770.278</w:t>
      </w:r>
      <w:bookmarkEnd w:id="4"/>
    </w:p>
    <w:p w14:paraId="4C28733F" w14:textId="6470B6DF" w:rsidR="002B1036" w:rsidRPr="005C49C6" w:rsidRDefault="002B1036" w:rsidP="002B1036">
      <w:pPr>
        <w:pStyle w:val="ATHeading3"/>
      </w:pPr>
      <w:bookmarkStart w:id="5" w:name="Sujet"/>
      <w:r w:rsidRPr="005C49C6">
        <w:t xml:space="preserve">Ψήφισμα του Ευρωπαϊκού Κοινοβουλίου </w:t>
      </w:r>
      <w:r w:rsidR="003709C6" w:rsidRPr="005C49C6">
        <w:t xml:space="preserve">της 25ης Νοεμβρίου 2025 </w:t>
      </w:r>
      <w:r w:rsidRPr="005C49C6">
        <w:t>σχετικά με τις θεσμικές πτυχές της έκθεσης για το μέλλον της ευρωπαϊκής ανταγωνιστικότητας (έκθεση Draghi)</w:t>
      </w:r>
      <w:bookmarkEnd w:id="5"/>
      <w:r w:rsidRPr="005C49C6">
        <w:t xml:space="preserve"> </w:t>
      </w:r>
      <w:bookmarkStart w:id="6" w:name="References"/>
      <w:r w:rsidRPr="005C49C6">
        <w:t>(2025/2013(INI))</w:t>
      </w:r>
      <w:bookmarkEnd w:id="6"/>
    </w:p>
    <w:p w14:paraId="198642C2" w14:textId="77777777" w:rsidR="00D111F5" w:rsidRPr="005C49C6" w:rsidRDefault="00D111F5" w:rsidP="00D111F5">
      <w:pPr>
        <w:pStyle w:val="EPComma"/>
      </w:pPr>
      <w:r w:rsidRPr="005C49C6">
        <w:rPr>
          <w:rStyle w:val="Italic"/>
        </w:rPr>
        <w:t>Το Ευρωπαϊκό Κοινοβούλιο</w:t>
      </w:r>
      <w:r w:rsidRPr="005C49C6">
        <w:t>,</w:t>
      </w:r>
    </w:p>
    <w:p w14:paraId="4EBBD861" w14:textId="126AA57C" w:rsidR="00D111F5" w:rsidRPr="005C49C6" w:rsidRDefault="00D111F5" w:rsidP="003709C6">
      <w:pPr>
        <w:pStyle w:val="NormalHanging12a"/>
      </w:pPr>
      <w:r w:rsidRPr="005C49C6">
        <w:t>–</w:t>
      </w:r>
      <w:r w:rsidRPr="005C49C6">
        <w:tab/>
        <w:t xml:space="preserve">έχοντας υπόψη την έκθεση του Mario Draghi, της 9ης Σεπτεμβρίου 2024, με τίτλο «The </w:t>
      </w:r>
      <w:proofErr w:type="spellStart"/>
      <w:r w:rsidRPr="005C49C6">
        <w:t>future</w:t>
      </w:r>
      <w:proofErr w:type="spellEnd"/>
      <w:r w:rsidRPr="005C49C6">
        <w:t xml:space="preserve"> of European </w:t>
      </w:r>
      <w:proofErr w:type="spellStart"/>
      <w:r w:rsidRPr="005C49C6">
        <w:t>competitiveness</w:t>
      </w:r>
      <w:proofErr w:type="spellEnd"/>
      <w:r w:rsidRPr="005C49C6">
        <w:t>» (Το μέλλον της ευρωπαϊκής ανταγωνιστικότητας) (</w:t>
      </w:r>
      <w:r w:rsidR="000B5F44" w:rsidRPr="005C49C6">
        <w:t>«</w:t>
      </w:r>
      <w:r w:rsidRPr="005C49C6">
        <w:t xml:space="preserve">έκθεση </w:t>
      </w:r>
      <w:proofErr w:type="spellStart"/>
      <w:r w:rsidRPr="005C49C6">
        <w:t>Draghi</w:t>
      </w:r>
      <w:proofErr w:type="spellEnd"/>
      <w:r w:rsidR="000B5F44" w:rsidRPr="005C49C6">
        <w:t>»</w:t>
      </w:r>
      <w:r w:rsidRPr="005C49C6">
        <w:t>),</w:t>
      </w:r>
    </w:p>
    <w:p w14:paraId="1768DB28" w14:textId="77777777" w:rsidR="00D111F5" w:rsidRPr="005C49C6" w:rsidRDefault="00D111F5" w:rsidP="003709C6">
      <w:pPr>
        <w:pStyle w:val="NormalHanging12a"/>
      </w:pPr>
      <w:r w:rsidRPr="005C49C6">
        <w:t>–</w:t>
      </w:r>
      <w:r w:rsidRPr="005C49C6">
        <w:tab/>
        <w:t>έχοντας υπόψη την ομιλία του Mario Draghi για την παρουσίαση της έκθεσης Draghi στο Ευρωπαϊκό Κοινοβούλιο στις 17 Σεπτεμβρίου 2024,</w:t>
      </w:r>
    </w:p>
    <w:p w14:paraId="2CAC3FCF" w14:textId="205B3D7F" w:rsidR="00D111F5" w:rsidRPr="005C49C6" w:rsidRDefault="00D111F5" w:rsidP="003709C6">
      <w:pPr>
        <w:pStyle w:val="NormalHanging12a"/>
      </w:pPr>
      <w:r w:rsidRPr="005C49C6">
        <w:t>–</w:t>
      </w:r>
      <w:r w:rsidRPr="005C49C6">
        <w:tab/>
        <w:t>έχοντας υπόψη την έκθεση του Enrico Letta, της 17ης Απριλίου 2024, με τίτλο «</w:t>
      </w:r>
      <w:proofErr w:type="spellStart"/>
      <w:r w:rsidRPr="005C49C6">
        <w:t>Much</w:t>
      </w:r>
      <w:proofErr w:type="spellEnd"/>
      <w:r w:rsidRPr="005C49C6">
        <w:t xml:space="preserve"> </w:t>
      </w:r>
      <w:proofErr w:type="spellStart"/>
      <w:r w:rsidRPr="005C49C6">
        <w:t>more</w:t>
      </w:r>
      <w:proofErr w:type="spellEnd"/>
      <w:r w:rsidRPr="005C49C6">
        <w:t xml:space="preserve"> </w:t>
      </w:r>
      <w:proofErr w:type="spellStart"/>
      <w:r w:rsidRPr="005C49C6">
        <w:t>than</w:t>
      </w:r>
      <w:proofErr w:type="spellEnd"/>
      <w:r w:rsidRPr="005C49C6">
        <w:t xml:space="preserve"> a </w:t>
      </w:r>
      <w:proofErr w:type="spellStart"/>
      <w:r w:rsidRPr="005C49C6">
        <w:t>market</w:t>
      </w:r>
      <w:proofErr w:type="spellEnd"/>
      <w:r w:rsidRPr="005C49C6">
        <w:t>» (Πολύ περισσότερο από μια απλή αγορά) (</w:t>
      </w:r>
      <w:r w:rsidR="000B5F44" w:rsidRPr="005C49C6">
        <w:t>«</w:t>
      </w:r>
      <w:r w:rsidRPr="005C49C6">
        <w:t>έκθεση Letta</w:t>
      </w:r>
      <w:r w:rsidR="000B5F44" w:rsidRPr="005C49C6">
        <w:t>»</w:t>
      </w:r>
      <w:r w:rsidRPr="005C49C6">
        <w:t>),</w:t>
      </w:r>
    </w:p>
    <w:p w14:paraId="6718BD77" w14:textId="77777777" w:rsidR="00D111F5" w:rsidRPr="005C49C6" w:rsidRDefault="00D111F5" w:rsidP="003709C6">
      <w:pPr>
        <w:pStyle w:val="NormalHanging12a"/>
      </w:pPr>
      <w:r w:rsidRPr="005C49C6">
        <w:t>–</w:t>
      </w:r>
      <w:r w:rsidRPr="005C49C6">
        <w:tab/>
        <w:t>έχοντας υπόψη την ανακοίνωση της Επιτροπής, της 29ης Ιανουαρίου 2025, με τίτλο «Πυξίδα ανταγωνιστικότητας για την ΕΕ» (COM(2025)0030),</w:t>
      </w:r>
    </w:p>
    <w:p w14:paraId="3B297332" w14:textId="77777777" w:rsidR="00D111F5" w:rsidRPr="005C49C6" w:rsidRDefault="00D111F5" w:rsidP="003709C6">
      <w:pPr>
        <w:pStyle w:val="NormalHanging12a"/>
      </w:pPr>
      <w:r w:rsidRPr="005C49C6">
        <w:t>–</w:t>
      </w:r>
      <w:r w:rsidRPr="005C49C6">
        <w:tab/>
        <w:t>έχοντας υπόψη την ανακοίνωση της Επιτροπής, της 11ης Φεβρουαρίου 2025, με τίτλο «Η πορεία προς το προσεχές Πολυετές Δημοσιονομικό Πλαίσιο» (COM(2025)0046),</w:t>
      </w:r>
    </w:p>
    <w:p w14:paraId="40350D65" w14:textId="77777777" w:rsidR="00D111F5" w:rsidRPr="005C49C6" w:rsidRDefault="00D111F5" w:rsidP="003709C6">
      <w:pPr>
        <w:pStyle w:val="NormalHanging12a"/>
      </w:pPr>
      <w:r w:rsidRPr="005C49C6">
        <w:t>–</w:t>
      </w:r>
      <w:r w:rsidRPr="005C49C6">
        <w:tab/>
        <w:t>έχοντας υπόψη την ανακοίνωση της Επιτροπής, 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(COM(2025)0124),</w:t>
      </w:r>
    </w:p>
    <w:p w14:paraId="4E4FB96D" w14:textId="77777777" w:rsidR="00D111F5" w:rsidRPr="005C49C6" w:rsidRDefault="00D111F5" w:rsidP="003709C6">
      <w:pPr>
        <w:pStyle w:val="NormalHanging12a"/>
      </w:pPr>
      <w:r w:rsidRPr="005C49C6">
        <w:t>–</w:t>
      </w:r>
      <w:r w:rsidRPr="005C49C6">
        <w:tab/>
        <w:t xml:space="preserve">έχοντας υπόψη την έκθεση του </w:t>
      </w:r>
      <w:proofErr w:type="spellStart"/>
      <w:r w:rsidRPr="005C49C6">
        <w:t>Sauli</w:t>
      </w:r>
      <w:proofErr w:type="spellEnd"/>
      <w:r w:rsidRPr="005C49C6">
        <w:t xml:space="preserve"> </w:t>
      </w:r>
      <w:proofErr w:type="spellStart"/>
      <w:r w:rsidRPr="005C49C6">
        <w:t>Niinistö</w:t>
      </w:r>
      <w:proofErr w:type="spellEnd"/>
      <w:r w:rsidRPr="005C49C6">
        <w:t>, της 30ής Οκτωβρίου 2024, με τίτλο «</w:t>
      </w:r>
      <w:proofErr w:type="spellStart"/>
      <w:r w:rsidRPr="005C49C6">
        <w:t>Safer</w:t>
      </w:r>
      <w:proofErr w:type="spellEnd"/>
      <w:r w:rsidRPr="005C49C6">
        <w:t xml:space="preserve"> </w:t>
      </w:r>
      <w:proofErr w:type="spellStart"/>
      <w:r w:rsidRPr="005C49C6">
        <w:t>Together</w:t>
      </w:r>
      <w:proofErr w:type="spellEnd"/>
      <w:r w:rsidRPr="005C49C6">
        <w:t xml:space="preserve"> – </w:t>
      </w:r>
      <w:proofErr w:type="spellStart"/>
      <w:r w:rsidRPr="005C49C6">
        <w:t>Strengthening</w:t>
      </w:r>
      <w:proofErr w:type="spellEnd"/>
      <w:r w:rsidRPr="005C49C6">
        <w:t xml:space="preserve"> </w:t>
      </w:r>
      <w:proofErr w:type="spellStart"/>
      <w:r w:rsidRPr="005C49C6">
        <w:t>Europe’s</w:t>
      </w:r>
      <w:proofErr w:type="spellEnd"/>
      <w:r w:rsidRPr="005C49C6">
        <w:t xml:space="preserve"> </w:t>
      </w:r>
      <w:proofErr w:type="spellStart"/>
      <w:r w:rsidRPr="005C49C6">
        <w:t>Civilian</w:t>
      </w:r>
      <w:proofErr w:type="spellEnd"/>
      <w:r w:rsidRPr="005C49C6">
        <w:t xml:space="preserve"> and </w:t>
      </w:r>
      <w:proofErr w:type="spellStart"/>
      <w:r w:rsidRPr="005C49C6">
        <w:t>Military</w:t>
      </w:r>
      <w:proofErr w:type="spellEnd"/>
      <w:r w:rsidRPr="005C49C6">
        <w:t xml:space="preserve"> </w:t>
      </w:r>
      <w:proofErr w:type="spellStart"/>
      <w:r w:rsidRPr="005C49C6">
        <w:t>Preparedness</w:t>
      </w:r>
      <w:proofErr w:type="spellEnd"/>
      <w:r w:rsidRPr="005C49C6">
        <w:t xml:space="preserve"> and </w:t>
      </w:r>
      <w:proofErr w:type="spellStart"/>
      <w:r w:rsidRPr="005C49C6">
        <w:t>Readiness</w:t>
      </w:r>
      <w:proofErr w:type="spellEnd"/>
      <w:r w:rsidRPr="005C49C6">
        <w:t xml:space="preserve">» (Πιο ασφαλείς μαζί: Ενίσχυση της </w:t>
      </w:r>
      <w:proofErr w:type="spellStart"/>
      <w:r w:rsidRPr="005C49C6">
        <w:t>πολιτικοστρατιωτικής</w:t>
      </w:r>
      <w:proofErr w:type="spellEnd"/>
      <w:r w:rsidRPr="005C49C6">
        <w:t xml:space="preserve"> προετοιμασίας και ετοιμότητας της Ευρώπης) (έκθεση </w:t>
      </w:r>
      <w:proofErr w:type="spellStart"/>
      <w:r w:rsidRPr="005C49C6">
        <w:t>Niinistö</w:t>
      </w:r>
      <w:proofErr w:type="spellEnd"/>
      <w:r w:rsidRPr="005C49C6">
        <w:t>),</w:t>
      </w:r>
    </w:p>
    <w:p w14:paraId="63896D5A" w14:textId="77777777" w:rsidR="00D111F5" w:rsidRPr="005C49C6" w:rsidRDefault="00D111F5" w:rsidP="003709C6">
      <w:pPr>
        <w:pStyle w:val="NormalHanging12a"/>
      </w:pPr>
      <w:r w:rsidRPr="005C49C6">
        <w:t>–</w:t>
      </w:r>
      <w:r w:rsidRPr="005C49C6">
        <w:tab/>
        <w:t>έχοντας υπόψη την έκθεση, της 9ης Μαΐου 2022, σχετικά με τα τελικά αποτελέσματα της Διάσκεψης για το μέλλον της Ευρώπης (</w:t>
      </w:r>
      <w:proofErr w:type="spellStart"/>
      <w:r w:rsidRPr="005C49C6">
        <w:t>CoFE</w:t>
      </w:r>
      <w:proofErr w:type="spellEnd"/>
      <w:r w:rsidRPr="005C49C6">
        <w:t>),</w:t>
      </w:r>
    </w:p>
    <w:p w14:paraId="2A34FEF9" w14:textId="77777777" w:rsidR="00D111F5" w:rsidRPr="005C49C6" w:rsidRDefault="00D111F5" w:rsidP="003709C6">
      <w:pPr>
        <w:pStyle w:val="NormalHanging12a"/>
      </w:pPr>
      <w:r w:rsidRPr="005C49C6">
        <w:lastRenderedPageBreak/>
        <w:t>–</w:t>
      </w:r>
      <w:r w:rsidRPr="005C49C6">
        <w:tab/>
        <w:t>έχοντας υπόψη το ψήφισμά του της 4ης Μαΐου 2022 σχετικά με τη συνέχεια στα συμπεράσματα της Διάσκεψης για το μέλλον της Ευρώπης</w:t>
      </w:r>
      <w:r w:rsidRPr="005C49C6">
        <w:rPr>
          <w:rStyle w:val="FootnoteReference"/>
        </w:rPr>
        <w:footnoteReference w:id="1"/>
      </w:r>
      <w:r w:rsidRPr="005C49C6">
        <w:t>,</w:t>
      </w:r>
    </w:p>
    <w:p w14:paraId="4E2651CD" w14:textId="77777777" w:rsidR="00D111F5" w:rsidRPr="005C49C6" w:rsidRDefault="00D111F5" w:rsidP="003709C6">
      <w:pPr>
        <w:pStyle w:val="NormalHanging12a"/>
      </w:pPr>
      <w:r w:rsidRPr="005C49C6">
        <w:t>–</w:t>
      </w:r>
      <w:r w:rsidRPr="005C49C6">
        <w:tab/>
        <w:t>έχοντας υπόψη το ψήφισμά του της 9ης Ιουνίου 2022 σχετικά με το αίτημα για σύγκληση Συνέλευσης για την αναθεώρηση των Συνθηκών</w:t>
      </w:r>
      <w:r w:rsidRPr="005C49C6">
        <w:rPr>
          <w:rStyle w:val="FootnoteReference"/>
        </w:rPr>
        <w:footnoteReference w:id="2"/>
      </w:r>
      <w:r w:rsidRPr="005C49C6">
        <w:t>,</w:t>
      </w:r>
    </w:p>
    <w:p w14:paraId="2F1CF9EB" w14:textId="77777777" w:rsidR="00D111F5" w:rsidRPr="005C49C6" w:rsidRDefault="00D111F5" w:rsidP="003709C6">
      <w:pPr>
        <w:pStyle w:val="NormalHanging12a"/>
      </w:pPr>
      <w:r w:rsidRPr="005C49C6">
        <w:t>–</w:t>
      </w:r>
      <w:r w:rsidRPr="005C49C6">
        <w:tab/>
        <w:t>έχοντας υπόψη το ψήφισμά του της 22ας Νοεμβρίου 2023 σχετικά με σχέδιο του Ευρωπαϊκού Κοινοβουλίου για την τροποποίηση των Συνθηκών</w:t>
      </w:r>
      <w:r w:rsidRPr="005C49C6">
        <w:rPr>
          <w:rStyle w:val="FootnoteReference"/>
        </w:rPr>
        <w:footnoteReference w:id="3"/>
      </w:r>
      <w:r w:rsidRPr="005C49C6">
        <w:t>,</w:t>
      </w:r>
    </w:p>
    <w:p w14:paraId="05AC7B0D" w14:textId="77777777" w:rsidR="00D111F5" w:rsidRPr="005C49C6" w:rsidRDefault="00D111F5" w:rsidP="003709C6">
      <w:pPr>
        <w:pStyle w:val="NormalHanging12a"/>
      </w:pPr>
      <w:r w:rsidRPr="005C49C6">
        <w:t>–</w:t>
      </w:r>
      <w:r w:rsidRPr="005C49C6">
        <w:tab/>
        <w:t>έχοντας υπόψη το ψήφισμά του της 11ης Ιουλίου 2023 σχετικά με την εφαρμογή των ρητρών «γέφυρας» στις Συνθήκες της ΕΕ</w:t>
      </w:r>
      <w:r w:rsidRPr="005C49C6">
        <w:rPr>
          <w:rStyle w:val="FootnoteReference"/>
        </w:rPr>
        <w:footnoteReference w:id="4"/>
      </w:r>
      <w:r w:rsidRPr="005C49C6">
        <w:t>,</w:t>
      </w:r>
    </w:p>
    <w:p w14:paraId="44F94A8F" w14:textId="77777777" w:rsidR="00D111F5" w:rsidRPr="005C49C6" w:rsidRDefault="00D111F5" w:rsidP="003709C6">
      <w:pPr>
        <w:pStyle w:val="NormalHanging12a"/>
        <w:rPr>
          <w:bCs/>
          <w:iCs/>
        </w:rPr>
      </w:pPr>
      <w:r w:rsidRPr="005C49C6">
        <w:t>–</w:t>
      </w:r>
      <w:r w:rsidRPr="005C49C6">
        <w:tab/>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5C49C6">
        <w:rPr>
          <w:rStyle w:val="FootnoteReference"/>
          <w:bCs/>
          <w:iCs/>
        </w:rPr>
        <w:footnoteReference w:id="5"/>
      </w:r>
      <w:r w:rsidRPr="005C49C6">
        <w:t>,</w:t>
      </w:r>
    </w:p>
    <w:p w14:paraId="2AAE2991" w14:textId="77777777" w:rsidR="00D111F5" w:rsidRPr="005C49C6" w:rsidRDefault="00D111F5" w:rsidP="003709C6">
      <w:pPr>
        <w:pStyle w:val="NormalHanging12a"/>
      </w:pPr>
      <w:r w:rsidRPr="005C49C6">
        <w:t>–</w:t>
      </w:r>
      <w:r w:rsidRPr="005C49C6">
        <w:tab/>
        <w:t>έχοντας υπόψη το ψήφισμά του της 12ης Μαρτίου 2025 σχετικά με τη λευκή βίβλο για το μέλλον της ευρωπαϊκής άμυνας</w:t>
      </w:r>
      <w:r w:rsidRPr="005C49C6">
        <w:rPr>
          <w:rStyle w:val="FootnoteReference"/>
        </w:rPr>
        <w:footnoteReference w:id="6"/>
      </w:r>
      <w:r w:rsidRPr="005C49C6">
        <w:t>,</w:t>
      </w:r>
    </w:p>
    <w:p w14:paraId="767D5C71" w14:textId="77777777" w:rsidR="00D111F5" w:rsidRPr="005C49C6" w:rsidRDefault="00D111F5" w:rsidP="003709C6">
      <w:pPr>
        <w:pStyle w:val="NormalHanging12a"/>
      </w:pPr>
      <w:r w:rsidRPr="005C49C6">
        <w:t>–</w:t>
      </w:r>
      <w:r w:rsidRPr="005C49C6">
        <w:tab/>
        <w:t>έχοντας υπόψη το άρθρο 48 της Συνθήκης για την Ευρωπαϊκή Ένωση (ΣΕΕ),</w:t>
      </w:r>
    </w:p>
    <w:p w14:paraId="425040CE" w14:textId="77777777" w:rsidR="00D111F5" w:rsidRPr="005C49C6" w:rsidRDefault="00D111F5" w:rsidP="003709C6">
      <w:pPr>
        <w:pStyle w:val="NormalHanging12a"/>
      </w:pPr>
      <w:r w:rsidRPr="005C49C6">
        <w:t>–</w:t>
      </w:r>
      <w:r w:rsidRPr="005C49C6">
        <w:tab/>
        <w:t>έχοντας υπόψη τις ρήτρες «γέφυρας» στις Συνθήκες της ΕΕ,</w:t>
      </w:r>
    </w:p>
    <w:p w14:paraId="1BD2EC17" w14:textId="77777777" w:rsidR="00D111F5" w:rsidRPr="005C49C6" w:rsidRDefault="00D111F5" w:rsidP="003709C6">
      <w:pPr>
        <w:pStyle w:val="NormalHanging12a"/>
      </w:pPr>
      <w:r w:rsidRPr="005C49C6">
        <w:t>–</w:t>
      </w:r>
      <w:r w:rsidRPr="005C49C6">
        <w:tab/>
        <w:t>έχοντας υπόψη τις διατάξεις των Συνθηκών όσον αφορά την ενισχυμένη συνεργασία και τη μόνιμη διαρθρωμένη συνεργασία,</w:t>
      </w:r>
    </w:p>
    <w:p w14:paraId="05B7EC40" w14:textId="77777777" w:rsidR="00D111F5" w:rsidRPr="005C49C6" w:rsidRDefault="00D111F5" w:rsidP="003709C6">
      <w:pPr>
        <w:pStyle w:val="NormalHanging12a"/>
      </w:pPr>
      <w:r w:rsidRPr="005C49C6">
        <w:t>–</w:t>
      </w:r>
      <w:r w:rsidRPr="005C49C6">
        <w:tab/>
        <w:t>έχοντας υπόψη το άρθρο 122 της Συνθήκης για τη λειτουργία της Ευρωπαϊκής Ένωσης (ΣΛΕΕ),</w:t>
      </w:r>
    </w:p>
    <w:p w14:paraId="7BEF0812" w14:textId="77777777" w:rsidR="00D111F5" w:rsidRPr="005C49C6" w:rsidRDefault="00D111F5" w:rsidP="003709C6">
      <w:pPr>
        <w:pStyle w:val="NormalHanging12a"/>
      </w:pPr>
      <w:r w:rsidRPr="005C49C6">
        <w:t>–</w:t>
      </w:r>
      <w:r w:rsidRPr="005C49C6">
        <w:tab/>
        <w:t>έχοντας υπόψη το άρθρο 55 του Κανονισμού του,</w:t>
      </w:r>
    </w:p>
    <w:p w14:paraId="1C159CEB" w14:textId="77777777" w:rsidR="00D111F5" w:rsidRPr="005C49C6" w:rsidRDefault="00D111F5" w:rsidP="003709C6">
      <w:pPr>
        <w:pStyle w:val="NormalHanging12a"/>
      </w:pPr>
      <w:r w:rsidRPr="005C49C6">
        <w:t>–</w:t>
      </w:r>
      <w:r w:rsidRPr="005C49C6">
        <w:tab/>
        <w:t>έχοντας υπόψη την έκθεση της Επιτροπής Συνταγματικών Υποθέσεων (A10-0196/2025),</w:t>
      </w:r>
    </w:p>
    <w:p w14:paraId="043198F3" w14:textId="77777777" w:rsidR="00D111F5" w:rsidRPr="005C49C6" w:rsidRDefault="00D111F5" w:rsidP="003709C6">
      <w:pPr>
        <w:pStyle w:val="NormalHanging12a"/>
      </w:pPr>
      <w:r w:rsidRPr="005C49C6">
        <w:t>Α.</w:t>
      </w:r>
      <w:r w:rsidRPr="005C49C6">
        <w:tab/>
        <w:t xml:space="preserve">λαμβάνοντας υπόψη ότι η έκθεση Draghi, η οποία εκπονήθηκε από τον Mario Draghi κατόπιν αιτήματος της προέδρου της Ευρωπαϊκής Επιτροπής, κ. </w:t>
      </w:r>
      <w:proofErr w:type="spellStart"/>
      <w:r w:rsidRPr="005C49C6">
        <w:t>Ursula</w:t>
      </w:r>
      <w:proofErr w:type="spellEnd"/>
      <w:r w:rsidRPr="005C49C6">
        <w:t xml:space="preserve"> </w:t>
      </w:r>
      <w:proofErr w:type="spellStart"/>
      <w:r w:rsidRPr="005C49C6">
        <w:t>von</w:t>
      </w:r>
      <w:proofErr w:type="spellEnd"/>
      <w:r w:rsidRPr="005C49C6">
        <w:t xml:space="preserve"> </w:t>
      </w:r>
      <w:proofErr w:type="spellStart"/>
      <w:r w:rsidRPr="005C49C6">
        <w:t>der</w:t>
      </w:r>
      <w:proofErr w:type="spellEnd"/>
      <w:r w:rsidRPr="005C49C6">
        <w:t xml:space="preserve"> </w:t>
      </w:r>
      <w:proofErr w:type="spellStart"/>
      <w:r w:rsidRPr="005C49C6">
        <w:t>Leyen</w:t>
      </w:r>
      <w:proofErr w:type="spellEnd"/>
      <w:r w:rsidRPr="005C49C6">
        <w:t>, παρέχει μια ολοκληρωμένη διάγνωση των διαρθρωτικών προκλήσεων που αντιμετωπίζει η ΕΕ και προειδοποιεί ότι η ΕΕ κινδυνεύει να εισέλθει σε μια παρατεταμένη περίοδο υποτονικής οικονομικής ανάπτυξης, η οποία θα μπορούσε τελικά να θέσει σε κίνδυνο την ευμάρεια και την κοινωνική ευημερία· λαμβάνοντας υπόψη ότι στην έκθεση Draghi αναφέρεται ότι η Ευρώπη δεν μπορεί πλέον να βασίζεται σε πολλούς από τους παράγοντες που έχουν στηρίξει την ανάπτυξη στο παρελθόν·</w:t>
      </w:r>
    </w:p>
    <w:p w14:paraId="7DC550E1" w14:textId="77777777" w:rsidR="00D111F5" w:rsidRPr="005C49C6" w:rsidRDefault="00D111F5" w:rsidP="003709C6">
      <w:pPr>
        <w:pStyle w:val="NormalHanging12a"/>
      </w:pPr>
      <w:r w:rsidRPr="005C49C6">
        <w:t>Β.</w:t>
      </w:r>
      <w:r w:rsidRPr="005C49C6">
        <w:tab/>
        <w:t xml:space="preserve">λαμβάνοντας υπόψη ότι έχει προκύψει ευρύ χάσμα μεταξύ της ΕΕ και των Ηνωμένων Πολιτειών όσον αφορά το ΑΕΠ, το οποίο από λίγο πάνω από 15 % το 2002 αυξήθηκε </w:t>
      </w:r>
      <w:r w:rsidRPr="005C49C6">
        <w:lastRenderedPageBreak/>
        <w:t>σε περίπου 30 % το 2023 (σε τιμές 2015)· λαμβάνοντας υπόψη ότι αυτό οφείλεται κυρίως σε μια σημαντικότερη επιβράδυνση της παραγωγικότητας στην Ευρώπη και στην αποτυχία της ΕΕ να αξιοποιήσει την ψηφιακή επανάσταση που προκάλεσε το διαδίκτυο και τα δυνητικά κέρδη παραγωγικότητας που συνδέονται με αυτή, εν μέρει λόγω του κατακερματισμού της ευρωπαϊκής ενιαίας αγοράς·</w:t>
      </w:r>
    </w:p>
    <w:p w14:paraId="15BCC732" w14:textId="09241DF3" w:rsidR="00D111F5" w:rsidRPr="005C49C6" w:rsidRDefault="00D111F5" w:rsidP="003709C6">
      <w:pPr>
        <w:pStyle w:val="NormalHanging12a"/>
      </w:pPr>
      <w:r w:rsidRPr="005C49C6">
        <w:t>Γ.</w:t>
      </w:r>
      <w:r w:rsidRPr="005C49C6">
        <w:tab/>
        <w:t>λαμβάνοντας υπόψη ότι, σύμφωνα με την έκθεση Draghi, η γεφύρωση του χάσματος καινοτομίας, ένα κοινό σχέδιο για την απαλλαγή από τις ανθρακούχες εκπομπές και την ανταγωνιστικότητα, η αύξηση της ασφάλειας και η μείωση των εξαρτήσεων, καθώς και η επίτευξη των οικονομικών, περιβαλλοντικών και κοινωνικών στόχων της ΕΕ αποτελούν τις θεμελιώδεις βάσεις για τη μελλοντική ανάπτυξη της Ευρώπης· λαμβάνοντας υπόψη ότι η έκθεση εκτιμά ότι για τον σκοπό αυτό θα χρειαστεί αύξηση των επιπέδων επενδύσεων κατά περίπου 5 % του συνολικού ΑΕΠ της ΕΕ, η οποία αντιστοιχεί σε τουλάχιστον 750 έως 800 δισ</w:t>
      </w:r>
      <w:r w:rsidR="003709C6" w:rsidRPr="005C49C6">
        <w:t>εκατομμύρια</w:t>
      </w:r>
      <w:r w:rsidRPr="005C49C6">
        <w:t> EUR πρόσθετων ετήσιων επενδύσεων·</w:t>
      </w:r>
    </w:p>
    <w:p w14:paraId="06327B98" w14:textId="77777777" w:rsidR="00D111F5" w:rsidRPr="005C49C6" w:rsidRDefault="00D111F5" w:rsidP="003709C6">
      <w:pPr>
        <w:pStyle w:val="NormalHanging12a"/>
      </w:pPr>
      <w:r w:rsidRPr="005C49C6">
        <w:t>Δ.</w:t>
      </w:r>
      <w:r w:rsidRPr="005C49C6">
        <w:tab/>
        <w:t>λαμβάνοντας υπόψη ότι η παγκόσμια ζήτηση για κρίσιμες πρώτες ύλες αυξάνεται ραγδαία λόγω της μετάβασης σε καθαρές μορφές ενέργειας, ενώ η Ευρώπη εξαρτάται επίσης σε μεγάλο βαθμό από τις εισαγωγές ψηφιακής τεχνολογίας, ιδίως για την παραγωγή μικροκυκλωμάτων, δεδομένου ότι το 75-80 % της παγκόσμιας ικανότητας παραγωγής μικροκυκλωμάτων βρίσκεται στην Ασία· λαμβάνοντας υπόψη ότι θα πρέπει να αναπτυχθεί μια πραγματική «εξωτερική οικονομική πολιτική» της ΕΕ, προκειμένου να διατηρηθεί η αυτονομία και η ανταγωνιστικότητα της ΕΕ σε αυτόν τον κρίσιμο τομέα, καθώς και σε άλλους στρατηγικούς τομείς·</w:t>
      </w:r>
    </w:p>
    <w:p w14:paraId="59BC330F" w14:textId="77777777" w:rsidR="00D111F5" w:rsidRPr="005C49C6" w:rsidRDefault="00D111F5" w:rsidP="003709C6">
      <w:pPr>
        <w:pStyle w:val="NormalHanging12a"/>
      </w:pPr>
      <w:r w:rsidRPr="005C49C6">
        <w:t>Ε.</w:t>
      </w:r>
      <w:r w:rsidRPr="005C49C6">
        <w:tab/>
        <w:t>λαμβάνοντας υπόψη ότι τόσο στην έκθεση Letta, που παραγγέλθηκε από το Ευρωπαϊκό Συμβούλιο και εκπονήθηκε από τον Enrico Letta, όσο και στην έκθεση Draghi υπογραμμίζεται ότι η ενιαία αγορά αποδείχθηκε εξαρχής ότι αποτελεί τεράστια κινητήρια δύναμη για την οικονομία της ΕΕ και σημαντικό παράγοντα για την ελκυστικότητά της, και ότι εξακολουθεί να αποτελεί ακρογωνιαίο λίθο της ευρωπαϊκής ολοκλήρωσης και των ευρωπαϊκών αξιών, λειτουργώντας ως ισχυρός καταλύτης για την ανάπτυξη, την ευημερία και την αλληλεγγύη· λαμβάνοντας, ωστόσο, υπόψη ότι το διεθνές σκηνικό έχει αλλάξει ριζικά, γεγονός που αποδεικνύει ότι είναι αναγκαία η περαιτέρω εμβάθυνση και ολοκλήρωση της ενιαίας αγοράς προκειμένου να αξιοποιηθούν πλήρως οι δυνατότητές της·</w:t>
      </w:r>
    </w:p>
    <w:p w14:paraId="23FFB32C" w14:textId="499DAE2C" w:rsidR="00D111F5" w:rsidRPr="005C49C6" w:rsidRDefault="00D111F5" w:rsidP="003709C6">
      <w:pPr>
        <w:pStyle w:val="NormalHanging12a"/>
      </w:pPr>
      <w:r w:rsidRPr="005C49C6">
        <w:t>ΣΤ.</w:t>
      </w:r>
      <w:r w:rsidRPr="005C49C6">
        <w:tab/>
        <w:t>λαμβάνοντας υπόψη ότι, σύμφωνα με την έκθεση Draghi, απαιτούνται τουλάχιστον 750 έως 800 δισ</w:t>
      </w:r>
      <w:r w:rsidR="003709C6" w:rsidRPr="005C49C6">
        <w:t>εκατομμύρια</w:t>
      </w:r>
      <w:r w:rsidRPr="005C49C6">
        <w:t> EUR πρόσθετων ετήσιων επενδύσεων για την αποκατάσταση της παραγωγικότητας της ΕΕ και την επίτευξη των περιβαλλοντικών και κοινωνικών στόχων της ΕΕ·</w:t>
      </w:r>
    </w:p>
    <w:p w14:paraId="238967F7" w14:textId="77777777" w:rsidR="00D111F5" w:rsidRPr="005C49C6" w:rsidRDefault="00D111F5" w:rsidP="003709C6">
      <w:pPr>
        <w:pStyle w:val="NormalHanging12a"/>
      </w:pPr>
      <w:r w:rsidRPr="005C49C6">
        <w:t>Ζ.</w:t>
      </w:r>
      <w:r w:rsidRPr="005C49C6">
        <w:tab/>
        <w:t xml:space="preserve">λαμβάνοντας υπόψη ότι η στήριξη της Ένωσης τόσο για τις δημόσιες όσο και για τις ιδιωτικές επενδύσεις περιορίζεται λόγω του μεγέθους του προϋπολογισμού της ΕΕ, της έλλειψης προσανατολισμού του, του πολύπλοκου πλαισίου διακυβέρνησής του και μιας υπερβολικά επιφυλακτικής στάσης απέναντι στους κινδύνους· λαμβάνοντας υπόψη ότι οι κοινές επενδύσεις της ΕΕ, μεταξύ των οποίων οι από κοινού χρηματοδοτούμενες πρωτοβουλίες που βασίζονται στην αγορά, είναι απαραίτητες για την αντιμετώπιση των προκλήσεων που υπερβαίνουν τα εθνικά σύνορα, καθώς επιτρέπουν οικονομίες κλίμακας, προωθούν τη στρατηγική αυτονομία, ενώ παράλληλα προστατεύουν και προωθούν τη συνοχή σε ολόκληρη την Ένωση, προσελκύουν ιδιωτικά κεφάλαια, </w:t>
      </w:r>
      <w:r w:rsidRPr="005C49C6">
        <w:lastRenderedPageBreak/>
        <w:t>ενισχύουν την παγκόσμια ανταγωνιστικότητα της ΕΕ σε κρίσιμους τομείς, καθώς και χρηματοδοτούν και παρέχουν άλλα ευρωπαϊκά δημόσια αγαθά·</w:t>
      </w:r>
    </w:p>
    <w:p w14:paraId="6966456C" w14:textId="77777777" w:rsidR="00D111F5" w:rsidRPr="005C49C6" w:rsidRDefault="00D111F5" w:rsidP="003709C6">
      <w:pPr>
        <w:pStyle w:val="NormalHanging12a"/>
      </w:pPr>
      <w:r w:rsidRPr="005C49C6">
        <w:t>Η.</w:t>
      </w:r>
      <w:r w:rsidRPr="005C49C6">
        <w:tab/>
        <w:t xml:space="preserve">λαμβάνοντας υπόψη ότι η προσπάθεια δημιουργίας της ένωσης κεφαλαιαγορών (CMU), την οποία έθεσε η πρόεδρος της Επιτροπής, κ. </w:t>
      </w:r>
      <w:proofErr w:type="spellStart"/>
      <w:r w:rsidRPr="005C49C6">
        <w:t>von</w:t>
      </w:r>
      <w:proofErr w:type="spellEnd"/>
      <w:r w:rsidRPr="005C49C6">
        <w:t xml:space="preserve"> </w:t>
      </w:r>
      <w:proofErr w:type="spellStart"/>
      <w:r w:rsidRPr="005C49C6">
        <w:t>der</w:t>
      </w:r>
      <w:proofErr w:type="spellEnd"/>
      <w:r w:rsidRPr="005C49C6">
        <w:t xml:space="preserve"> </w:t>
      </w:r>
      <w:proofErr w:type="spellStart"/>
      <w:r w:rsidRPr="005C49C6">
        <w:t>Leyen</w:t>
      </w:r>
      <w:proofErr w:type="spellEnd"/>
      <w:r w:rsidRPr="005C49C6">
        <w:t>, ως στρατηγική προτεραιότητα, δεν έχει ακόμη επιτύχει τους στόχους της κατά την τελευταία δεκαετία· λαμβάνοντας υπόψη ότι το έργο που έχει πραγματοποιηθεί μέχρι στιγμής για την Ένωση Κεφαλαιαγορών καταδεικνύει ότι η πλήρης ενοποίηση των χρηματοπιστωτικών υπηρεσιών εντός της ενιαίας αγοράς είναι απαραίτητη για την εκπλήρωση των στρατηγικών στόχων οικονομικής πολιτικής της ΕΕ·</w:t>
      </w:r>
    </w:p>
    <w:p w14:paraId="13822025" w14:textId="77777777" w:rsidR="00D111F5" w:rsidRPr="005C49C6" w:rsidRDefault="00D111F5" w:rsidP="003709C6">
      <w:pPr>
        <w:pStyle w:val="NormalHanging12a"/>
      </w:pPr>
      <w:r w:rsidRPr="005C49C6">
        <w:t>Θ.</w:t>
      </w:r>
      <w:r w:rsidRPr="005C49C6">
        <w:tab/>
        <w:t xml:space="preserve">λαμβάνοντας υπόψη ότι η έκθεση Draghi παρέχει ολοκληρωμένη ανάλυση της οικονομικής διακυβέρνησης και της ανταγωνιστικότητας της ΕΕ· </w:t>
      </w:r>
    </w:p>
    <w:p w14:paraId="0217F21A" w14:textId="77777777" w:rsidR="00D111F5" w:rsidRPr="005C49C6" w:rsidRDefault="00D111F5" w:rsidP="003709C6">
      <w:pPr>
        <w:pStyle w:val="NormalHanging12a"/>
        <w:rPr>
          <w:bCs/>
          <w:iCs/>
        </w:rPr>
      </w:pPr>
      <w:r w:rsidRPr="005C49C6">
        <w:t>Ι.</w:t>
      </w:r>
      <w:r w:rsidRPr="005C49C6">
        <w:tab/>
        <w:t>λαμβάνοντας υπόψη ότι οι διαδικασίες προσχώρησης ορισμένων χωρών έχουν αποκτήσει νέα δυναμική μετά τον επιθετικό πόλεμο της Ρωσίας κατά της Ουκρανίας, με αποτέλεσμα να διαμορφωθεί μια κατάσταση στην οποία η ΕΕ πρέπει να προετοιμαστεί για τους επόμενους γύρους διεύρυνσης και να βελτιώσει τις διαδικασίες λήψης αποφάσεων ώστε να διασφαλίσει ότι είναι σε θέση να λειτουργεί αποτελεσματικά με αυξημένο αριθμό κρατών μελών· λαμβάνοντας υπόψη ότι στην έκθεση Draghi επισημαίνεται ότι η νομοθετική δραστηριότητα της Επιτροπής έχει αυξηθεί και ότι η ΕΕ θα πρέπει να είναι αυστηρή κατά την εφαρμογή της αρχής της επικουρικότητας· λαμβάνοντας υπόψη ότι στην έκθεση Draghi επισημαίνεται επίσης ότι οι κανόνες λήψης αποφάσεων της ΕΕ δεν έχουν εξελιχθεί σημαντικά με τη διεύρυνση της ΕΕ και ότι πρέπει να ενισχυθούν και να εξορθολογιστούν ενόψει των μελλοντικών διευρύνσεων και του περίπλοκου παγκόσμιου περιβάλλοντος· λαμβάνοντας υπόψη ότι η διεύρυνση της ενιαίας αγοράς προσφέρει σημαντικές δυνατότητες για την ανάπτυξη της οικονομίας της ΕΕ και την ενίσχυση της γεωοικονομικής της θέσης·</w:t>
      </w:r>
    </w:p>
    <w:p w14:paraId="6BAF8DEF" w14:textId="77777777" w:rsidR="00D111F5" w:rsidRPr="005C49C6" w:rsidRDefault="00D111F5" w:rsidP="003709C6">
      <w:pPr>
        <w:pStyle w:val="NormalHanging12a"/>
        <w:rPr>
          <w:bCs/>
          <w:iCs/>
        </w:rPr>
      </w:pPr>
      <w:r w:rsidRPr="005C49C6">
        <w:t xml:space="preserve">ΙΑ. </w:t>
      </w:r>
      <w:r w:rsidRPr="005C49C6">
        <w:tab/>
        <w:t xml:space="preserve">λαμβάνοντας υπόψη ότι, σύμφωνα με την έκθεση Draghi, το εθνικό δικαίωμα αρνησικυρίας εργαλειοποιείται από πολλές κυβερνήσεις για να καθυστερήσουν ή να αποδυναμώσουν την ανάληψη δράσης μέσω της διαδικασίας λήψης αποφάσεων· λαμβάνοντας υπόψη ότι η έκθεση υπογραμμίζει, ωστόσο, ότι ενώ η ενίσχυση της ΕΕ απαιτεί τροποποιήσεις των Συνθηκών, πολλά μπορούν να επιτευχθούν με στοχευμένες προσαρμογές· λαμβάνοντας υπόψη ότι στην έκθεση υποστηρίζεται συνεπώς ότι μια νέα βιομηχανική στρατηγική για την Ευρώπη πρέπει να συνοδεύεται από παράλληλες βελτιώσεις στη θεσμική δομή και λειτουργία της ΕΕ· </w:t>
      </w:r>
    </w:p>
    <w:p w14:paraId="48E4F666" w14:textId="77777777" w:rsidR="00D111F5" w:rsidRPr="005C49C6" w:rsidRDefault="00D111F5" w:rsidP="003709C6">
      <w:pPr>
        <w:pStyle w:val="NormalHanging12a"/>
      </w:pPr>
      <w:r w:rsidRPr="005C49C6">
        <w:t>ΙΒ.</w:t>
      </w:r>
      <w:r w:rsidRPr="005C49C6">
        <w:tab/>
        <w:t>λαμβάνοντας υπόψη ότι η έκθεση Draghi τονίζει την ανάγκη απλούστευσης της ευρωπαϊκής διαδικασίας λήψης αποφάσεων ώστε να διευκολυνθεί η λήψη μέτρων για την ενίσχυση της ανταγωνιστικότητας και της οικονομικής ανάπτυξης της ΕΕ, καθώς και για να διασφαλιστεί η ταχεία και αποτελεσματική λήψη αποφάσεων·</w:t>
      </w:r>
    </w:p>
    <w:p w14:paraId="12CD791B" w14:textId="77777777" w:rsidR="00D111F5" w:rsidRPr="005C49C6" w:rsidRDefault="00D111F5" w:rsidP="003709C6">
      <w:pPr>
        <w:pStyle w:val="NormalHanging12a"/>
        <w:rPr>
          <w:bCs/>
          <w:iCs/>
        </w:rPr>
      </w:pPr>
      <w:r w:rsidRPr="005C49C6">
        <w:t>ΙΓ.</w:t>
      </w:r>
      <w:r w:rsidRPr="005C49C6">
        <w:tab/>
        <w:t>λαμβάνοντας υπόψη ότι η έκθεση Draghi διευκρινίζει ότι η ενίσχυση του πολιτικού και θεσμικού μοντέλου της ΕΕ είναι δυνατή εντός του υφιστάμενου νομικού πλαισίου, με την εφαρμογή στοχευμένων μέτρων εξορθολογισμού χωρίς να είναι αναγκαίες αλλαγές των Συνθηκών· λαμβάνοντας υπόψη ότι στην έκθεση υποστηρίζεται ότι τα μέτρα αυτά θα πρέπει να επικεντρώνονται στην απορρύθμιση και όχι στην αύξηση του αριθμού των κανόνων και των διαδικασιών της ΕΕ·</w:t>
      </w:r>
    </w:p>
    <w:p w14:paraId="6FABB050" w14:textId="77777777" w:rsidR="00D111F5" w:rsidRPr="005C49C6" w:rsidRDefault="00D111F5" w:rsidP="003709C6">
      <w:pPr>
        <w:pStyle w:val="NormalHanging12a"/>
      </w:pPr>
      <w:r w:rsidRPr="005C49C6">
        <w:lastRenderedPageBreak/>
        <w:t>ΙΔ.</w:t>
      </w:r>
      <w:r w:rsidRPr="005C49C6">
        <w:tab/>
        <w:t>λαμβάνοντας υπόψη ότι η έκθεση Draghi προσδιορίζει τον ψηφιακό μετασχηματισμό και την ανάπτυξη της τεχνητής νοημοσύνης (ΤΝ) ως βασικούς μοχλούς της μελλοντικής ευρωπαϊκής ανταγωνιστικότητας· λαμβάνοντας υπόψη ότι η ΕΕ έχει μέχρι στιγμής χάσει κρίσιμες ευκαιρίες στην ψηφιακή επανάσταση και εξακολουθεί να υστερεί σε σχέση με τους παγκόσμιους ηγέτες όσον αφορά τις ικανότητες ΤΝ, την υποδομή δεδομένων και την ανάπτυξη της υπερπροηγμένης τεχνολογίας·</w:t>
      </w:r>
    </w:p>
    <w:p w14:paraId="2897CD0C" w14:textId="77777777" w:rsidR="00D111F5" w:rsidRPr="005C49C6" w:rsidRDefault="00D111F5" w:rsidP="003709C6">
      <w:pPr>
        <w:pStyle w:val="NormalHanging12a"/>
      </w:pPr>
      <w:r w:rsidRPr="005C49C6">
        <w:t>ΙΕ.</w:t>
      </w:r>
      <w:r w:rsidRPr="005C49C6">
        <w:tab/>
        <w:t xml:space="preserve">λαμβάνοντας υπόψη ότι η έκθεση Draghi τονίζει ότι η ΕΕ πρέπει να ενισχύσει τη στρατηγική αυτονομία και την αμυντική της ικανότητα, αντιμετωπίζοντας τον κατακερματισμό της αγοράς, ενισχύοντας τη διαλειτουργικότητα και εδραιώνοντας την ευρωπαϊκή αμυντική βιομηχανία· λαμβάνοντας υπόψη ότι η έκθεση </w:t>
      </w:r>
      <w:proofErr w:type="spellStart"/>
      <w:r w:rsidRPr="005C49C6">
        <w:t>Niinistö</w:t>
      </w:r>
      <w:proofErr w:type="spellEnd"/>
      <w:r w:rsidRPr="005C49C6">
        <w:t xml:space="preserve"> συμπληρώνει αυτό το όραμα τονίζοντας την ανάγκη βελτίωσης της ετοιμότητας αντιμετώπισης κινδύνων, της αντιμετώπισης κρίσεων και της ανθεκτικότητας των υποδομών ζωτικής σημασίας και των αλυσίδων εφοδιασμού· λαμβάνοντας υπόψη ότι και οι δύο εκθέσεις υπογραμμίζουν ότι μια αξιόπιστη Ευρωπαϊκή Αμυντική Ένωση απαιτεί ένα ολοκληρωμένο πλαίσιο διακυβέρνησης και συνεχείς, συντονισμένες επενδύσεις σε επίπεδο ΕΕ·</w:t>
      </w:r>
    </w:p>
    <w:p w14:paraId="62A2130F" w14:textId="77777777" w:rsidR="00D111F5" w:rsidRPr="005C49C6" w:rsidRDefault="00D111F5" w:rsidP="003709C6">
      <w:pPr>
        <w:pStyle w:val="Normal12a24b"/>
        <w:widowControl/>
        <w:spacing w:before="0"/>
        <w:ind w:left="567" w:hanging="567"/>
      </w:pPr>
      <w:r w:rsidRPr="005C49C6">
        <w:rPr>
          <w:rStyle w:val="BoldItalic"/>
        </w:rPr>
        <w:t xml:space="preserve">Γενικές παρατηρήσεις </w:t>
      </w:r>
    </w:p>
    <w:p w14:paraId="7EC20E25" w14:textId="6A691460" w:rsidR="00D111F5" w:rsidRPr="005C49C6" w:rsidRDefault="005C49C6" w:rsidP="005C49C6">
      <w:pPr>
        <w:pStyle w:val="NormalHanging12a"/>
        <w:ind w:left="570" w:hanging="570"/>
        <w:rPr>
          <w:bCs/>
          <w:iCs/>
        </w:rPr>
      </w:pPr>
      <w:r w:rsidRPr="005C49C6">
        <w:rPr>
          <w:bCs/>
          <w:iCs/>
        </w:rPr>
        <w:t>1.</w:t>
      </w:r>
      <w:r w:rsidRPr="005C49C6">
        <w:rPr>
          <w:bCs/>
          <w:iCs/>
        </w:rPr>
        <w:tab/>
      </w:r>
      <w:r w:rsidR="00D111F5" w:rsidRPr="005C49C6">
        <w:t>εκφράζει την ικανοποίησή του για την έκθεση Draghi, τα πορίσματά της και την έκκλησή της για ανάληψη δράσης· υποστηρίζει την ανάλυση ότι η Ευρώπη αντιμετωπίζει μια υπαρξιακή πρόκληση, η οποία απαιτεί μια άνευ προηγουμένου θεσμική προσπάθεια για να παραμείνει η Ευρώπη ανταγωνιστική και να συμβάλει στην ανάπτυξη στο σημερινό ταχέως μεταβαλλόμενο γεωπολιτικό πλαίσιο· τονίζει ότι μια τέτοια ανταπόκριση πρέπει να βασίζεται στη δημοκρατική διακυβέρνηση της Ένωσης, στην ισορροπία των εξουσιών μεταξύ των θεσμικών οργάνων και στον σεβασμό των Συνθηκών· ζητεί μια ανανεωμένη ευρωπαϊκή στρατηγική που θα επιτρέπει στην Ένωση να λαμβάνει έγκαιρες και αποτελεσματικές αποφάσεις για τη διασφάλιση της ανταγωνιστικότητας και της βιωσιμότητάς της·</w:t>
      </w:r>
    </w:p>
    <w:p w14:paraId="75A5B0A0" w14:textId="7FD6B19F" w:rsidR="00D111F5" w:rsidRPr="005C49C6" w:rsidRDefault="005C49C6" w:rsidP="005C49C6">
      <w:pPr>
        <w:pStyle w:val="NormalHanging12a"/>
        <w:ind w:left="570" w:hanging="570"/>
      </w:pPr>
      <w:r w:rsidRPr="005C49C6">
        <w:t>2.</w:t>
      </w:r>
      <w:r w:rsidRPr="005C49C6">
        <w:tab/>
      </w:r>
      <w:r w:rsidR="00D111F5" w:rsidRPr="005C49C6">
        <w:t xml:space="preserve">επισημαίνει το γεγονός ότι, όπως αναφέρεται στην έκθεση Draghi, η ΕΕ πρέπει επειγόντως να βελτιώσει τη θεσμική της διακυβέρνηση· τονίζει ότι οι βελτιώσεις αυτές θα πρέπει να συνοδεύονται από μια σαφή επικοινωνιακή στρατηγική χωρίς αποκλεισμούς, προκειμένου να διατηρηθεί η συμμετοχή και η ενημέρωση των πολιτών σχετικά με τα οφέλη που απορρέουν από αυτές, να διασφαλιστεί πλήρης δημόσια στήριξη και να προωθηθεί το αίσθημα του </w:t>
      </w:r>
      <w:proofErr w:type="spellStart"/>
      <w:r w:rsidR="00D111F5" w:rsidRPr="005C49C6">
        <w:t>ανήκειν</w:t>
      </w:r>
      <w:proofErr w:type="spellEnd"/>
      <w:r w:rsidR="00D111F5" w:rsidRPr="005C49C6">
        <w:t xml:space="preserve"> και της κοινής ευθύνης· υπογραμμίζει ότι αυτό, σε συνδυασμό με την ανάγκη να εγκαταλειφθούν οι κατακερματισμένες εθνικές προσεγγίσεις και να ενισχυθεί μια αναπροσανατολισμένη, επιταχυμένη και απλουστευμένη διαδικασία λήψης αποφάσεων σε επίπεδο ΕΕ, θα δώσει στην Ένωση τη δυνατότητα να ενεργεί αποδοτικότερα και αποτελεσματικότερα εκεί όπου έχει μεγαλύτερη σημασία, ως πραγματικός παγκόσμιος παράγοντας· αναγνωρίζει τη σημασία της αντιμετώπισης των εμπλοκών που ανακύπτουν στο Συμβούλιο σε διάφορους τομείς· υποστηρίζει όλες τις πρωτοβουλίες που αποσκοπούν στην ανάπτυξη μιας αποτελεσματικότερης διαδικασίας λήψης αποφάσεων, η οποία είναι καθοριστικής σημασίας για την ενίσχυση της ανταγωνιστικότητας της ΕΕ, με πλήρη σεβασμό των αρχών της επικουρικότητας και της αναλογικότητας, όπως ορίζονται στο άρθρο 5 παράγραφοι 3 και 4 ΣΕΕ·</w:t>
      </w:r>
    </w:p>
    <w:p w14:paraId="7075EED2" w14:textId="6C728149" w:rsidR="00D111F5" w:rsidRPr="005C49C6" w:rsidRDefault="005C49C6" w:rsidP="005C49C6">
      <w:pPr>
        <w:pStyle w:val="NormalHanging12a"/>
        <w:ind w:left="570" w:hanging="570"/>
      </w:pPr>
      <w:r w:rsidRPr="005C49C6">
        <w:t>3.</w:t>
      </w:r>
      <w:r w:rsidRPr="005C49C6">
        <w:tab/>
      </w:r>
      <w:r w:rsidR="00D111F5" w:rsidRPr="005C49C6">
        <w:t xml:space="preserve">τονίζει ότι οι βασικοί τομείς στους οποίους απαιτείται στρατηγική μεταρρύθμιση πολιτικής για την τόνωση της ανταγωνιστικότητας της ΕΕ είναι η ολοκλήρωση της </w:t>
      </w:r>
      <w:r w:rsidR="00D111F5" w:rsidRPr="005C49C6">
        <w:lastRenderedPageBreak/>
        <w:t>ευρωπαϊκής ενιαίας αγοράς, η δημιουργία της Ένωσης Αποταμιεύσεων και Επενδύσεων (SIU), η βελτίωση της αποδοτικότητας του προϋπολογισμού της ΕΕ και της εκτέλεσής του, η διατήρηση υψηλών επιπέδων κοινωνικής προστασίας και κοινωνικών και εργασιακών δικαιωμάτων, η εμβάθυνση ενός ευρωπαϊκού μοντέλου ΤΝ και ψηφιακού μετασχηματισμού και η ανάπτυξη μιας ευρωπαϊκής ενεργειακής ένωσης και μιας ευρωπαϊκής αμυντικής ένωσης·</w:t>
      </w:r>
    </w:p>
    <w:p w14:paraId="7757E280" w14:textId="13562FBF" w:rsidR="00D111F5" w:rsidRPr="005C49C6" w:rsidRDefault="005C49C6" w:rsidP="005C49C6">
      <w:pPr>
        <w:pStyle w:val="NormalHanging12a"/>
        <w:ind w:left="570" w:hanging="570"/>
      </w:pPr>
      <w:r w:rsidRPr="005C49C6">
        <w:t>4.</w:t>
      </w:r>
      <w:r w:rsidRPr="005C49C6">
        <w:tab/>
      </w:r>
      <w:r w:rsidR="00D111F5" w:rsidRPr="005C49C6">
        <w:t>τονίζει ότι οι στρατηγικές μεταρρυθμίσεις πολιτικής και οι προτεινόμενες αλλαγές στη θεσμική αρχιτεκτονική της ΕΕ θα πρέπει να θεωρούνται άρρηκτα συνδεδεμένες πτυχές που πρέπει να εφαρμόζονται μαζί, ώστε να ενισχυθεί η ανταγωνιστικότητα της ΕΕ·</w:t>
      </w:r>
    </w:p>
    <w:p w14:paraId="01993E37" w14:textId="77777777" w:rsidR="00D111F5" w:rsidRPr="005C49C6" w:rsidRDefault="00D111F5" w:rsidP="003709C6">
      <w:pPr>
        <w:pStyle w:val="NormalHanging12a"/>
        <w:ind w:left="0" w:firstLine="0"/>
        <w:rPr>
          <w:b/>
          <w:i/>
          <w:iCs/>
        </w:rPr>
      </w:pPr>
      <w:r w:rsidRPr="005C49C6">
        <w:rPr>
          <w:b/>
          <w:i/>
        </w:rPr>
        <w:t>Αναπροσανατολισμός, επιτάχυνση και απλούστευση της διακυβέρνησης της ΕΕ</w:t>
      </w:r>
    </w:p>
    <w:p w14:paraId="6EF4853E" w14:textId="1130AC7F" w:rsidR="00D111F5" w:rsidRPr="005C49C6" w:rsidRDefault="005C49C6" w:rsidP="005C49C6">
      <w:pPr>
        <w:pStyle w:val="NormalHanging12a"/>
        <w:ind w:left="570" w:hanging="570"/>
      </w:pPr>
      <w:r w:rsidRPr="005C49C6">
        <w:t>5.</w:t>
      </w:r>
      <w:r w:rsidRPr="005C49C6">
        <w:tab/>
      </w:r>
      <w:r w:rsidR="00D111F5" w:rsidRPr="005C49C6">
        <w:t>εκφράζει την ικανοποίησή του για τις προσπάθειες αναπροσανατολισμού και απλούστευσης του έργου της ΕΕ μέσω της στρατηγικής ιεράρχησης προτεραιοτήτων και της θεσμικής αποτελεσματικότητας· ζητεί να ενισχυθεί η ικανότητα δράσης της ΕΕ εκεί όπου προσθέτει σαφή αξία, επί τη βάσει των αρχών της επικουρικότητας και της αναλογικότητας· υπογραμμίζει ότι η απλούστευση, η επικουρικότητα και η αναλογικότητα πρέπει να οδηγούν σε εξυπνότερη και αποτελεσματικότερη νομοθεσία και δεν θα πρέπει να οδηγούν σε απεμπλοκή από τομείς όπου απαιτείται δράση σε επίπεδο ΕΕ· επισημαίνει ότι οι αποτελεσματικές παρεμβάσεις σε τομείς πολιτικής που ευνοούν την αύξηση της οικονομικής ανταγωνιστικότητας απαιτούν την προσαρμογή των αρμοδιοτήτων που ανατίθενται στην Ένωση από τις Συνθήκες· τονίζει ότι αυτή η απλούστευση και η ανανεωμένη εστίαση πρέπει επίσης να αντικατοπτρίζονται σε μια πιο αποτελεσματική και πιο ευέλικτη θεσμική δομή, μεταξύ άλλων μέσω της αναδιοργάνωσης της Επιτροπής και του Σώματος των Επιτρόπων για την ενίσχυση της αποτελεσματικότητας και της ικανότητας της ΕΕ να αντιμετωπίζει τις εξελισσόμενες προκλήσεις και να ενισχύει τον ρόλο της στην παγκόσμια σκηνή·</w:t>
      </w:r>
    </w:p>
    <w:p w14:paraId="35A87D62" w14:textId="5391888F" w:rsidR="00D111F5" w:rsidRPr="005C49C6" w:rsidRDefault="005C49C6" w:rsidP="005C49C6">
      <w:pPr>
        <w:pStyle w:val="NormalHanging12a"/>
        <w:ind w:left="570" w:hanging="570"/>
      </w:pPr>
      <w:r w:rsidRPr="005C49C6">
        <w:t>6.</w:t>
      </w:r>
      <w:r w:rsidRPr="005C49C6">
        <w:tab/>
      </w:r>
      <w:r w:rsidR="00D111F5" w:rsidRPr="005C49C6">
        <w:t xml:space="preserve">λαμβάνει υπόψη την Πυξίδα Ανταγωνιστικότητας της Επιτροπής, η οποία βασίζεται στο όραμα της έκθεσης Draghi και η οποία εστιάζει στην ανάγκη για μεγαλύτερη στρατηγική αυτονομία και ανθεκτικότητα και στον επείγοντα χαρακτήρα της ενίσχυσης της ανταγωνιστικότητας της ΕΕ, με βάση τη βιωσιμότητα, την καινοτομία και την ενεργειακή ασφάλεια, καθώς και την κοινωνική, οικονομική και εδαφική συνοχή· αναγνωρίζει ότι η έμφαση της Πυξίδας Ανταγωνιστικότητας στην κανονιστική αποτελεσματικότητα είναι απαραίτητη για την προώθηση της καινοτομίας, την προσέλκυση επενδύσεων και τη διευκόλυνση της βιώσιμης ανάπτυξης· υποστηρίζει τη θέσπιση εργαλείων για την αξιολόγηση του αντικτύπου των νέων προτάσεων στις μικρομεσαίες επιχειρήσεις και στην ανταγωνιστικότητα και προτείνει την τακτική παρακολούθηση της προόδου και την προώθηση ψηφιακών λύσεων για τη διευκόλυνση των διοικητικών διαδικασιών· υπογραμμίζει την ανάγκη να αντιμετωπιστούν οι ελλείψεις εργατικού δυναμικού και δεξιοτήτων, οι οποίες αποτελούν διαρθρωτική πρόκληση για την ανταγωνιστικότητα σε όλα τα κράτη μέλη· τονίζει, ωστόσο, ότι η Πυξίδα Ανταγωνιστικότητας πρέπει να βελτιωθεί περαιτέρω με την ενίσχυση του θεσμικού πλαισίου της ΕΕ· </w:t>
      </w:r>
    </w:p>
    <w:p w14:paraId="1BDEE029" w14:textId="472E3AC6" w:rsidR="00D111F5" w:rsidRPr="005C49C6" w:rsidRDefault="005C49C6" w:rsidP="005C49C6">
      <w:pPr>
        <w:pStyle w:val="NormalHanging12a"/>
        <w:ind w:left="570" w:hanging="570"/>
        <w:rPr>
          <w:bCs/>
          <w:iCs/>
        </w:rPr>
      </w:pPr>
      <w:r w:rsidRPr="005C49C6">
        <w:rPr>
          <w:bCs/>
          <w:iCs/>
        </w:rPr>
        <w:t>7.</w:t>
      </w:r>
      <w:r w:rsidRPr="005C49C6">
        <w:rPr>
          <w:bCs/>
          <w:iCs/>
        </w:rPr>
        <w:tab/>
      </w:r>
      <w:r w:rsidR="00D111F5" w:rsidRPr="005C49C6">
        <w:t xml:space="preserve">εκφράζει την ικανοποίησή του για την ιδέα να ενισχυθεί η διαδικασία λήψης αποφάσεων της ΕΕ σχετικά με στοχευμένες και στρατηγικές ευρωπαϊκές προτεραιότητες ανταγωνιστικότητας· θεωρεί ότι κάθε εργαλείο συντονισμού της ανταγωνιστικότητας θα πρέπει να χρησιμεύει ως γενικό θεσμικό πλαίσιο, το οποίο θα επιτρέπει στην ΕΕ όχι μόνο να συντονίζει τις ενωσιακές και τις εθνικές πολιτικές, αλλά </w:t>
      </w:r>
      <w:r w:rsidR="00D111F5" w:rsidRPr="005C49C6">
        <w:lastRenderedPageBreak/>
        <w:t>και να ενεργεί ως ενιαία οντότητα· τονίζει ότι ένα τέτοιο εργαλείο θα πρέπει να κατευθύνεται από την Επιτροπή, υπό την εποπτεία του Κοινοβουλίου και του Συμβουλίου, και να υπόκειται σε ανεξάρτητη αξιολόγηση με βάση την αποτελεσματικότητα και τη διαφάνειά του και την επίτευξη των στόχων του· επισημαίνει ότι η συνεργασία με τα εθνικά κοινοβούλια και τις ρυθμιστικές αρχές είναι απαραίτητη για τη διασφάλιση της δημοκρατικής νομιμότητας· υπογραμμίζει ότι η συμμετοχή των κοινωνικών εταίρων και των ενδιαφερόμενων μερών πρέπει να ενσωματωθεί στη διακυβέρνηση της ΕΕ για τη διασφάλιση της συμμετοχικότητας και της λογοδοσίας·</w:t>
      </w:r>
    </w:p>
    <w:p w14:paraId="504A4A47" w14:textId="52489FFB" w:rsidR="00D111F5" w:rsidRPr="005C49C6" w:rsidRDefault="005C49C6" w:rsidP="005C49C6">
      <w:pPr>
        <w:pStyle w:val="NormalHanging12a"/>
        <w:ind w:left="570" w:hanging="570"/>
      </w:pPr>
      <w:r w:rsidRPr="005C49C6">
        <w:t>8.</w:t>
      </w:r>
      <w:r w:rsidRPr="005C49C6">
        <w:tab/>
      </w:r>
      <w:r w:rsidR="00D111F5" w:rsidRPr="005C49C6">
        <w:t>χαιρετίζει τον στόχο της επιτάχυνσης του έργου της ΕΕ και επαναλαμβάνει την έκκλησή του να σημειωθεί πρόοδος προς την κατεύθυνση της μεγαλύτερης αποτελεσματικότητας της λήψης αποφάσεων, συμπεριλαμβανομένης της μετάβασης στην ψηφοφορία με ειδική πλειοψηφία και στη συνήθη νομοθετική διαδικασία, όταν αυτό είναι αναγκαίο, σε βασικούς τομείς πολιτικής· σημειώνει ότι θα πρέπει να προβλεφθούν υψηλότερα κατώτατα όρια ψηφοφορίας σε ορισμένους τομείς ζωτικής σημασίας· σημειώνει ότι στο παρελθόν, έχουν βρεθεί λύσεις που κατέστησαν τις διαδικασίες λήψης αποφάσεων πιο αποτελεσματικές· επισημαίνει, για παράδειγμα, το γεγονός ότι η Συνθήκη του Άμστερνταμ θέσπισε την ψηφοφορία με ειδική πλειοψηφία, ενώ παράλληλα περιλαμβάνει τη δυνατότητα εποικοδομητικής αποχής σε ορισμένους τομείς πολιτικής·</w:t>
      </w:r>
    </w:p>
    <w:p w14:paraId="4D106746" w14:textId="7D3AC29B" w:rsidR="00D111F5" w:rsidRPr="005C49C6" w:rsidRDefault="005C49C6" w:rsidP="005C49C6">
      <w:pPr>
        <w:pStyle w:val="NormalHanging12a"/>
        <w:ind w:left="570" w:hanging="570"/>
      </w:pPr>
      <w:r w:rsidRPr="005C49C6">
        <w:t>9.</w:t>
      </w:r>
      <w:r w:rsidRPr="005C49C6">
        <w:tab/>
      </w:r>
      <w:r w:rsidR="00D111F5" w:rsidRPr="005C49C6">
        <w:t>παροτρύνει το Ευρωπαϊκό Συμβούλιο να συζητήσει τις προτάσεις που περιλαμβάνονται στα ψηφίσματα του Κοινοβουλίου της 9ης Ιουνίου 2022 και της 22ας Νοεμβρίου 2023 σχετικά με τη σύγκληση συνέλευσης σύμφωνα με τη συνήθη διαδικασία αναθεώρησης που προβλέπεται στο άρθρο 48 ΣΕΕ, και να εξετάσει, κατά περίπτωση, στοχευμένες τροποποιήσεις των Συνθηκών μέσω της απλουστευμένης διαδικασίας που θεσπίζεται με το άρθρο 48 παράγραφος 6 ΣΕΕ με σκοπό την επιτάχυνση των απαραίτητων και επειγουσών μεταρρυθμίσεων· υπενθυμίζει τα συμπεράσματα της Διάσκεψης για το μέλλον της Ευρώπης και παροτρύνει την Επιτροπή και το Συμβούλιο να λάβουν συγκεκριμένα και έγκαιρα μέτρα για να δοθεί συνέχεια στις συστάσεις αυτές· θεωρεί ότι η περίοδος πριν από την επίτευξη συμβιβασμού για το επόμενο πολυετές δημοσιονομικό πλαίσιο αποτελεί σημαντικό παράθυρο ευκαιρίας για εντατικοποίηση των εργασιών για την ενίσχυση του θεσμικού πλαισίου της ΕΕ·</w:t>
      </w:r>
    </w:p>
    <w:p w14:paraId="0956CE56" w14:textId="61FE8B81" w:rsidR="00D111F5" w:rsidRPr="005C49C6" w:rsidRDefault="005C49C6" w:rsidP="005C49C6">
      <w:pPr>
        <w:pStyle w:val="NormalHanging12a"/>
        <w:ind w:left="570" w:hanging="570"/>
      </w:pPr>
      <w:r w:rsidRPr="005C49C6">
        <w:t>10.</w:t>
      </w:r>
      <w:r w:rsidRPr="005C49C6">
        <w:tab/>
      </w:r>
      <w:r w:rsidR="00D111F5" w:rsidRPr="005C49C6">
        <w:t>υπενθυμίζει τα συμπεράσματα της Διάσκεψης για το μέλλον της Ευρώπης, ιδίως την ανάγκη για μεταρρύθμιση των συνθηκών, και παροτρύνει την Επιτροπή και το Συμβούλιο να λάβουν συγκεκριμένα και έγκαιρα μέτρα για να δοθεί συνέχεια στις συστάσεις αυτές·</w:t>
      </w:r>
    </w:p>
    <w:p w14:paraId="62366DEA" w14:textId="1BA9F3E6" w:rsidR="00D111F5" w:rsidRPr="005C49C6" w:rsidRDefault="005C49C6" w:rsidP="005C49C6">
      <w:pPr>
        <w:pStyle w:val="NormalHanging12a"/>
        <w:ind w:left="570" w:hanging="570"/>
      </w:pPr>
      <w:r w:rsidRPr="005C49C6">
        <w:t>11.</w:t>
      </w:r>
      <w:r w:rsidRPr="005C49C6">
        <w:tab/>
      </w:r>
      <w:r w:rsidR="00D111F5" w:rsidRPr="005C49C6">
        <w:t>επαναλαμβάνει τη δέσμευσή του να ενισχύσει την ικανότητα της ΕΕ να ενεργεί γρήγορα και αποτελεσματικά και να βελτιώσει την αποτελεσματικότητα της λήψης αποφάσεων σε βασικούς τομείς πολιτικής· επαναλαμβάνει την έκκλησή του για επέκταση της ψηφοφορίας με ειδική πλειοψηφία και της συνήθους νομοθετικής διαδικασίας σε βασικούς τομείς πολιτικής, όταν απαιτείται, με τη χρήση των ρητρών «γέφυρας», όπως προβλέπεται στις Συνθήκες, προκειμένου να βελτιωθεί η ικανότητα της ΕΕ να ενεργεί γρήγορα και αποτελεσματικά·</w:t>
      </w:r>
    </w:p>
    <w:p w14:paraId="5D239E72" w14:textId="52B5988B" w:rsidR="00D111F5" w:rsidRPr="005C49C6" w:rsidRDefault="005C49C6" w:rsidP="005C49C6">
      <w:pPr>
        <w:pStyle w:val="NormalHanging12a"/>
        <w:ind w:left="570" w:hanging="570"/>
        <w:rPr>
          <w:bCs/>
        </w:rPr>
      </w:pPr>
      <w:r w:rsidRPr="005C49C6">
        <w:rPr>
          <w:bCs/>
        </w:rPr>
        <w:t>12.</w:t>
      </w:r>
      <w:r w:rsidRPr="005C49C6">
        <w:rPr>
          <w:bCs/>
        </w:rPr>
        <w:tab/>
      </w:r>
      <w:r w:rsidR="00D111F5" w:rsidRPr="005C49C6">
        <w:t xml:space="preserve">καλεί το Συμβούλιο να εξετάσει το ενδεχόμενο προσφυγής στην ενισχυμένη συνεργασία σύμφωνα με το άρθρο 20 ΣΕΕ σε περιπτώσεις όπου η ψηφοφορία με ομοφωνία δεν επιτρέπει τη λήψη σημαντικών αποφάσεων για την ΕΕ στο σύνολό της </w:t>
      </w:r>
      <w:r w:rsidR="00D111F5" w:rsidRPr="005C49C6">
        <w:lastRenderedPageBreak/>
        <w:t>σε βασικούς τομείς πολιτικής· υπογραμμίζει ότι η ενισχυμένη συνεργασία βασίζεται στις θεμιτές ανάγκες των κρατών μελών, όταν οι στόχοι της εν λόγω συνεργασίας είναι αδύνατον να επιτευχθούν εντός εύλογου χρονικού διαστήματος από την Ένωση στο σύνολό της· επισημαίνει ότι η ενισχυμένη συνεργασία παρέχει δύο σημαντικές διασφαλίσεις, συγκεκριμένα δε την έγκριση του Κοινοβουλίου και τον δικαστικό έλεγχο από το Δικαστήριο της Ευρωπαϊκής Ένωσης (ΔΕΕ), και ότι οι αποφάσεις που λαμβάνονται στο πλαίσιο ενισχυμένης συνεργασίας βασίζονται σε πρόταση της Επιτροπής· υπογραμμίζει ότι βασικός σκοπός της ενισχυμένης συνεργασίας είναι η απλούστευση της διαδικασίας λήψης αποφάσεων· συνιστά στα συμμετέχοντα κράτη μέλη να ενεργοποιήσουν την ειδική ρήτρα «γέφυρας» που κατοχυρώνεται στο άρθρο 333 ΣΛΕΕ για τη μετάβαση στην ψηφοφορία με ειδική πλειοψηφία και τη συνήθη νομοθετική διαδικασία στο πλαίσιο της ενισχυμένης συνεργασίας· σημειώνει ότι η έκθεση Draghi προτείνει ότι, όταν δεν μπορεί να επιτευχθεί ομόφωνη συμφωνία για την καθιέρωση ψηφοφορίας με ειδική πλειοψηφία, τα πρόθυμα κράτη μέλη θα μπορούσαν επίσης να εξετάσουν το ενδεχόμενο προσφυγής στη διακυβερνητική συνεργασία·</w:t>
      </w:r>
    </w:p>
    <w:p w14:paraId="3A825F98" w14:textId="3ED6D4FC" w:rsidR="00D111F5" w:rsidRPr="005C49C6" w:rsidRDefault="005C49C6" w:rsidP="005C49C6">
      <w:pPr>
        <w:pStyle w:val="NormalHanging12a"/>
        <w:ind w:left="570" w:hanging="570"/>
      </w:pPr>
      <w:r w:rsidRPr="005C49C6">
        <w:t>13.</w:t>
      </w:r>
      <w:r w:rsidRPr="005C49C6">
        <w:tab/>
      </w:r>
      <w:r w:rsidR="00D111F5" w:rsidRPr="005C49C6">
        <w:t xml:space="preserve">τονίζει ότι η βελτίωση της διαδικασίας λήψης αποφάσεων της ΕΕ απαιτεί την ενδυνάμωση του Κοινοβουλίου τοποθετώντας το σε ισότιμη βάση με το Συμβούλιο και ζητεί να ενισχυθεί ο ρόλος του Ευρωπαϊκού Κοινοβουλίου στη νομοθετική διαδικασία· επαναλαμβάνει την έκκλησή του προς το Κοινοβούλιο να αποκτήσει το πλήρες δικαίωμα νομοθετικής πρωτοβουλίας· τονίζει ότι είναι σημαντικό να εκσυγχρονιστεί το δικαίωμα εξέτασης των πραγμάτων του Κοινοβουλίου ώστε να ενισχυθεί ο δημοκρατικός έλεγχος επί της εκτελεστικής εξουσίας της ΕΕ· </w:t>
      </w:r>
    </w:p>
    <w:p w14:paraId="369A1E70" w14:textId="78FDE212" w:rsidR="00D111F5" w:rsidRPr="005C49C6" w:rsidRDefault="005C49C6" w:rsidP="005C49C6">
      <w:pPr>
        <w:pStyle w:val="Normal12a24b"/>
        <w:widowControl/>
        <w:spacing w:before="0"/>
        <w:ind w:left="570" w:hanging="570"/>
        <w:rPr>
          <w:bCs/>
          <w:iCs/>
        </w:rPr>
      </w:pPr>
      <w:r w:rsidRPr="005C49C6">
        <w:rPr>
          <w:bCs/>
          <w:iCs/>
        </w:rPr>
        <w:t>14.</w:t>
      </w:r>
      <w:r w:rsidRPr="005C49C6">
        <w:rPr>
          <w:bCs/>
          <w:iCs/>
        </w:rPr>
        <w:tab/>
      </w:r>
      <w:r w:rsidR="00D111F5" w:rsidRPr="005C49C6">
        <w:t>θεωρεί ότι το άρθρο 122 ΣΛΕΕ αποτελεί εργαλείο που μπορεί να επιτρέψει την ταχεία δράση της ΕΕ αυστηρά σε καταστάσεις κρίσης, αλλά τονίζει ότι η χρήση του απαιτεί ισχυρή εποπτεία, όχι μόνο από το ΔΕΕ αλλά και από το Κοινοβούλιο· τονίζει την ανάγκη να διασφαλιστεί στενή συνεργασία μεταξύ της Επιτροπής, του Κοινοβουλίου και των άλλων αρμόδιων θεσμικών οργάνων και οργανισμών της ΕΕ·  ζητεί να αποσαφηνιστούν και να καταστούν πιο συστηματικές οι διαδικασίες για την ενεργοποίηση του άρθρου 122 ΣΛΕΕ, ιδίως μέσω της εξουσιοδότησης αμφότερων των συννομοθετών να αποφασίζουν σχετικά με την ενεργοποίησή του·</w:t>
      </w:r>
    </w:p>
    <w:p w14:paraId="518E8ED2" w14:textId="4165C9DC" w:rsidR="00D111F5" w:rsidRPr="005C49C6" w:rsidRDefault="005C49C6" w:rsidP="005C49C6">
      <w:pPr>
        <w:pStyle w:val="Normal12a24b"/>
        <w:widowControl/>
        <w:spacing w:before="0"/>
        <w:ind w:left="570" w:hanging="570"/>
        <w:rPr>
          <w:bCs/>
          <w:iCs/>
        </w:rPr>
      </w:pPr>
      <w:r w:rsidRPr="005C49C6">
        <w:rPr>
          <w:bCs/>
          <w:iCs/>
        </w:rPr>
        <w:t>15.</w:t>
      </w:r>
      <w:r w:rsidRPr="005C49C6">
        <w:rPr>
          <w:bCs/>
          <w:iCs/>
        </w:rPr>
        <w:tab/>
      </w:r>
      <w:r w:rsidR="00D111F5" w:rsidRPr="005C49C6">
        <w:t xml:space="preserve">τονίζει την επείγουσα ανάγκη βελτίωσης του θεσμικού και δημοσιονομικού πλαισίου της ΕΕ προκειμένου να διασφαλιστεί ότι θα παραμείνει λειτουργικό, δημοκρατικό και ανταγωνιστικό και ότι θα είναι σε θέση να ενσωματώσει νέα μέλη και να προωθήσει την επιτυχή ένταξή τους ενόψει των μελλοντικών διευρύνσεων· επιβεβαιώνει, ως εκ τούτου, ότι η διεύρυνση πρέπει να συμβαδίζει με την ενίσχυση της διακυβέρνησης της ΕΕ· ενθαρρύνει τον διάλογο μεταξύ της ΕΕ και των κυβερνήσεων, των κοινοβουλίων και της κοινωνίας των πολιτών των υποψήφιων χωρών σχετικά με όλες τις υπό εξέταση προτάσεις για αλλαγές στο θεσμικό πλαίσιο της ΕΕ· αναγνωρίζει τη σημασία πρωτοβουλιών όπως η Ευρωπαϊκή Πολιτική Κοινότητα (EPC), οι οποίες καθιστούν δυνατή την πολιτική συνεργασία, συμβάλλουν στον περιφερειακό διάλογο και θα μπορούσαν να διευκολύνουν τη σταδιακή ένταξη των υποψήφιων χωρών στην Ένωση και στις πολιτικές της, χωρίς να αποτελούν εναλλακτικές λύσεις αντί της προσχώρησης στην ΕΕ· επισημαίνει ότι το Κοινοβούλιο θα πρέπει να ενημερώνεται τακτικά και να ζητείται η γνώμη του σχετικά με τις εξελίξεις της EPC, προκειμένου να διασφαλίζεται η δημοκρατική λογοδοσία και η συνοχή με το θεσμικό πλαίσιο της ΕΕ· </w:t>
      </w:r>
    </w:p>
    <w:p w14:paraId="6509E9D9" w14:textId="77777777" w:rsidR="00D111F5" w:rsidRPr="005C49C6" w:rsidRDefault="00D111F5" w:rsidP="003709C6">
      <w:pPr>
        <w:pStyle w:val="NormalHanging12a"/>
        <w:ind w:left="0" w:firstLine="0"/>
        <w:rPr>
          <w:b/>
          <w:u w:val="single"/>
        </w:rPr>
      </w:pPr>
      <w:r w:rsidRPr="005C49C6">
        <w:rPr>
          <w:b/>
          <w:i/>
        </w:rPr>
        <w:t>Αποτελεσματική διακυβέρνηση της ΕΕ σε βασικούς τομείς πολιτικής</w:t>
      </w:r>
    </w:p>
    <w:p w14:paraId="485D28AF" w14:textId="444FB87F" w:rsidR="00D111F5" w:rsidRPr="005C49C6" w:rsidRDefault="005C49C6" w:rsidP="005C49C6">
      <w:pPr>
        <w:pStyle w:val="NormalHanging12a"/>
        <w:ind w:left="570" w:hanging="570"/>
      </w:pPr>
      <w:r w:rsidRPr="005C49C6">
        <w:lastRenderedPageBreak/>
        <w:t>16.</w:t>
      </w:r>
      <w:r w:rsidRPr="005C49C6">
        <w:tab/>
      </w:r>
      <w:r w:rsidR="00D111F5" w:rsidRPr="005C49C6">
        <w:t>ζητεί να ολοκληρωθεί η ευρωπαϊκή ενιαία αγορά, όπως κατοχυρώνεται στα άρθρα 26 και 114 ΣΛΕΕ και στο άρθρο 3 παράγραφος 3 ΣΕΕ, προκειμένου να αξιοποιηθούν πλήρως οι δυνατότητές της και να ξεπεραστούν τα εναπομείναντα εμπόδια, μεταξύ των οποίων ο αθέμιτος διεθνής ανταγωνισμός, με στόχο να αντιμετωπιστούν οι υψηλές τιμές της ενέργειας, οι ελλείψεις δεξιοτήτων και εργατικού δυναμικού, οι δυσκολίες πρόσβασης σε κεφάλαια, η κατακερματισμένη εφαρμογή των κανόνων της ΕΕ, η ανεπαρκής στήριξη στην ψηφιακή και την πράσινη μετάβαση και ο αυξημένος διοικητικός φόρτος για τους πολίτες και τις επιχειρήσεις, και να προωθηθεί η οικονομική ανάπτυξη, η κοινωνική, οικονομική και εδαφική συνοχή και οι πολιτιστικές ανταλλαγές εντός της ΕΕ· ζητεί την ανάπτυξη μιας ευρωπαϊκής ολοκληρωμένης κεφαλαιαγοράς, όπως προβλέπεται στα άρθρα 26 και 63 ΣΛΕΕ, μέσω μιας νεοσυσταθείσας Ένωσης Αποταμιεύσεων και Επενδύσεων, με βάση την ατελή Ένωση Κεφαλαιαγορών· ζητεί την ενίσχυση της Ευρωπαϊκής Αρχής Κινητών Αξιών και Αγορών, στο πλαίσιο της νομικής βάσης του άρθρου 114 ΣΛΕΕ, με σκοπό τη βελτίωση της εποπτικής σύγκλισης και του διασυνοριακού συντονισμού στο πλαίσιο της Ένωσης Αποταμιεύσεων και Επενδύσεων· σημειώνει επίσης ότι η έκθεση Letta αναγνώρισε τη σημασία της οικονομικής ισχύος της ενιαίας αγοράς για τις παγκόσμιες και εμπορικές φιλοδοξίες της ΕΕ, μεταξύ άλλων στις οικονομικές σχέσεις με στρατηγικούς εταίρους·</w:t>
      </w:r>
    </w:p>
    <w:p w14:paraId="38EEAF45" w14:textId="4D294BDA" w:rsidR="00D111F5" w:rsidRPr="005C49C6" w:rsidRDefault="005C49C6" w:rsidP="005C49C6">
      <w:pPr>
        <w:pStyle w:val="NormalHanging12a"/>
        <w:ind w:left="570" w:hanging="570"/>
      </w:pPr>
      <w:r w:rsidRPr="005C49C6">
        <w:t>17.</w:t>
      </w:r>
      <w:r w:rsidRPr="005C49C6">
        <w:tab/>
      </w:r>
      <w:r w:rsidR="00D111F5" w:rsidRPr="005C49C6">
        <w:t>υποστηρίζει την προσθήκη μιας «πέμπτης ελευθερίας» στις υφιστάμενες τέσσερις, όπως προτείνεται στην έκθεση Letta, για την ενίσχυση της έρευνας, της καινοτομίας, της γνώσης και της εκπαίδευσης των ερευνητών, των φορέων καινοτομίας και των εργαζομένων στην ενιαία αγορά·</w:t>
      </w:r>
    </w:p>
    <w:p w14:paraId="37C6C0E9" w14:textId="02E959DE" w:rsidR="00D111F5" w:rsidRPr="005C49C6" w:rsidRDefault="005C49C6" w:rsidP="005C49C6">
      <w:pPr>
        <w:pStyle w:val="NormalHanging12a"/>
        <w:ind w:left="570" w:hanging="570"/>
      </w:pPr>
      <w:r w:rsidRPr="005C49C6">
        <w:t>18.</w:t>
      </w:r>
      <w:r w:rsidRPr="005C49C6">
        <w:tab/>
      </w:r>
      <w:r w:rsidR="00D111F5" w:rsidRPr="005C49C6">
        <w:t>καλεί την Επιτροπή να διασφαλίσει ότι οι μελλοντικές πρωτοβουλίες για την ενίσχυση της ανταγωνιστικότητας της ΕΕ και την εμβάθυνση της ενιαίας αγοράς θα βασίζονται σε μέτρα που ενισχύουν την οικονομική, κοινωνική και εδαφική συνοχή, κατά τα προβλεπόμενα στις Συνθήκες· τονίζει ότι οι θεσμικοί μηχανισμοί για ίσες ευκαιρίες, αλληλεγγύη και μείωση των ανισοτήτων πρέπει να ενσωματωθούν πλήρως στο σύστημα διακυβέρνησης της ΕΕ· επαναλαμβάνει την έκκλησή του για ενίσχυση της εφαρμογής και της παρακολούθησης του ευρωπαϊκού πυλώνα κοινωνικών δικαιωμάτων μέσω των δομών διακυβέρνησης της ΕΕ, ενσωματώνοντας έτσι την κοινωνική πρόοδο ως βασικό στοιχείο της διαδικασίας λήψης αποφάσεων της ΕΕ·</w:t>
      </w:r>
    </w:p>
    <w:p w14:paraId="5EE37220" w14:textId="5AE449A0" w:rsidR="00D111F5" w:rsidRPr="005C49C6" w:rsidRDefault="005C49C6" w:rsidP="005C49C6">
      <w:pPr>
        <w:pStyle w:val="NormalHanging12a"/>
        <w:ind w:left="570" w:hanging="570"/>
      </w:pPr>
      <w:r w:rsidRPr="005C49C6">
        <w:t>19.</w:t>
      </w:r>
      <w:r w:rsidRPr="005C49C6">
        <w:tab/>
      </w:r>
      <w:r w:rsidR="00D111F5" w:rsidRPr="005C49C6">
        <w:t xml:space="preserve">επαναβεβαιώνει ότι οι στόχοι της ενιαίας αγοράς θα πρέπει να ευθυγραμμίζονται όχι μόνο με το δικαίωμα ελεύθερης κυκλοφορίας, αλλά και με την «ελευθερία παραμονής», όπως περιγράφεται στην έκθεση Letta· καλεί, συνεπώς, την Επιτροπή να αναθέσει την ευθύνη για την «ελευθερία παραμονής» σε έναν από τους Επιτρόπους, με χαρτοφυλάκιο που θα περιλαμβάνει την πολιτική συνοχής και τις υπηρεσίες γενικού συμφέροντος, και να καθιερώσει διαρθρωμένο και συνεχή διάλογο μεταξύ του Επιτρόπου και των περιφερειακών αρχών των κρατών μελών, προκειμένου να διασφαλιστεί ότι οι πολιτικές «ελευθερίας παραμονής» είναι επαρκώς προσαρμοσμένες στα συγκεκριμένα χαρακτηριστικά κάθε περιφέρειας και να γίνει σεβαστή η κοινωνικοοικονομική και πολιτιστική πολυμορφία των περιφερειακών αρχών της ΕΕ· αναγνωρίζει ότι η προώθηση της ανάπτυξης υποδομών, της οικοδόμησης κοινοτήτων, της δημιουργίας θέσεων εργασίας, της πρόσβασης σε δημόσιες υπηρεσίες και ενός κατάλληλου περιβάλλοντος για τις βιομηχανίες και τις επενδύσεις είναι ουσιαστικής σημασίας για την προάσπιση του δικαιώματος των ανθρώπων να παραμείνουν στις περιφέρειές τους και συμβάλλει στην οικονομική ανάπτυξη και ανταγωνιστικότητα της ΕΕ· τονίζει ότι είναι σημαντικό η πολιτική συνοχής να παραμείνει ισχυρό μέρος του προϋπολογισμού της ΕΕ και να διασφαλιστεί ότι ανταποκρίνεται αποτελεσματικότερα </w:t>
      </w:r>
      <w:r w:rsidR="00D111F5" w:rsidRPr="005C49C6">
        <w:lastRenderedPageBreak/>
        <w:t xml:space="preserve">στις συγκεκριμένες ανάγκες των περιφερειών και των πόλεων, μεταξύ άλλων μέσω της παροχής αμεσότερης πρόσβασης στα κονδύλια της ΕΕ· επισημαίνει την ανάγκη αποτελεσματικότερης και πιο προβεβλημένης ανάπτυξης των έργων της επιτόπου, με απτά αποτελέσματα που ενισχύουν το αίσθημα του </w:t>
      </w:r>
      <w:proofErr w:type="spellStart"/>
      <w:r w:rsidR="00D111F5" w:rsidRPr="005C49C6">
        <w:t>ανήκειν</w:t>
      </w:r>
      <w:proofErr w:type="spellEnd"/>
      <w:r w:rsidR="00D111F5" w:rsidRPr="005C49C6">
        <w:t xml:space="preserve"> των πολιτών και υποστηρίζουν την ολοκλήρωση της ΕΕ· </w:t>
      </w:r>
    </w:p>
    <w:p w14:paraId="569E1A67" w14:textId="7B007062" w:rsidR="00D111F5" w:rsidRPr="005C49C6" w:rsidRDefault="005C49C6" w:rsidP="005C49C6">
      <w:pPr>
        <w:pStyle w:val="Normal12a24b"/>
        <w:widowControl/>
        <w:spacing w:before="0"/>
        <w:ind w:left="570" w:hanging="570"/>
        <w:rPr>
          <w:bCs/>
          <w:iCs/>
        </w:rPr>
      </w:pPr>
      <w:r w:rsidRPr="005C49C6">
        <w:rPr>
          <w:bCs/>
          <w:iCs/>
        </w:rPr>
        <w:t>20.</w:t>
      </w:r>
      <w:r w:rsidRPr="005C49C6">
        <w:rPr>
          <w:bCs/>
          <w:iCs/>
        </w:rPr>
        <w:tab/>
      </w:r>
      <w:r w:rsidR="00D111F5" w:rsidRPr="005C49C6">
        <w:t xml:space="preserve">τονίζει ότι η ΕΕ θα πρέπει να ενεργεί αποτελεσματικότερα σε στρατηγικούς τομείς, συμπληρώνοντας τις εθνικές προσπάθειες και υποστηριζόμενη από έναν συνδυασμό ιδίων πόρων της ΕΕ και συντονισμένων συνεισφορών, με παράλληλο σεβασμό της δημοσιονομικής ευθύνης και της επικουρικότητας, και ότι η εν λόγω δράση θα ενισχύσει την ανταγωνιστικότητα, την καινοτομία, την οικονομική ανθεκτικότητα, την κοινωνική και εδαφική συνοχή, την περιβαλλοντική και ενεργειακή βιωσιμότητα και τη συλλογική ασφάλεια της Ευρώπης· τονίζει, υπό το φως των πορισμάτων της έκθεσης Draghi, την ανάγκη να διατηρηθεί μια ανοικτή και στραμμένη προς το μέλλον συζήτηση που θα λαμβάνει υπόψη τα διδάγματα που αντλήθηκαν από την εμπειρία του </w:t>
      </w:r>
      <w:proofErr w:type="spellStart"/>
      <w:r w:rsidR="00D111F5" w:rsidRPr="005C49C6">
        <w:t>NextGenerationEU</w:t>
      </w:r>
      <w:proofErr w:type="spellEnd"/>
      <w:r w:rsidR="00D111F5" w:rsidRPr="005C49C6">
        <w:t xml:space="preserve">· τονίζει τη σημασία της δημιουργίας επενδυτικών μέσων και εργαλείων σε επίπεδο ΕΕ για τη χρηματοδότηση στρατηγικών κοινών επενδύσεων σε ευρωπαϊκά δημόσια αγαθά και υπηρεσίες, και τη σημασία της προσαρμογής των προγραμμάτων χρηματοδότησης προκειμένου να ληφθεί υπόψη η μεταβαλλόμενη δυναμική του εμπορίου και της καινοτομίας· τονίζει ότι οι γνήσιοι νέοι ίδιοι πόροι της ΕΕ είναι καίριας σημασίας για να μπορέσουν το Κοινοβούλιο και το Συμβούλιο να εγκρίνουν ευέλικτους προϋπολογισμούς που θα δώσουν τη δυνατότητα στην ΕΕ να ενεργεί πιο αυτόνομα και να μειώσει την εξάρτησή της από τις συνεισφορές του εθνικού προϋπολογισμού· επισημαίνει, για παράδειγμα, ότι ο μηχανισμός συνοριακής προσαρμογής άνθρακα είναι υποψήφιος για έναν νέο ίδιο πόρο της ΕΕ ο οποίος υποστηρίζεται σε μεγάλο βαθμό από τα κράτη μέλη· υπενθυμίζει τη θέση του Κοινοβουλίου στην πρότασή του για το πολυετές δημοσιονομικό πλαίσιο 2028-2034 σχετικά με την ανάγκη υπέρβασης του </w:t>
      </w:r>
      <w:proofErr w:type="spellStart"/>
      <w:r w:rsidR="00D111F5" w:rsidRPr="005C49C6">
        <w:t>αυτοεπιβληθέντα</w:t>
      </w:r>
      <w:proofErr w:type="spellEnd"/>
      <w:r w:rsidR="00D111F5" w:rsidRPr="005C49C6">
        <w:t xml:space="preserve"> κανόνα σύμφωνα με τον οποίο το μέγεθος του μακροπρόθεσμου προϋπολογισμού της ΕΕ δεν πρέπει να υπερβαίνει το 1 % του συνολικού ακαθάριστου εθνικού προϊόντος των κρατών μελών·</w:t>
      </w:r>
    </w:p>
    <w:p w14:paraId="0A67C706" w14:textId="227EF16C" w:rsidR="00D111F5" w:rsidRPr="005C49C6" w:rsidRDefault="005C49C6" w:rsidP="005C49C6">
      <w:pPr>
        <w:pStyle w:val="Normal12a24b"/>
        <w:widowControl/>
        <w:spacing w:before="0"/>
        <w:ind w:left="570" w:hanging="570"/>
      </w:pPr>
      <w:r w:rsidRPr="005C49C6">
        <w:t>21.</w:t>
      </w:r>
      <w:r w:rsidRPr="005C49C6">
        <w:tab/>
      </w:r>
      <w:r w:rsidR="00D111F5" w:rsidRPr="005C49C6">
        <w:t>τονίζει ότι, προκειμένου να διατηρηθεί και να ενισχυθεί η παγκόσμια ανταγωνιστικότητα της ΕΕ, ο προϋπολογισμός της ΕΕ πρέπει να απλουστευθεί ώστε να μειωθεί ο περιττός διοικητικός φόρτος, να διευκολυνθεί η πρόσβαση των δικαιούχων σε κονδύλια και να εξυπηρετηθεί καλύτερα ο στόχος της ενίσχυσης της οικονομικής, κοινωνικής και εδαφικής συνοχής, μέσω διασφαλίσεων ότι η χρηματοδότηση φθάνει σε όσους τη χρειάζονται περισσότερο, ιδίως στις μικρές και μεσαίες επιχειρήσεις, στις τοπικές κοινότητες και στους φορείς της κοινωνικής οικονομίας, μεταξύ άλλων σε αγροτικές, περιφερειακές ή οικονομικά μειονεκτούσες περιοχές· υπενθυμίζει, ωστόσο, ότι οι προσπάθειες απλούστευσης δεν θα πρέπει να θίγουν τις θεμελιώδεις αρχές στις οποίες βασίζεται το πολυετές δημοσιονομικό πλαίσιο της Ένωσης και τα προγράμματά του ούτε να αποδυναμώνουν τον δημοκρατικό έλεγχο της εφαρμογής τους· τονίζει ότι η απλούστευση πρέπει να συνοδεύεται από ισχυρές εγγυήσεις για ισότιμη πρόσβαση, απαγόρευση των διακρίσεων και αποτελεσματική λογοδοσία και ότι το Κοινοβούλιο πρέπει να διασφαλίζει τη δημοκρατική εποπτεία καθ’ όλη τη διάρκεια του κύκλου χρηματοδότησης·</w:t>
      </w:r>
    </w:p>
    <w:p w14:paraId="4A4AF058" w14:textId="08F462CC" w:rsidR="00D111F5" w:rsidRPr="005C49C6" w:rsidRDefault="005C49C6" w:rsidP="005C49C6">
      <w:pPr>
        <w:pStyle w:val="Normal12a24b"/>
        <w:widowControl/>
        <w:spacing w:before="0"/>
        <w:ind w:left="570" w:hanging="570"/>
        <w:rPr>
          <w:bCs/>
          <w:iCs/>
        </w:rPr>
      </w:pPr>
      <w:r w:rsidRPr="005C49C6">
        <w:rPr>
          <w:bCs/>
          <w:iCs/>
        </w:rPr>
        <w:t>22.</w:t>
      </w:r>
      <w:r w:rsidRPr="005C49C6">
        <w:rPr>
          <w:bCs/>
          <w:iCs/>
        </w:rPr>
        <w:tab/>
      </w:r>
      <w:r w:rsidR="00D111F5" w:rsidRPr="005C49C6">
        <w:t xml:space="preserve">υπογραμμίζει ότι η επίτευξη των στόχων ανταγωνιστικότητας της ΕΕ απαιτεί την ενσωμάτωση των στόχων κλιματικής ουδετερότητας και βιωσιμότητας στο θεσμικό πλαίσιο και το πλαίσιο διακυβέρνησης της ΕΕ· τονίζει ότι οι μεταρρυθμίσεις πρέπει να σέβονται τις διατάξεις των Συνθηκών, συμπεριλαμβανομένου του άρθρου 194 ΣΛΕΕ, </w:t>
      </w:r>
      <w:r w:rsidR="00D111F5" w:rsidRPr="005C49C6">
        <w:lastRenderedPageBreak/>
        <w:t>και να έχουν ισχυρή δημοκρατική νομιμοποίηση μέσω της συμμετοχής του Κοινοβουλίου στον σχεδιασμό, τη χρηματοδότηση και την εποπτεία τους· τονίζει ότι είναι σημαντικό να ενισχυθεί ο διοργανικός συντονισμός και να διασφαλιστεί ότι οι αποφάσεις στον τομέα αυτό υπόκεινται σε αποτελεσματικό κοινοβουλευτικό έλεγχο, ενισχύοντας έτσι τα δημοκρατικά θεμέλια της Ένωσης·</w:t>
      </w:r>
    </w:p>
    <w:p w14:paraId="37F33E87" w14:textId="341E4972" w:rsidR="00D111F5" w:rsidRPr="005C49C6" w:rsidRDefault="005C49C6" w:rsidP="005C49C6">
      <w:pPr>
        <w:pStyle w:val="Normal12a24b"/>
        <w:widowControl/>
        <w:spacing w:before="0"/>
        <w:ind w:left="570" w:hanging="570"/>
        <w:rPr>
          <w:bCs/>
          <w:iCs/>
        </w:rPr>
      </w:pPr>
      <w:r w:rsidRPr="005C49C6">
        <w:rPr>
          <w:bCs/>
          <w:iCs/>
        </w:rPr>
        <w:t>23.</w:t>
      </w:r>
      <w:r w:rsidRPr="005C49C6">
        <w:rPr>
          <w:bCs/>
          <w:iCs/>
        </w:rPr>
        <w:tab/>
      </w:r>
      <w:r w:rsidR="00D111F5" w:rsidRPr="005C49C6">
        <w:t xml:space="preserve">καλεί την Επιτροπή και τα κράτη μέλη, δεδομένων των υφιστάμενων γεωπολιτικών προκλήσεων, να δημιουργήσουν μια πραγματική ευρωπαϊκή αμυντική ένωση και να τονώσουν τις ευρωπαϊκές βιομηχανικές επενδύσεις στον τομέα της άμυνας, ιδίως διά της προσφυγής σε πραγματικά ευρωπαϊκά μέσα, με νέα χρηματοδότηση, σε συνδυασμό με ένα πλήρες πρόγραμμα για την άμυνα, μεταξύ άλλων κατά των υβριδικών επιθέσεων, διασφαλίζοντας ότι ο σχεδιασμός, η ανάπτυξη, οι προμήθειες και η διαχείριση ικανοτήτων πραγματοποιούνται από κοινού, σε ομάδες σημαντικού αριθμού κρατών μελών· καλεί την Επιτροπή να βελτιώσει τη συνοχή μεταξύ των υφιστάμενων και των μελλοντικών μέσων, μεταξύ άλλων σε επίπεδο διακυβέρνησης, προκειμένου να διασφαλιστεί ο αποτελεσματικός δημοκρατικός έλεγχος της νέας αμυντικής ένωσης· καλεί την ΕΕ να ξεπεράσει τον κατακερματισμό της αγοράς, σύμφωνα με τις συστάσεις των εκθέσεων </w:t>
      </w:r>
      <w:proofErr w:type="spellStart"/>
      <w:r w:rsidR="00D111F5" w:rsidRPr="005C49C6">
        <w:t>Draghi</w:t>
      </w:r>
      <w:proofErr w:type="spellEnd"/>
      <w:r w:rsidR="00D111F5" w:rsidRPr="005C49C6">
        <w:t xml:space="preserve">, Letta και </w:t>
      </w:r>
      <w:proofErr w:type="spellStart"/>
      <w:r w:rsidR="00D111F5" w:rsidRPr="005C49C6">
        <w:t>Niinistö</w:t>
      </w:r>
      <w:proofErr w:type="spellEnd"/>
      <w:r w:rsidR="00D111F5" w:rsidRPr="005C49C6">
        <w:t>, δημιουργώντας μια ενιαία αγορά για την άμυνα όπου ισχύουν δεσμευτικοί κοινοί κανόνες· σημειώνει ότι οι εν λόγω κοινοί κανόνες θα εγγυώνται τον θεμιτό ανταγωνισμό και θα διευκολύνουν τη διασταυρούμενη πιστοποίηση των αμυντικών προϊόντων, διασφαλίζοντας παράλληλα την πλήρη διαλειτουργικότητα και την εναλλαξιμότητα, θα επιφέρουν οικονομίες κλίμακας και θα ενισχύσουν τις ικανότητες και τους πόρους· καλεί την Επιτροπή και τα κράτη μέλη να ενσωματώσουν τις επενδύσεις στον τομέα της άμυνας σε ένα ευρύτερο όραμα ασφάλειας που περιλαμβάνει επίσης κοινές ευρωπαϊκές πρωτοβουλίες, ιδίως τα ευρωπαϊκά αμυντικά έργα κοινού ενδιαφέροντος, την ενίσχυση των υποδομών ζωτικής σημασίας και την προώθηση έργων έρευνας και ανάπτυξης, κάτι που θα έχει ως αποτέλεσμα τη δημιουργία και τη διατήρηση ποιοτικών θέσεων εργασίας· καλεί το Ευρωπαϊκό Συμβούλιο να καταλήξει σε συμφωνία για την ενεργοποίηση του άρθρου 42 παράγραφος 2 ΣΕΕ με σκοπό τη θέσπιση της κοινής αμυντικής πολιτικής της Ένωσης· υπογραμμίζει ότι η νέα αμυντική ένωση πρέπει να συμπληρώσει και όχι να αντικαταστήσει το ΝΑΤΟ· σημειώνει ότι τα κράτη μέλη έχουν ξεκινήσει την προοδευτική διαμόρφωση της ευρωπαϊκής αμυντικής πολιτικής, ενώ ταυτόχρονα θέσπισαν τον Ευρωπαϊκό Οργανισμό Άμυνας (ΕΟΑ) και εγκαινίασαν τη μόνιμη διαρθρωμένη συνεργασία (PESCO)· καλεί τα κράτη μέλη να συνεχίσουν να εργάζονται για την προοδευτική διαμόρφωση μιας ευρωπαϊκής αμυντικής ένωσης με κοινή άμυνα· υπενθυμίζει ότι η σύσταση του ταμείου εκκίνησης, ο ΕΟΑ και η PESCO, καθώς και η χρήση του προϋπολογισμού της ΕΕ υπόκεινται σε ψηφοφορία με ειδική πλειοψηφία· υπενθυμίζει ότι μια ομάδα κρατών μελών μπορεί επίσης, σύμφωνα με το άρθρο 44 ΣΕΕ, να αποφασίσει να προσφύγει σε ψηφοφορία με ειδική πλειοψηφία·</w:t>
      </w:r>
    </w:p>
    <w:p w14:paraId="741A0570" w14:textId="5AF2EA95" w:rsidR="003709C6" w:rsidRPr="005C49C6" w:rsidRDefault="005C49C6" w:rsidP="005C49C6">
      <w:pPr>
        <w:pStyle w:val="NormalHanging12a"/>
        <w:ind w:left="570" w:hanging="570"/>
      </w:pPr>
      <w:r w:rsidRPr="005C49C6">
        <w:t>24.</w:t>
      </w:r>
      <w:r w:rsidRPr="005C49C6">
        <w:tab/>
      </w:r>
      <w:r w:rsidR="00D111F5" w:rsidRPr="005C49C6">
        <w:t xml:space="preserve">τονίζει ότι η ενίσχυση της διακυβέρνησης της ΤΝ πρέπει να βασίζεται στη διαφάνεια, την προστασία των θεμελιωδών δικαιωμάτων και τη διασφάλιση του δημόσιου συμφέροντος, σύμφωνα με την προσέγγιση της ΕΕ που βασίζεται σε κανόνες· καλεί την Επιτροπή να ενισχύσει τον ρόλο της υφιστάμενης Ευρωπαϊκής Υπηρεσίας ΤΝ· χαιρετίζει το σχέδιο δράσης της ηπείρου για την ΤΝ, που αποσκοπεί στην ανάπτυξη ενός ενωσιακού «μοντέλου ΤΝ», το οποίο θα βασίζεται στη συνεργασία μεταξύ δημόσιων και ιδιωτικών φορέων· </w:t>
      </w:r>
    </w:p>
    <w:p w14:paraId="1730576E" w14:textId="3496DD9F" w:rsidR="003709C6" w:rsidRPr="005C49C6" w:rsidRDefault="003709C6" w:rsidP="003709C6">
      <w:pPr>
        <w:pStyle w:val="NormalHanging12a"/>
        <w:ind w:left="0" w:firstLine="0"/>
        <w:jc w:val="center"/>
      </w:pPr>
      <w:r w:rsidRPr="005C49C6">
        <w:t>°</w:t>
      </w:r>
    </w:p>
    <w:p w14:paraId="73A812D1" w14:textId="11E6E3B3" w:rsidR="003709C6" w:rsidRPr="005C49C6" w:rsidRDefault="003709C6" w:rsidP="003709C6">
      <w:pPr>
        <w:pStyle w:val="NormalHanging12a"/>
        <w:ind w:left="0" w:firstLine="0"/>
        <w:jc w:val="center"/>
      </w:pPr>
      <w:r w:rsidRPr="005C49C6">
        <w:lastRenderedPageBreak/>
        <w:t>°     °</w:t>
      </w:r>
    </w:p>
    <w:p w14:paraId="253FD284" w14:textId="412F9EFB" w:rsidR="007D1375" w:rsidRPr="005C49C6" w:rsidRDefault="005C49C6" w:rsidP="005C49C6">
      <w:pPr>
        <w:pStyle w:val="NormalHanging12a"/>
        <w:ind w:left="570" w:hanging="570"/>
      </w:pPr>
      <w:r w:rsidRPr="005C49C6">
        <w:t>25.</w:t>
      </w:r>
      <w:r w:rsidRPr="005C49C6">
        <w:tab/>
      </w:r>
      <w:r w:rsidR="00D111F5" w:rsidRPr="005C49C6">
        <w:t>αναθέτει στην Πρόεδρό του να διαβιβάσει το παρόν ψήφισμα στο Συμβούλιο, στην Επιτροπή, στο Ευρωπαϊκό Συμβούλιο, καθώς και στις κυβερνήσεις και στα κοινοβούλια των κρατών μελών.</w:t>
      </w:r>
    </w:p>
    <w:p w14:paraId="14A402E8" w14:textId="50F1EE3C" w:rsidR="00E365E1" w:rsidRPr="005C49C6" w:rsidRDefault="00E365E1" w:rsidP="003709C6"/>
    <w:sectPr w:rsidR="00E365E1" w:rsidRPr="005C49C6" w:rsidSect="007D13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05059" w14:textId="77777777" w:rsidR="002B1036" w:rsidRPr="007D1375" w:rsidRDefault="002B1036">
      <w:r w:rsidRPr="007D1375">
        <w:separator/>
      </w:r>
    </w:p>
  </w:endnote>
  <w:endnote w:type="continuationSeparator" w:id="0">
    <w:p w14:paraId="1D60A883" w14:textId="77777777" w:rsidR="002B1036" w:rsidRPr="007D1375" w:rsidRDefault="002B1036">
      <w:r w:rsidRPr="007D13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5F8AB" w14:textId="77777777" w:rsidR="00064002" w:rsidRPr="007D13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DA61" w14:textId="77777777" w:rsidR="00064002" w:rsidRPr="007D13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AC4EC" w14:textId="77777777" w:rsidR="00064002" w:rsidRPr="007D13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AE1E2" w14:textId="77777777" w:rsidR="002B1036" w:rsidRPr="007D1375" w:rsidRDefault="002B1036">
      <w:r w:rsidRPr="007D1375">
        <w:separator/>
      </w:r>
    </w:p>
  </w:footnote>
  <w:footnote w:type="continuationSeparator" w:id="0">
    <w:p w14:paraId="66E17ADA" w14:textId="77777777" w:rsidR="002B1036" w:rsidRPr="007D1375" w:rsidRDefault="002B1036">
      <w:r w:rsidRPr="007D1375">
        <w:continuationSeparator/>
      </w:r>
    </w:p>
  </w:footnote>
  <w:footnote w:id="1">
    <w:p w14:paraId="551DC9F1" w14:textId="6B575D80" w:rsidR="00D111F5" w:rsidRPr="007D1375" w:rsidRDefault="00D111F5" w:rsidP="003709C6">
      <w:pPr>
        <w:pStyle w:val="FootnoteText"/>
        <w:spacing w:line="240" w:lineRule="auto"/>
        <w:ind w:left="567" w:hanging="567"/>
        <w:rPr>
          <w:sz w:val="24"/>
          <w:lang w:val="el-GR"/>
        </w:rPr>
      </w:pPr>
      <w:r w:rsidRPr="007D1375">
        <w:rPr>
          <w:rStyle w:val="FootnoteReference"/>
          <w:sz w:val="24"/>
          <w:lang w:val="el-GR"/>
        </w:rPr>
        <w:footnoteRef/>
      </w:r>
      <w:r w:rsidR="007D1375" w:rsidRPr="007D1375">
        <w:rPr>
          <w:sz w:val="24"/>
          <w:lang w:val="el-GR"/>
        </w:rPr>
        <w:t xml:space="preserve"> </w:t>
      </w:r>
      <w:r w:rsidR="007D1375" w:rsidRPr="007D1375">
        <w:rPr>
          <w:sz w:val="24"/>
          <w:lang w:val="el-GR"/>
        </w:rPr>
        <w:tab/>
      </w:r>
      <w:r w:rsidRPr="007D1375">
        <w:rPr>
          <w:sz w:val="24"/>
          <w:lang w:val="el-GR"/>
        </w:rPr>
        <w:t>ΕΕ C 465 της 6.12.2022, σ. 109.</w:t>
      </w:r>
    </w:p>
  </w:footnote>
  <w:footnote w:id="2">
    <w:p w14:paraId="72D8F4BF" w14:textId="63D429D4" w:rsidR="00D111F5" w:rsidRPr="007D1375" w:rsidRDefault="00D111F5" w:rsidP="003709C6">
      <w:pPr>
        <w:pStyle w:val="FootnoteText"/>
        <w:spacing w:line="240" w:lineRule="auto"/>
        <w:ind w:left="567" w:hanging="567"/>
        <w:rPr>
          <w:sz w:val="24"/>
          <w:lang w:val="el-GR"/>
        </w:rPr>
      </w:pPr>
      <w:r w:rsidRPr="007D1375">
        <w:rPr>
          <w:rStyle w:val="FootnoteReference"/>
          <w:sz w:val="24"/>
          <w:lang w:val="el-GR"/>
        </w:rPr>
        <w:footnoteRef/>
      </w:r>
      <w:r w:rsidR="007D1375" w:rsidRPr="007D1375">
        <w:rPr>
          <w:sz w:val="24"/>
          <w:lang w:val="el-GR"/>
        </w:rPr>
        <w:t xml:space="preserve"> </w:t>
      </w:r>
      <w:r w:rsidR="007D1375" w:rsidRPr="007D1375">
        <w:rPr>
          <w:sz w:val="24"/>
          <w:lang w:val="el-GR"/>
        </w:rPr>
        <w:tab/>
      </w:r>
      <w:r w:rsidRPr="007D1375">
        <w:rPr>
          <w:sz w:val="24"/>
          <w:lang w:val="el-GR"/>
        </w:rPr>
        <w:t>ΕΕ C 493 της 27.12.2022, σ. 130.</w:t>
      </w:r>
    </w:p>
  </w:footnote>
  <w:footnote w:id="3">
    <w:p w14:paraId="08322732" w14:textId="3964A40B" w:rsidR="00D111F5" w:rsidRPr="005C49C6" w:rsidRDefault="00D111F5" w:rsidP="003709C6">
      <w:pPr>
        <w:pStyle w:val="FootnoteText"/>
        <w:spacing w:line="240" w:lineRule="auto"/>
        <w:ind w:left="567" w:hanging="567"/>
        <w:rPr>
          <w:sz w:val="24"/>
          <w:lang w:val="fi-FI"/>
        </w:rPr>
      </w:pPr>
      <w:r w:rsidRPr="007D1375">
        <w:rPr>
          <w:rStyle w:val="FootnoteReference"/>
          <w:sz w:val="24"/>
          <w:lang w:val="el-GR"/>
        </w:rPr>
        <w:footnoteRef/>
      </w:r>
      <w:r w:rsidR="007D1375" w:rsidRPr="005C49C6">
        <w:rPr>
          <w:sz w:val="24"/>
          <w:lang w:val="fi-FI"/>
        </w:rPr>
        <w:t xml:space="preserve"> </w:t>
      </w:r>
      <w:r w:rsidR="007D1375" w:rsidRPr="005C49C6">
        <w:rPr>
          <w:sz w:val="24"/>
          <w:lang w:val="fi-FI"/>
        </w:rPr>
        <w:tab/>
      </w:r>
      <w:r w:rsidRPr="007D1375">
        <w:rPr>
          <w:sz w:val="24"/>
          <w:lang w:val="el-GR"/>
        </w:rPr>
        <w:t>ΕΕ</w:t>
      </w:r>
      <w:r w:rsidRPr="005C49C6">
        <w:rPr>
          <w:sz w:val="24"/>
          <w:lang w:val="fi-FI"/>
        </w:rPr>
        <w:t xml:space="preserve"> C, C/2024/4216, 24.7.2024, ELI: </w:t>
      </w:r>
      <w:hyperlink r:id="rId1" w:history="1">
        <w:r w:rsidRPr="005C49C6">
          <w:rPr>
            <w:rStyle w:val="Hyperlink"/>
            <w:sz w:val="24"/>
            <w:lang w:val="fi-FI"/>
          </w:rPr>
          <w:t>http://data.europa.eu/eli/C/2024/4216/oj</w:t>
        </w:r>
      </w:hyperlink>
      <w:r w:rsidRPr="005C49C6">
        <w:rPr>
          <w:sz w:val="24"/>
          <w:lang w:val="fi-FI"/>
        </w:rPr>
        <w:t>.</w:t>
      </w:r>
    </w:p>
  </w:footnote>
  <w:footnote w:id="4">
    <w:p w14:paraId="07165A8C" w14:textId="4F442BD6" w:rsidR="00D111F5" w:rsidRPr="005C49C6" w:rsidRDefault="00D111F5" w:rsidP="003709C6">
      <w:pPr>
        <w:pStyle w:val="FootnoteText"/>
        <w:spacing w:line="240" w:lineRule="auto"/>
        <w:ind w:left="567" w:hanging="567"/>
        <w:rPr>
          <w:sz w:val="24"/>
          <w:lang w:val="fi-FI"/>
        </w:rPr>
      </w:pPr>
      <w:r w:rsidRPr="007D1375">
        <w:rPr>
          <w:rStyle w:val="FootnoteReference"/>
          <w:sz w:val="24"/>
          <w:lang w:val="el-GR"/>
        </w:rPr>
        <w:footnoteRef/>
      </w:r>
      <w:r w:rsidR="007D1375" w:rsidRPr="005C49C6">
        <w:rPr>
          <w:sz w:val="24"/>
          <w:lang w:val="fi-FI"/>
        </w:rPr>
        <w:t xml:space="preserve"> </w:t>
      </w:r>
      <w:r w:rsidR="007D1375" w:rsidRPr="005C49C6">
        <w:rPr>
          <w:sz w:val="24"/>
          <w:lang w:val="fi-FI"/>
        </w:rPr>
        <w:tab/>
      </w:r>
      <w:r w:rsidRPr="007D1375">
        <w:rPr>
          <w:sz w:val="24"/>
          <w:lang w:val="el-GR"/>
        </w:rPr>
        <w:t>ΕΕ</w:t>
      </w:r>
      <w:r w:rsidRPr="005C49C6">
        <w:rPr>
          <w:sz w:val="24"/>
          <w:lang w:val="fi-FI"/>
        </w:rPr>
        <w:t xml:space="preserve"> C, C/2024/3996, 17.7.2024, ELI: </w:t>
      </w:r>
      <w:hyperlink r:id="rId2" w:history="1">
        <w:r w:rsidRPr="005C49C6">
          <w:rPr>
            <w:rStyle w:val="Hyperlink"/>
            <w:sz w:val="24"/>
            <w:lang w:val="fi-FI"/>
          </w:rPr>
          <w:t>http://data.europa.eu/eli/C/2024/3996/oj</w:t>
        </w:r>
      </w:hyperlink>
      <w:r w:rsidRPr="005C49C6">
        <w:rPr>
          <w:sz w:val="24"/>
          <w:lang w:val="fi-FI"/>
        </w:rPr>
        <w:t>.</w:t>
      </w:r>
    </w:p>
  </w:footnote>
  <w:footnote w:id="5">
    <w:p w14:paraId="7F9C54DE" w14:textId="4B955C8D" w:rsidR="00D111F5" w:rsidRPr="007D1375" w:rsidRDefault="00D111F5" w:rsidP="003709C6">
      <w:pPr>
        <w:pStyle w:val="FootnoteText"/>
        <w:spacing w:line="240" w:lineRule="auto"/>
        <w:ind w:left="567" w:hanging="567"/>
        <w:rPr>
          <w:sz w:val="24"/>
          <w:lang w:val="el-GR"/>
        </w:rPr>
      </w:pPr>
      <w:r w:rsidRPr="007D1375">
        <w:rPr>
          <w:rStyle w:val="FootnoteReference"/>
          <w:sz w:val="24"/>
          <w:lang w:val="el-GR"/>
        </w:rPr>
        <w:footnoteRef/>
      </w:r>
      <w:r w:rsidR="007D1375" w:rsidRPr="007D1375">
        <w:rPr>
          <w:sz w:val="24"/>
          <w:lang w:val="el-GR"/>
        </w:rPr>
        <w:t xml:space="preserve"> </w:t>
      </w:r>
      <w:r w:rsidR="007D1375" w:rsidRPr="007D1375">
        <w:rPr>
          <w:sz w:val="24"/>
          <w:lang w:val="el-GR"/>
        </w:rPr>
        <w:tab/>
      </w:r>
      <w:r w:rsidRPr="007D1375">
        <w:rPr>
          <w:sz w:val="24"/>
          <w:lang w:val="el-GR"/>
        </w:rPr>
        <w:t>Κείμενα που εγκρίθηκαν, P10_TA(2025)0090.</w:t>
      </w:r>
    </w:p>
  </w:footnote>
  <w:footnote w:id="6">
    <w:p w14:paraId="2B70C8B4" w14:textId="40CC9A27" w:rsidR="00D111F5" w:rsidRPr="005C49C6" w:rsidRDefault="00D111F5" w:rsidP="003709C6">
      <w:pPr>
        <w:pStyle w:val="FootnoteText"/>
        <w:spacing w:line="240" w:lineRule="auto"/>
        <w:ind w:left="567" w:hanging="567"/>
        <w:rPr>
          <w:sz w:val="24"/>
          <w:lang w:val="fi-FI"/>
        </w:rPr>
      </w:pPr>
      <w:r w:rsidRPr="007D1375">
        <w:rPr>
          <w:rStyle w:val="FootnoteReference"/>
          <w:sz w:val="24"/>
          <w:lang w:val="el-GR"/>
        </w:rPr>
        <w:footnoteRef/>
      </w:r>
      <w:r w:rsidR="007D1375" w:rsidRPr="005C49C6">
        <w:rPr>
          <w:sz w:val="24"/>
          <w:lang w:val="fi-FI"/>
        </w:rPr>
        <w:t xml:space="preserve"> </w:t>
      </w:r>
      <w:r w:rsidR="007D1375" w:rsidRPr="005C49C6">
        <w:rPr>
          <w:sz w:val="24"/>
          <w:lang w:val="fi-FI"/>
        </w:rPr>
        <w:tab/>
      </w:r>
      <w:r w:rsidRPr="007D1375">
        <w:rPr>
          <w:sz w:val="24"/>
          <w:lang w:val="el-GR"/>
        </w:rPr>
        <w:t>ΕΕ</w:t>
      </w:r>
      <w:r w:rsidRPr="005C49C6">
        <w:rPr>
          <w:sz w:val="24"/>
          <w:lang w:val="fi-FI"/>
        </w:rPr>
        <w:t xml:space="preserve"> C, C/2025/3151, 20.6.2025, ELI: </w:t>
      </w:r>
      <w:hyperlink r:id="rId3" w:history="1">
        <w:r w:rsidRPr="005C49C6">
          <w:rPr>
            <w:rStyle w:val="Hyperlink"/>
            <w:sz w:val="24"/>
            <w:lang w:val="fi-FI"/>
          </w:rPr>
          <w:t>http://data.europa.eu/eli/C/2025/3151/oj</w:t>
        </w:r>
      </w:hyperlink>
      <w:r w:rsidRPr="005C49C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1237" w14:textId="77777777" w:rsidR="00064002" w:rsidRPr="007D13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BD776" w14:textId="77777777" w:rsidR="00064002" w:rsidRPr="007D13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43AB" w14:textId="77777777" w:rsidR="00064002" w:rsidRPr="007D13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05B8C"/>
    <w:multiLevelType w:val="hybridMultilevel"/>
    <w:tmpl w:val="C7F82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D00340D"/>
    <w:multiLevelType w:val="hybridMultilevel"/>
    <w:tmpl w:val="3126E96E"/>
    <w:lvl w:ilvl="0" w:tplc="A518F7D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4423225">
    <w:abstractNumId w:val="9"/>
  </w:num>
  <w:num w:numId="2" w16cid:durableId="482235575">
    <w:abstractNumId w:val="9"/>
  </w:num>
  <w:num w:numId="3" w16cid:durableId="1322154315">
    <w:abstractNumId w:val="7"/>
  </w:num>
  <w:num w:numId="4" w16cid:durableId="472017496">
    <w:abstractNumId w:val="7"/>
  </w:num>
  <w:num w:numId="5" w16cid:durableId="1501575647">
    <w:abstractNumId w:val="6"/>
  </w:num>
  <w:num w:numId="6" w16cid:durableId="540482612">
    <w:abstractNumId w:val="6"/>
  </w:num>
  <w:num w:numId="7" w16cid:durableId="2013339467">
    <w:abstractNumId w:val="5"/>
  </w:num>
  <w:num w:numId="8" w16cid:durableId="390692692">
    <w:abstractNumId w:val="5"/>
  </w:num>
  <w:num w:numId="9" w16cid:durableId="991911542">
    <w:abstractNumId w:val="4"/>
  </w:num>
  <w:num w:numId="10" w16cid:durableId="1296720154">
    <w:abstractNumId w:val="4"/>
  </w:num>
  <w:num w:numId="11" w16cid:durableId="1922594863">
    <w:abstractNumId w:val="8"/>
  </w:num>
  <w:num w:numId="12" w16cid:durableId="1229417996">
    <w:abstractNumId w:val="8"/>
  </w:num>
  <w:num w:numId="13" w16cid:durableId="2022512082">
    <w:abstractNumId w:val="3"/>
  </w:num>
  <w:num w:numId="14" w16cid:durableId="1586651611">
    <w:abstractNumId w:val="3"/>
  </w:num>
  <w:num w:numId="15" w16cid:durableId="1898929699">
    <w:abstractNumId w:val="2"/>
  </w:num>
  <w:num w:numId="16" w16cid:durableId="518204761">
    <w:abstractNumId w:val="2"/>
  </w:num>
  <w:num w:numId="17" w16cid:durableId="994258416">
    <w:abstractNumId w:val="1"/>
  </w:num>
  <w:num w:numId="18" w16cid:durableId="1835219411">
    <w:abstractNumId w:val="1"/>
  </w:num>
  <w:num w:numId="19" w16cid:durableId="120269776">
    <w:abstractNumId w:val="0"/>
  </w:num>
  <w:num w:numId="20" w16cid:durableId="1737586381">
    <w:abstractNumId w:val="0"/>
  </w:num>
  <w:num w:numId="21" w16cid:durableId="991756434">
    <w:abstractNumId w:val="9"/>
  </w:num>
  <w:num w:numId="22" w16cid:durableId="821045555">
    <w:abstractNumId w:val="7"/>
  </w:num>
  <w:num w:numId="23" w16cid:durableId="2008170475">
    <w:abstractNumId w:val="6"/>
  </w:num>
  <w:num w:numId="24" w16cid:durableId="377361827">
    <w:abstractNumId w:val="5"/>
  </w:num>
  <w:num w:numId="25" w16cid:durableId="1768228152">
    <w:abstractNumId w:val="4"/>
  </w:num>
  <w:num w:numId="26" w16cid:durableId="2003199934">
    <w:abstractNumId w:val="8"/>
  </w:num>
  <w:num w:numId="27" w16cid:durableId="125974927">
    <w:abstractNumId w:val="3"/>
  </w:num>
  <w:num w:numId="28" w16cid:durableId="526716571">
    <w:abstractNumId w:val="2"/>
  </w:num>
  <w:num w:numId="29" w16cid:durableId="465122734">
    <w:abstractNumId w:val="1"/>
  </w:num>
  <w:num w:numId="30" w16cid:durableId="1475223060">
    <w:abstractNumId w:val="0"/>
  </w:num>
  <w:num w:numId="31" w16cid:durableId="155457878">
    <w:abstractNumId w:val="9"/>
  </w:num>
  <w:num w:numId="32" w16cid:durableId="1178272630">
    <w:abstractNumId w:val="7"/>
  </w:num>
  <w:num w:numId="33" w16cid:durableId="712655453">
    <w:abstractNumId w:val="6"/>
  </w:num>
  <w:num w:numId="34" w16cid:durableId="1529099580">
    <w:abstractNumId w:val="5"/>
  </w:num>
  <w:num w:numId="35" w16cid:durableId="1921451016">
    <w:abstractNumId w:val="4"/>
  </w:num>
  <w:num w:numId="36" w16cid:durableId="2036537971">
    <w:abstractNumId w:val="8"/>
  </w:num>
  <w:num w:numId="37" w16cid:durableId="1100027128">
    <w:abstractNumId w:val="3"/>
  </w:num>
  <w:num w:numId="38" w16cid:durableId="88163417">
    <w:abstractNumId w:val="2"/>
  </w:num>
  <w:num w:numId="39" w16cid:durableId="837502660">
    <w:abstractNumId w:val="1"/>
  </w:num>
  <w:num w:numId="40" w16cid:durableId="2013675541">
    <w:abstractNumId w:val="0"/>
  </w:num>
  <w:num w:numId="41" w16cid:durableId="1502115586">
    <w:abstractNumId w:val="11"/>
  </w:num>
  <w:num w:numId="42" w16cid:durableId="336462093">
    <w:abstractNumId w:val="11"/>
  </w:num>
  <w:num w:numId="43" w16cid:durableId="921453620">
    <w:abstractNumId w:val="11"/>
  </w:num>
  <w:num w:numId="44" w16cid:durableId="1364550748">
    <w:abstractNumId w:val="12"/>
  </w:num>
  <w:num w:numId="45" w16cid:durableId="1026256469">
    <w:abstractNumId w:val="10"/>
  </w:num>
  <w:num w:numId="46" w16cid:durableId="7848824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EL"/>
    <w:docVar w:name="dvnumam" w:val="0"/>
    <w:docVar w:name="dvpe" w:val="770.278"/>
    <w:docVar w:name="dvrapporteur" w:val="Εισηγητής: "/>
    <w:docVar w:name="dvtitre" w:val="Ψήφισμα του Ευρωπαϊκού Κοινοβουλίου σχετικά με τις θεσμικές πτυχές της έκθεσης για το μέλλον της ευρωπαϊκής ανταγωνιστικότητας (έκθεση Draghi)(2025/2013(INI))"/>
  </w:docVars>
  <w:rsids>
    <w:rsidRoot w:val="002B1036"/>
    <w:rsid w:val="00002272"/>
    <w:rsid w:val="0002683C"/>
    <w:rsid w:val="00064002"/>
    <w:rsid w:val="000677B9"/>
    <w:rsid w:val="000831BA"/>
    <w:rsid w:val="000A42CC"/>
    <w:rsid w:val="000B5F44"/>
    <w:rsid w:val="000E7DD9"/>
    <w:rsid w:val="0010095E"/>
    <w:rsid w:val="00125B37"/>
    <w:rsid w:val="00187494"/>
    <w:rsid w:val="001F32AE"/>
    <w:rsid w:val="0021037D"/>
    <w:rsid w:val="002767FF"/>
    <w:rsid w:val="002B1036"/>
    <w:rsid w:val="002B18FE"/>
    <w:rsid w:val="002B5493"/>
    <w:rsid w:val="00343214"/>
    <w:rsid w:val="00361C00"/>
    <w:rsid w:val="003709C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9C6"/>
    <w:rsid w:val="005F1B17"/>
    <w:rsid w:val="006037C0"/>
    <w:rsid w:val="006631B6"/>
    <w:rsid w:val="00680577"/>
    <w:rsid w:val="00681882"/>
    <w:rsid w:val="006B4584"/>
    <w:rsid w:val="006F74FA"/>
    <w:rsid w:val="00731ADD"/>
    <w:rsid w:val="00734777"/>
    <w:rsid w:val="00747932"/>
    <w:rsid w:val="00751A4A"/>
    <w:rsid w:val="00756632"/>
    <w:rsid w:val="00762C74"/>
    <w:rsid w:val="00786EC0"/>
    <w:rsid w:val="007D1375"/>
    <w:rsid w:val="007D1690"/>
    <w:rsid w:val="007E22AD"/>
    <w:rsid w:val="00817416"/>
    <w:rsid w:val="00842779"/>
    <w:rsid w:val="00865F67"/>
    <w:rsid w:val="00881A7B"/>
    <w:rsid w:val="008840E5"/>
    <w:rsid w:val="00887B3E"/>
    <w:rsid w:val="008A374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1F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B9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D58C3"/>
  <w15:chartTrackingRefBased/>
  <w15:docId w15:val="{11D75C5F-4CE6-498D-B5FA-CD82DE92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11F5"/>
    <w:pPr>
      <w:spacing w:before="480" w:after="240"/>
    </w:pPr>
    <w:rPr>
      <w:snapToGrid w:val="0"/>
      <w:lang w:eastAsia="en-US"/>
    </w:rPr>
  </w:style>
  <w:style w:type="paragraph" w:customStyle="1" w:styleId="NormalBold">
    <w:name w:val="NormalBold"/>
    <w:basedOn w:val="Normal"/>
    <w:rsid w:val="00D111F5"/>
    <w:rPr>
      <w:b/>
      <w:snapToGrid w:val="0"/>
      <w:lang w:eastAsia="en-US"/>
    </w:rPr>
  </w:style>
  <w:style w:type="paragraph" w:customStyle="1" w:styleId="NormalHanging12a">
    <w:name w:val="NormalHanging12a"/>
    <w:basedOn w:val="Normal"/>
    <w:rsid w:val="00D111F5"/>
    <w:pPr>
      <w:widowControl/>
      <w:spacing w:after="240"/>
      <w:ind w:left="567" w:hanging="567"/>
    </w:pPr>
    <w:rPr>
      <w:snapToGrid w:val="0"/>
      <w:lang w:eastAsia="en-US"/>
    </w:rPr>
  </w:style>
  <w:style w:type="character" w:customStyle="1" w:styleId="BoldItalic">
    <w:name w:val="BoldItalic"/>
    <w:uiPriority w:val="1"/>
    <w:rsid w:val="00D111F5"/>
    <w:rPr>
      <w:b/>
      <w:i/>
      <w:u w:val="none"/>
    </w:rPr>
  </w:style>
  <w:style w:type="character" w:customStyle="1" w:styleId="Italic">
    <w:name w:val="Italic"/>
    <w:uiPriority w:val="1"/>
    <w:rsid w:val="00D111F5"/>
    <w:rPr>
      <w:i/>
    </w:rPr>
  </w:style>
  <w:style w:type="paragraph" w:customStyle="1" w:styleId="Normal12a24b">
    <w:name w:val="Normal12a24b"/>
    <w:basedOn w:val="Normal"/>
    <w:rsid w:val="00D111F5"/>
    <w:pPr>
      <w:spacing w:before="360" w:after="240"/>
    </w:pPr>
    <w:rPr>
      <w:snapToGrid w:val="0"/>
      <w:lang w:eastAsia="en-US"/>
    </w:rPr>
  </w:style>
  <w:style w:type="character" w:styleId="Hyperlink">
    <w:name w:val="Hyperlink"/>
    <w:basedOn w:val="DefaultParagraphFont"/>
    <w:rsid w:val="00D111F5"/>
    <w:rPr>
      <w:color w:val="0000FF"/>
      <w:u w:val="single"/>
    </w:rPr>
  </w:style>
  <w:style w:type="paragraph" w:styleId="Revision">
    <w:name w:val="Revision"/>
    <w:hidden/>
    <w:uiPriority w:val="99"/>
    <w:semiHidden/>
    <w:rsid w:val="003709C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5021</Words>
  <Characters>30247</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2025-11-25T12:16:00Z</dcterms:created>
  <dcterms:modified xsi:type="dcterms:W3CDTF">2025-11-25T12:16:00Z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A10-0196/2025</vt:lpwstr>
  </property>
  <property fmtid="{D5CDD505-2E9C-101B-9397-08002B2CF9AE}" pid="4" name="&lt;Type&gt;">
    <vt:lpwstr>RR</vt:lpwstr>
  </property>
</Properties>
</file>