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7FB5" w14:paraId="16780F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98A257" w14:textId="77777777" w:rsidR="00751A4A" w:rsidRPr="00A27FB5" w:rsidRDefault="008A4D1C" w:rsidP="0010095E">
            <w:pPr>
              <w:pStyle w:val="EPName"/>
            </w:pPr>
            <w:r w:rsidRPr="00A27FB5">
              <w:t>Europski parlament</w:t>
            </w:r>
          </w:p>
          <w:p w14:paraId="0398B6DB" w14:textId="77777777" w:rsidR="00751A4A" w:rsidRPr="00A27F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7FB5">
              <w:t>2024</w:t>
            </w:r>
            <w:r w:rsidR="00817416" w:rsidRPr="00A27FB5">
              <w:t>-202</w:t>
            </w:r>
            <w:r w:rsidRPr="00A27FB5">
              <w:t>9</w:t>
            </w:r>
          </w:p>
        </w:tc>
        <w:tc>
          <w:tcPr>
            <w:tcW w:w="2268" w:type="dxa"/>
            <w:shd w:val="clear" w:color="auto" w:fill="auto"/>
          </w:tcPr>
          <w:p w14:paraId="14AB9B78" w14:textId="77777777" w:rsidR="00751A4A" w:rsidRPr="00A27FB5" w:rsidRDefault="00187494" w:rsidP="0010095E">
            <w:pPr>
              <w:pStyle w:val="EPLogo"/>
            </w:pPr>
            <w:r w:rsidRPr="00A27FB5">
              <w:rPr>
                <w:noProof/>
                <w:lang w:eastAsia="ja-JP"/>
              </w:rPr>
              <w:drawing>
                <wp:inline distT="0" distB="0" distL="0" distR="0" wp14:anchorId="32A16A85" wp14:editId="7580350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E46CFC" w14:textId="77777777" w:rsidR="00D058B8" w:rsidRPr="00A27FB5" w:rsidRDefault="00D058B8" w:rsidP="004C5D52">
      <w:pPr>
        <w:pStyle w:val="LineTop"/>
      </w:pPr>
    </w:p>
    <w:p w14:paraId="5435CE4C" w14:textId="77777777" w:rsidR="00680577" w:rsidRPr="00A27FB5" w:rsidRDefault="008A4D1C" w:rsidP="00680577">
      <w:pPr>
        <w:pStyle w:val="EPBodyTA1"/>
      </w:pPr>
      <w:r w:rsidRPr="00A27FB5">
        <w:t>USVOJENI TEKSTOVI</w:t>
      </w:r>
    </w:p>
    <w:p w14:paraId="2F380FC7" w14:textId="77777777" w:rsidR="00D058B8" w:rsidRPr="00A27FB5" w:rsidRDefault="00D058B8" w:rsidP="00D058B8">
      <w:pPr>
        <w:pStyle w:val="LineBottom"/>
      </w:pPr>
    </w:p>
    <w:p w14:paraId="14C21ACA" w14:textId="2E3C8D13" w:rsidR="008A4D1C" w:rsidRPr="00A27FB5" w:rsidRDefault="008A4D1C" w:rsidP="008A4D1C">
      <w:pPr>
        <w:pStyle w:val="ATHeading1"/>
      </w:pPr>
      <w:bookmarkStart w:id="0" w:name="TANumber"/>
      <w:r w:rsidRPr="00A27FB5">
        <w:t>P10_TA(2025)0</w:t>
      </w:r>
      <w:r w:rsidR="00262937">
        <w:t>285</w:t>
      </w:r>
      <w:bookmarkEnd w:id="0"/>
    </w:p>
    <w:p w14:paraId="758A7485" w14:textId="77777777" w:rsidR="008A4D1C" w:rsidRPr="00A27FB5" w:rsidRDefault="008A4D1C" w:rsidP="008A4D1C">
      <w:pPr>
        <w:pStyle w:val="ATHeading2"/>
      </w:pPr>
      <w:bookmarkStart w:id="1" w:name="title"/>
      <w:r w:rsidRPr="00A27FB5">
        <w:t>Institucionalni aspekti izvješća o budućnosti europske konkurentnosti (</w:t>
      </w:r>
      <w:proofErr w:type="spellStart"/>
      <w:r w:rsidRPr="00A27FB5">
        <w:t>Draghijevo</w:t>
      </w:r>
      <w:proofErr w:type="spellEnd"/>
      <w:r w:rsidRPr="00A27FB5">
        <w:t xml:space="preserve"> izvješće)</w:t>
      </w:r>
      <w:bookmarkEnd w:id="1"/>
    </w:p>
    <w:p w14:paraId="5BA51AE9" w14:textId="77777777" w:rsidR="008A4D1C" w:rsidRPr="00A27FB5" w:rsidRDefault="008A4D1C" w:rsidP="008A4D1C">
      <w:pPr>
        <w:rPr>
          <w:i/>
          <w:vanish/>
        </w:rPr>
      </w:pPr>
      <w:r w:rsidRPr="00A27FB5">
        <w:rPr>
          <w:i/>
        </w:rPr>
        <w:fldChar w:fldCharType="begin"/>
      </w:r>
      <w:r w:rsidRPr="00A27FB5">
        <w:rPr>
          <w:i/>
        </w:rPr>
        <w:instrText xml:space="preserve"> TC"(</w:instrText>
      </w:r>
      <w:bookmarkStart w:id="2" w:name="DocNumber"/>
      <w:r w:rsidRPr="00A27FB5">
        <w:rPr>
          <w:i/>
        </w:rPr>
        <w:instrText>A10-0196/2025</w:instrText>
      </w:r>
      <w:bookmarkEnd w:id="2"/>
      <w:r w:rsidRPr="00A27FB5">
        <w:rPr>
          <w:i/>
        </w:rPr>
        <w:instrText xml:space="preserve"> - Izvjestitelj: Brando </w:instrText>
      </w:r>
      <w:proofErr w:type="spellStart"/>
      <w:r w:rsidRPr="00A27FB5">
        <w:rPr>
          <w:i/>
        </w:rPr>
        <w:instrText>Benifei</w:instrText>
      </w:r>
      <w:proofErr w:type="spellEnd"/>
      <w:r w:rsidRPr="00A27FB5">
        <w:rPr>
          <w:i/>
        </w:rPr>
        <w:instrText xml:space="preserve">)"\l3 \n&gt; \* MERGEFORMAT </w:instrText>
      </w:r>
      <w:r w:rsidRPr="00A27FB5">
        <w:rPr>
          <w:i/>
        </w:rPr>
        <w:fldChar w:fldCharType="end"/>
      </w:r>
    </w:p>
    <w:p w14:paraId="68063B94" w14:textId="77777777" w:rsidR="008A4D1C" w:rsidRPr="00A27FB5" w:rsidRDefault="008A4D1C" w:rsidP="008A4D1C">
      <w:pPr>
        <w:rPr>
          <w:vanish/>
        </w:rPr>
      </w:pPr>
      <w:bookmarkStart w:id="3" w:name="Commission"/>
      <w:r w:rsidRPr="00A27FB5">
        <w:rPr>
          <w:vanish/>
        </w:rPr>
        <w:t>Odbor za ustavna pitanja</w:t>
      </w:r>
      <w:bookmarkEnd w:id="3"/>
    </w:p>
    <w:p w14:paraId="52287BEC" w14:textId="77777777" w:rsidR="008A4D1C" w:rsidRPr="00A27FB5" w:rsidRDefault="008A4D1C" w:rsidP="008A4D1C">
      <w:pPr>
        <w:rPr>
          <w:vanish/>
        </w:rPr>
      </w:pPr>
      <w:bookmarkStart w:id="4" w:name="PE"/>
      <w:r w:rsidRPr="00A27FB5">
        <w:rPr>
          <w:vanish/>
        </w:rPr>
        <w:t>PE770.278</w:t>
      </w:r>
      <w:bookmarkEnd w:id="4"/>
    </w:p>
    <w:p w14:paraId="762700CC" w14:textId="42BEEA54" w:rsidR="008A4D1C" w:rsidRPr="00A27FB5" w:rsidRDefault="008A4D1C" w:rsidP="008A4D1C">
      <w:pPr>
        <w:pStyle w:val="ATHeading3"/>
      </w:pPr>
      <w:bookmarkStart w:id="5" w:name="Sujet"/>
      <w:r w:rsidRPr="00A27FB5">
        <w:t xml:space="preserve">Rezolucija Europskog parlamenta od </w:t>
      </w:r>
      <w:r w:rsidR="00A27FB5">
        <w:t>25</w:t>
      </w:r>
      <w:r w:rsidRPr="00A27FB5">
        <w:t xml:space="preserve">. </w:t>
      </w:r>
      <w:r w:rsidR="00A27FB5">
        <w:t xml:space="preserve">studenoga </w:t>
      </w:r>
      <w:r w:rsidRPr="00A27FB5">
        <w:t>2025. o institucionalnim aspektima izvješća o budućnosti europske konkurentnosti (</w:t>
      </w:r>
      <w:proofErr w:type="spellStart"/>
      <w:r w:rsidRPr="00A27FB5">
        <w:t>Draghijevo</w:t>
      </w:r>
      <w:proofErr w:type="spellEnd"/>
      <w:r w:rsidRPr="00A27FB5">
        <w:t xml:space="preserve"> izvješće)</w:t>
      </w:r>
      <w:bookmarkEnd w:id="5"/>
      <w:r w:rsidRPr="00A27FB5">
        <w:t xml:space="preserve"> </w:t>
      </w:r>
      <w:bookmarkStart w:id="6" w:name="References"/>
      <w:r w:rsidRPr="00A27FB5">
        <w:t>(2025/2013(INI))</w:t>
      </w:r>
      <w:bookmarkEnd w:id="6"/>
    </w:p>
    <w:p w14:paraId="2EB3BE44" w14:textId="77777777" w:rsidR="00187793" w:rsidRPr="00A27FB5" w:rsidRDefault="00187793" w:rsidP="00187793">
      <w:pPr>
        <w:pStyle w:val="EPComma"/>
      </w:pPr>
      <w:r w:rsidRPr="00A27FB5">
        <w:rPr>
          <w:rStyle w:val="Italic"/>
        </w:rPr>
        <w:t>Europski parlament</w:t>
      </w:r>
      <w:r w:rsidRPr="00A27FB5">
        <w:t>,</w:t>
      </w:r>
    </w:p>
    <w:p w14:paraId="4096FE56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 xml:space="preserve">uzimajući u obzir izvješće Marija </w:t>
      </w:r>
      <w:proofErr w:type="spellStart"/>
      <w:r w:rsidRPr="00A27FB5">
        <w:t>Draghija</w:t>
      </w:r>
      <w:proofErr w:type="spellEnd"/>
      <w:r w:rsidRPr="00A27FB5">
        <w:t xml:space="preserve"> od 9. rujna 2024. naslovljeno „Budućnost europske konkurentnosti” (</w:t>
      </w:r>
      <w:proofErr w:type="spellStart"/>
      <w:r w:rsidRPr="00A27FB5">
        <w:t>Draghijevo</w:t>
      </w:r>
      <w:proofErr w:type="spellEnd"/>
      <w:r w:rsidRPr="00A27FB5">
        <w:t xml:space="preserve"> izvješće),</w:t>
      </w:r>
    </w:p>
    <w:p w14:paraId="7BA7F597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 xml:space="preserve">uzimajući u obzir govor Marija </w:t>
      </w:r>
      <w:proofErr w:type="spellStart"/>
      <w:r w:rsidRPr="00A27FB5">
        <w:t>Draghija</w:t>
      </w:r>
      <w:proofErr w:type="spellEnd"/>
      <w:r w:rsidRPr="00A27FB5">
        <w:t xml:space="preserve"> o predstavljanju </w:t>
      </w:r>
      <w:proofErr w:type="spellStart"/>
      <w:r w:rsidRPr="00A27FB5">
        <w:t>Draghijeva</w:t>
      </w:r>
      <w:proofErr w:type="spellEnd"/>
      <w:r w:rsidRPr="00A27FB5">
        <w:t xml:space="preserve"> izvješća Europskom parlamentu 17. rujna 2024.,</w:t>
      </w:r>
    </w:p>
    <w:p w14:paraId="7585A594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 xml:space="preserve">uzimajući u obzir izvješće Enrica </w:t>
      </w:r>
      <w:proofErr w:type="spellStart"/>
      <w:r w:rsidRPr="00A27FB5">
        <w:t>Lette</w:t>
      </w:r>
      <w:proofErr w:type="spellEnd"/>
      <w:r w:rsidRPr="00A27FB5">
        <w:t xml:space="preserve"> od 17. travnja 2024. naslovljeno „Više od tržišta” (</w:t>
      </w:r>
      <w:proofErr w:type="spellStart"/>
      <w:r w:rsidRPr="00A27FB5">
        <w:t>Lettino</w:t>
      </w:r>
      <w:proofErr w:type="spellEnd"/>
      <w:r w:rsidRPr="00A27FB5">
        <w:t xml:space="preserve"> izvješće),</w:t>
      </w:r>
    </w:p>
    <w:p w14:paraId="232E0532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>uzimajući u obzir komunikaciju Komisije od 29. siječnja 2025. naslovljenu „Kompas konkurentnosti za EU” (COM(2025)0030),</w:t>
      </w:r>
    </w:p>
    <w:p w14:paraId="378A0E54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>uzimajući u obzir komunikaciju Komisije od 11. veljače 2025. naslovljenu „Put prema sljedećem višegodišnjem financijskom okviru” (COM(2025)0046),</w:t>
      </w:r>
    </w:p>
    <w:p w14:paraId="46548B13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>uzimajući u obzir komunikaciju Komisije od 19. ožujka 2025. naslovljenu „Unija za štednju i ulaganja – Strategija za povećanje bogatstva građana i gospodarske konkurentnosti EU-a” (COM(2025)0124),</w:t>
      </w:r>
    </w:p>
    <w:p w14:paraId="34683A95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 xml:space="preserve">uzimajući u obzir izvješće </w:t>
      </w:r>
      <w:proofErr w:type="spellStart"/>
      <w:r w:rsidRPr="00A27FB5">
        <w:t>Saulija</w:t>
      </w:r>
      <w:proofErr w:type="spellEnd"/>
      <w:r w:rsidRPr="00A27FB5">
        <w:t xml:space="preserve"> </w:t>
      </w:r>
      <w:proofErr w:type="spellStart"/>
      <w:r w:rsidRPr="00A27FB5">
        <w:t>Niinistöa</w:t>
      </w:r>
      <w:proofErr w:type="spellEnd"/>
      <w:r w:rsidRPr="00A27FB5">
        <w:t xml:space="preserve"> od 30. listopada 2024. naslovljeno „Sigurniji zajedno – jačanje europske civilne i vojne spremnosti i pripravnosti” (</w:t>
      </w:r>
      <w:proofErr w:type="spellStart"/>
      <w:r w:rsidRPr="00A27FB5">
        <w:t>Niinistöovo</w:t>
      </w:r>
      <w:proofErr w:type="spellEnd"/>
      <w:r w:rsidRPr="00A27FB5">
        <w:t xml:space="preserve"> izvješće),</w:t>
      </w:r>
    </w:p>
    <w:p w14:paraId="1D9C4870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>uzimajući u obzir izvješće od 9. svibnja 2022. o konačnim rezultatima Konferencije o budućnosti Europe,</w:t>
      </w:r>
    </w:p>
    <w:p w14:paraId="0F93B028" w14:textId="77777777" w:rsidR="00187793" w:rsidRPr="00A27FB5" w:rsidRDefault="00187793" w:rsidP="00187793">
      <w:pPr>
        <w:pStyle w:val="NormalHanging12a"/>
      </w:pPr>
      <w:r w:rsidRPr="00A27FB5">
        <w:lastRenderedPageBreak/>
        <w:t>–</w:t>
      </w:r>
      <w:r w:rsidRPr="00A27FB5">
        <w:tab/>
        <w:t>uzimajući u obzir svoju Rezoluciju od 4. svibnja 2022. o daljnjem postupanju nakon zaključaka Konferencije o budućnosti Europe</w:t>
      </w:r>
      <w:r w:rsidRPr="00A27FB5">
        <w:rPr>
          <w:rStyle w:val="FootnoteReference"/>
        </w:rPr>
        <w:footnoteReference w:id="1"/>
      </w:r>
      <w:r w:rsidRPr="00A27FB5">
        <w:t>,</w:t>
      </w:r>
    </w:p>
    <w:p w14:paraId="2FD99C3D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>uzimajući u obzir svoju Rezoluciju od 9. lipnja 2022. o pozivu na sazivanje konvencije radi revizije Ugovorâ</w:t>
      </w:r>
      <w:r w:rsidRPr="00A27FB5">
        <w:rPr>
          <w:rStyle w:val="FootnoteReference"/>
        </w:rPr>
        <w:footnoteReference w:id="2"/>
      </w:r>
      <w:r w:rsidRPr="00A27FB5">
        <w:t>,</w:t>
      </w:r>
    </w:p>
    <w:p w14:paraId="4A4BA25B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>uzimajući u obzir svoju Rezoluciju od 22. studenoga 2023. o prijedlozima Europskog parlamenta za izmjenu Ugovorâ</w:t>
      </w:r>
      <w:r w:rsidRPr="00A27FB5">
        <w:rPr>
          <w:rStyle w:val="FootnoteReference"/>
        </w:rPr>
        <w:footnoteReference w:id="3"/>
      </w:r>
      <w:r w:rsidRPr="00A27FB5">
        <w:t>,</w:t>
      </w:r>
    </w:p>
    <w:p w14:paraId="52A060DD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 xml:space="preserve">uzimajući u obzir svoju Rezoluciju od 11. srpnja 2023. o primjeni </w:t>
      </w:r>
      <w:proofErr w:type="spellStart"/>
      <w:r w:rsidRPr="00A27FB5">
        <w:t>premošćujućih</w:t>
      </w:r>
      <w:proofErr w:type="spellEnd"/>
      <w:r w:rsidRPr="00A27FB5">
        <w:t xml:space="preserve"> klauzula u Ugovorima EU-a</w:t>
      </w:r>
      <w:r w:rsidRPr="00A27FB5">
        <w:rPr>
          <w:rStyle w:val="FootnoteReference"/>
        </w:rPr>
        <w:footnoteReference w:id="4"/>
      </w:r>
      <w:r w:rsidRPr="00A27FB5">
        <w:t>,</w:t>
      </w:r>
    </w:p>
    <w:p w14:paraId="6DB0D606" w14:textId="77777777" w:rsidR="00187793" w:rsidRPr="00A27FB5" w:rsidRDefault="00187793" w:rsidP="00187793">
      <w:pPr>
        <w:pStyle w:val="NormalHanging12a"/>
        <w:rPr>
          <w:bCs/>
          <w:iCs/>
        </w:rPr>
      </w:pPr>
      <w:r w:rsidRPr="00A27FB5">
        <w:t>–</w:t>
      </w:r>
      <w:r w:rsidRPr="00A27FB5">
        <w:tab/>
        <w:t>uzimajući u obzir svoju rezoluciju od 7. svibnja 2025. o unaprijeđenom dugoročnom proračunu Unije u svijetu koji se mijenja</w:t>
      </w:r>
      <w:r w:rsidRPr="00A27FB5">
        <w:rPr>
          <w:rStyle w:val="FootnoteReference"/>
          <w:bCs/>
          <w:iCs/>
        </w:rPr>
        <w:footnoteReference w:id="5"/>
      </w:r>
      <w:r w:rsidRPr="00A27FB5">
        <w:t>,</w:t>
      </w:r>
    </w:p>
    <w:p w14:paraId="340F98EB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>uzimajući u obzir svoju Rezoluciju od 12. ožujka 2025. o Bijeloj knjizi o budućnosti europske obrane</w:t>
      </w:r>
      <w:r w:rsidRPr="00A27FB5">
        <w:rPr>
          <w:rStyle w:val="FootnoteReference"/>
        </w:rPr>
        <w:footnoteReference w:id="6"/>
      </w:r>
      <w:r w:rsidRPr="00A27FB5">
        <w:t>,</w:t>
      </w:r>
    </w:p>
    <w:p w14:paraId="556A4936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>uzimajući u obzir članak 48. Ugovora o Europskoj uniji (UEU),</w:t>
      </w:r>
    </w:p>
    <w:p w14:paraId="69876E49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 xml:space="preserve">uzimajući u obzir </w:t>
      </w:r>
      <w:proofErr w:type="spellStart"/>
      <w:r w:rsidRPr="00A27FB5">
        <w:t>premošćujuće</w:t>
      </w:r>
      <w:proofErr w:type="spellEnd"/>
      <w:r w:rsidRPr="00A27FB5">
        <w:t xml:space="preserve"> klauzule u Ugovorima EU-a,</w:t>
      </w:r>
    </w:p>
    <w:p w14:paraId="0B9EE647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>uzimajući u obzir odredbe Ugovora o pojačanoj suradnji i stalnoj strukturiranoj suradnji,</w:t>
      </w:r>
    </w:p>
    <w:p w14:paraId="69F4D9A7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>uzimajući u obzir članak 122. Ugovora o funkcioniranju Europske unije (UFEU),</w:t>
      </w:r>
    </w:p>
    <w:p w14:paraId="714ECDC8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>uzimajući u obzir članak 55. Poslovnika,</w:t>
      </w:r>
    </w:p>
    <w:p w14:paraId="773963FE" w14:textId="77777777" w:rsidR="00187793" w:rsidRPr="00A27FB5" w:rsidRDefault="00187793" w:rsidP="00187793">
      <w:pPr>
        <w:pStyle w:val="NormalHanging12a"/>
      </w:pPr>
      <w:r w:rsidRPr="00A27FB5">
        <w:t>–</w:t>
      </w:r>
      <w:r w:rsidRPr="00A27FB5">
        <w:tab/>
        <w:t>uzimajući u obzir izvješće Odbora za ustavna pitanja (A10-0196/2025),</w:t>
      </w:r>
    </w:p>
    <w:p w14:paraId="6FBE0EAB" w14:textId="77777777" w:rsidR="00187793" w:rsidRPr="00A27FB5" w:rsidRDefault="00187793" w:rsidP="00187793">
      <w:pPr>
        <w:pStyle w:val="NormalHanging12a"/>
      </w:pPr>
      <w:r w:rsidRPr="00A27FB5">
        <w:t>A.</w:t>
      </w:r>
      <w:r w:rsidRPr="00A27FB5">
        <w:tab/>
        <w:t xml:space="preserve">budući da </w:t>
      </w:r>
      <w:proofErr w:type="spellStart"/>
      <w:r w:rsidRPr="00A27FB5">
        <w:t>Draghijevo</w:t>
      </w:r>
      <w:proofErr w:type="spellEnd"/>
      <w:r w:rsidRPr="00A27FB5">
        <w:t xml:space="preserve"> izvješće, koje je sastavio Mario </w:t>
      </w:r>
      <w:proofErr w:type="spellStart"/>
      <w:r w:rsidRPr="00A27FB5">
        <w:t>Draghi</w:t>
      </w:r>
      <w:proofErr w:type="spellEnd"/>
      <w:r w:rsidRPr="00A27FB5">
        <w:t xml:space="preserve"> na zahtjev predsjednice Komisije Ursule von </w:t>
      </w:r>
      <w:proofErr w:type="spellStart"/>
      <w:r w:rsidRPr="00A27FB5">
        <w:t>der</w:t>
      </w:r>
      <w:proofErr w:type="spellEnd"/>
      <w:r w:rsidRPr="00A27FB5">
        <w:t xml:space="preserve"> </w:t>
      </w:r>
      <w:proofErr w:type="spellStart"/>
      <w:r w:rsidRPr="00A27FB5">
        <w:t>Leyen</w:t>
      </w:r>
      <w:proofErr w:type="spellEnd"/>
      <w:r w:rsidRPr="00A27FB5">
        <w:t xml:space="preserve">, nudi sveobuhvatnu dijagnozu strukturnih izazova s kojima se EU suočava te upozorava da Uniji prijeti dugotrajan i spor gospodarski rast koji bi u konačnici mogao ugroziti blagostanje i socijalnu dobrobit; budući da se u </w:t>
      </w:r>
      <w:proofErr w:type="spellStart"/>
      <w:r w:rsidRPr="00A27FB5">
        <w:t>Draghijevu</w:t>
      </w:r>
      <w:proofErr w:type="spellEnd"/>
      <w:r w:rsidRPr="00A27FB5">
        <w:t xml:space="preserve"> izvješću navodi da se Europa više ne može oslanjati na brojne čimbenike koji su u prošlosti poticali rast;</w:t>
      </w:r>
    </w:p>
    <w:p w14:paraId="694598A6" w14:textId="77777777" w:rsidR="00187793" w:rsidRPr="00A27FB5" w:rsidRDefault="00187793" w:rsidP="00187793">
      <w:pPr>
        <w:pStyle w:val="NormalHanging12a"/>
      </w:pPr>
      <w:r w:rsidRPr="00A27FB5">
        <w:t>B.</w:t>
      </w:r>
      <w:r w:rsidRPr="00A27FB5">
        <w:tab/>
        <w:t xml:space="preserve">budući da je došlo do velike razlike u BDP-u između EU-a i Sjedinjenih Američkih Država, koja se, mjereno prema cijenama iz 2015., povećala s više od 15 % 2002. na približno 30 % 2023.; budući da je do toga u prvom redu došlo zbog znatnog usporavanja produktivnosti u Europi te neuspjeha Unije da iskoristi digitalnu revoluciju predvođenu internetom i s time povezano potencijalno povećanje produktivnosti, djelomično zbog </w:t>
      </w:r>
      <w:proofErr w:type="spellStart"/>
      <w:r w:rsidRPr="00A27FB5">
        <w:t>fragmentiranosti</w:t>
      </w:r>
      <w:proofErr w:type="spellEnd"/>
      <w:r w:rsidRPr="00A27FB5">
        <w:t xml:space="preserve"> europskog jedinstvenog tržišta;</w:t>
      </w:r>
    </w:p>
    <w:p w14:paraId="2DFE131D" w14:textId="77777777" w:rsidR="00187793" w:rsidRPr="00A27FB5" w:rsidRDefault="00187793" w:rsidP="00187793">
      <w:pPr>
        <w:pStyle w:val="NormalHanging12a"/>
      </w:pPr>
      <w:r w:rsidRPr="00A27FB5">
        <w:lastRenderedPageBreak/>
        <w:t>C.</w:t>
      </w:r>
      <w:r w:rsidRPr="00A27FB5">
        <w:tab/>
        <w:t xml:space="preserve">budući da se u </w:t>
      </w:r>
      <w:proofErr w:type="spellStart"/>
      <w:r w:rsidRPr="00A27FB5">
        <w:t>Draghijevu</w:t>
      </w:r>
      <w:proofErr w:type="spellEnd"/>
      <w:r w:rsidRPr="00A27FB5">
        <w:t xml:space="preserve"> izvješću kao glavne osnove za budući rast Europe identificiraju premošćivanje inovacijskog jaza, zajednički plan za </w:t>
      </w:r>
      <w:proofErr w:type="spellStart"/>
      <w:r w:rsidRPr="00A27FB5">
        <w:t>dekarbonizaciju</w:t>
      </w:r>
      <w:proofErr w:type="spellEnd"/>
      <w:r w:rsidRPr="00A27FB5">
        <w:t xml:space="preserve"> i konkurentnost, povećanje sigurnosti i smanjenje ovisnosti te ostvarivanje gospodarskih, okolišnih i socijalnih ciljeva EU-a; budući da procjenjuje da će to zahtijevati povećanje razine ulaganja od oko 5 % ukupnog BDP-a EU-a, što će iznositi najmanje 750 – 800 milijardi EUR godišnjih dodatnih ulaganja;</w:t>
      </w:r>
    </w:p>
    <w:p w14:paraId="07300E37" w14:textId="77777777" w:rsidR="00187793" w:rsidRPr="00A27FB5" w:rsidRDefault="00187793" w:rsidP="00187793">
      <w:pPr>
        <w:pStyle w:val="NormalHanging12a"/>
      </w:pPr>
      <w:r w:rsidRPr="00A27FB5">
        <w:t>D.</w:t>
      </w:r>
      <w:r w:rsidRPr="00A27FB5">
        <w:tab/>
        <w:t xml:space="preserve">budući da globalna potražnja za kritičnim sirovinama brzo raste zbog prelaska na čistu energiju, a Europa se ujedno uvelike oslanja na uvoz digitalne tehnologije, posebno za proizvodnju čipova, s obzirom na to da je 75 – 80 % globalnih kapaciteta za proizvodnju poluvodičkih pločica (tzv. </w:t>
      </w:r>
      <w:proofErr w:type="spellStart"/>
      <w:r w:rsidRPr="00A27FB5">
        <w:t>wafera</w:t>
      </w:r>
      <w:proofErr w:type="spellEnd"/>
      <w:r w:rsidRPr="00A27FB5">
        <w:t>) smješteno u Aziji; budući da bi trebalo razviti istinsku „vanjsku gospodarsku politiku” EU-a kako bi se zadržala autonomija i konkurentnost EU-a u tom ključnom području te u drugim strateškim sektorima;</w:t>
      </w:r>
    </w:p>
    <w:p w14:paraId="599DFCD1" w14:textId="77777777" w:rsidR="00187793" w:rsidRPr="00A27FB5" w:rsidRDefault="00187793" w:rsidP="00187793">
      <w:pPr>
        <w:pStyle w:val="NormalHanging12a"/>
      </w:pPr>
      <w:r w:rsidRPr="00A27FB5">
        <w:t>E.</w:t>
      </w:r>
      <w:r w:rsidRPr="00A27FB5">
        <w:tab/>
        <w:t xml:space="preserve">budući da se i u </w:t>
      </w:r>
      <w:proofErr w:type="spellStart"/>
      <w:r w:rsidRPr="00A27FB5">
        <w:t>Lettinu</w:t>
      </w:r>
      <w:proofErr w:type="spellEnd"/>
      <w:r w:rsidRPr="00A27FB5">
        <w:t xml:space="preserve"> izvješću, koje je sastavio Enrico </w:t>
      </w:r>
      <w:proofErr w:type="spellStart"/>
      <w:r w:rsidRPr="00A27FB5">
        <w:t>Letta</w:t>
      </w:r>
      <w:proofErr w:type="spellEnd"/>
      <w:r w:rsidRPr="00A27FB5">
        <w:t xml:space="preserve"> za Europsko vijeće, i u </w:t>
      </w:r>
      <w:proofErr w:type="spellStart"/>
      <w:r w:rsidRPr="00A27FB5">
        <w:t>Draghijevu</w:t>
      </w:r>
      <w:proofErr w:type="spellEnd"/>
      <w:r w:rsidRPr="00A27FB5">
        <w:t xml:space="preserve"> izvješću ističe da je jedinstveno tržište od samog početka bilo jak poticaj gospodarstvu EU-a i snažan čimbenik njegove privlačnosti te je i dalje temelj europske integracije i vrijednosti te služi kao snažan katalizator rasta, blagostanja i solidarnosti; budući da se međunarodna situacija stubokom promijenila, zbog čega je postalo jasno da je potrebno dodatno produbiti i dovršiti jedinstveno tržište kako bi se ostvario njegov puni potencijal;</w:t>
      </w:r>
    </w:p>
    <w:p w14:paraId="1CF8B78B" w14:textId="77777777" w:rsidR="00187793" w:rsidRPr="00A27FB5" w:rsidRDefault="00187793" w:rsidP="00187793">
      <w:pPr>
        <w:pStyle w:val="NormalHanging12a"/>
      </w:pPr>
      <w:r w:rsidRPr="00A27FB5">
        <w:t>F.</w:t>
      </w:r>
      <w:r w:rsidRPr="00A27FB5">
        <w:tab/>
        <w:t xml:space="preserve">budući da je u </w:t>
      </w:r>
      <w:proofErr w:type="spellStart"/>
      <w:r w:rsidRPr="00A27FB5">
        <w:t>Draghijevu</w:t>
      </w:r>
      <w:proofErr w:type="spellEnd"/>
      <w:r w:rsidRPr="00A27FB5">
        <w:t xml:space="preserve"> izvješću utvrđeno da su potrebna dodatna godišnja ulaganja u iznosu od najmanje 750 do 800 milijardi EUR kako bi se obnovila produktivnost EU-a i ostvarili okolišni i socijalni ciljevi EU-a;</w:t>
      </w:r>
    </w:p>
    <w:p w14:paraId="0CA60C44" w14:textId="77777777" w:rsidR="00187793" w:rsidRPr="00A27FB5" w:rsidRDefault="00187793" w:rsidP="00187793">
      <w:pPr>
        <w:pStyle w:val="NormalHanging12a"/>
      </w:pPr>
      <w:r w:rsidRPr="00A27FB5">
        <w:t>G.</w:t>
      </w:r>
      <w:r w:rsidRPr="00A27FB5">
        <w:tab/>
        <w:t>budući da je potpora EU-a javnim i privatnim ulaganjima ograničena veličinom proračuna EU-a, njegovim nedostatkom usmjerenosti, složenim upravljačkim okvirom i pretjerano konzervativnim stavom prema riziku; budući da su zajednička ulaganja EU-a, uključujući zajednički financirane tržišno utemeljene inicijative, ključna za rješavanje izazova koji nadilaze nacionalne granice, jer ta ulaganja omogućuju ekonomiju razmjera, potiču stratešku autonomiju uz promicanje i zaštitu kohezije diljem Unije, privlače privatni kapital, jačaju globalnu konkurentnost EU-a u ključnim sektorima te financiraju i pružaju druga europska javna dobra;</w:t>
      </w:r>
    </w:p>
    <w:p w14:paraId="59314C17" w14:textId="77777777" w:rsidR="00187793" w:rsidRPr="00A27FB5" w:rsidRDefault="00187793" w:rsidP="00187793">
      <w:pPr>
        <w:pStyle w:val="NormalHanging12a"/>
      </w:pPr>
      <w:r w:rsidRPr="00A27FB5">
        <w:t>H.</w:t>
      </w:r>
      <w:r w:rsidRPr="00A27FB5">
        <w:tab/>
        <w:t xml:space="preserve">budući da pokušaj stvaranja unije tržišta kapitala, koji je predsjednica Komisije von </w:t>
      </w:r>
      <w:proofErr w:type="spellStart"/>
      <w:r w:rsidRPr="00A27FB5">
        <w:t>der</w:t>
      </w:r>
      <w:proofErr w:type="spellEnd"/>
      <w:r w:rsidRPr="00A27FB5">
        <w:t xml:space="preserve"> </w:t>
      </w:r>
      <w:proofErr w:type="spellStart"/>
      <w:r w:rsidRPr="00A27FB5">
        <w:t>Leyen</w:t>
      </w:r>
      <w:proofErr w:type="spellEnd"/>
      <w:r w:rsidRPr="00A27FB5">
        <w:t xml:space="preserve"> odredila kao strateški prioritet, tijekom proteklog desetljeća nije bio uspješan; budući da je dosadašnje djelovanje unije tržišta kapitala uputilo na to da je potpuna integracija financijskih usluga u jedinstveno tržište ključna za ostvarenje strateških ciljeva gospodarske politike EU-a;</w:t>
      </w:r>
    </w:p>
    <w:p w14:paraId="534101D2" w14:textId="77777777" w:rsidR="00187793" w:rsidRPr="00A27FB5" w:rsidRDefault="00187793" w:rsidP="00187793">
      <w:pPr>
        <w:pStyle w:val="NormalHanging12a"/>
      </w:pPr>
      <w:r w:rsidRPr="00A27FB5">
        <w:t>I.</w:t>
      </w:r>
      <w:r w:rsidRPr="00A27FB5">
        <w:tab/>
        <w:t xml:space="preserve">budući da </w:t>
      </w:r>
      <w:proofErr w:type="spellStart"/>
      <w:r w:rsidRPr="00A27FB5">
        <w:t>Draghijevo</w:t>
      </w:r>
      <w:proofErr w:type="spellEnd"/>
      <w:r w:rsidRPr="00A27FB5">
        <w:t xml:space="preserve"> izvješće nudi sveobuhvatnu analizu gospodarskog upravljanja i konkurentnosti EU-a; </w:t>
      </w:r>
    </w:p>
    <w:p w14:paraId="7FEFAB9A" w14:textId="77777777" w:rsidR="00187793" w:rsidRPr="00A27FB5" w:rsidRDefault="00187793" w:rsidP="00187793">
      <w:pPr>
        <w:pStyle w:val="NormalHanging12a"/>
        <w:rPr>
          <w:bCs/>
          <w:iCs/>
        </w:rPr>
      </w:pPr>
      <w:r w:rsidRPr="00A27FB5">
        <w:t>J.</w:t>
      </w:r>
      <w:r w:rsidRPr="00A27FB5">
        <w:tab/>
        <w:t xml:space="preserve">budući da je ruska ratna agresije na Ukrajinu potaknula nove zahtjeve za pridruživanje, što je dovelo do situacije u kojoj se EU mora pripremiti za sljedeće krugove proširenja i poboljšati svoje postupke donošenja odluka kako bi se osiguralo da je sposobna funkcionirati učinkovito s povećanim brojem država članica; budući da se u </w:t>
      </w:r>
      <w:proofErr w:type="spellStart"/>
      <w:r w:rsidRPr="00A27FB5">
        <w:t>Draghijevom</w:t>
      </w:r>
      <w:proofErr w:type="spellEnd"/>
      <w:r w:rsidRPr="00A27FB5">
        <w:t xml:space="preserve"> izvješću navodi da zakonodavne aktivnosti Komisije rastu i da bi EU trebao biti strog u primjeni načela supsidijarnosti; budući da se u </w:t>
      </w:r>
      <w:proofErr w:type="spellStart"/>
      <w:r w:rsidRPr="00A27FB5">
        <w:t>Draghijevu</w:t>
      </w:r>
      <w:proofErr w:type="spellEnd"/>
      <w:r w:rsidRPr="00A27FB5">
        <w:t xml:space="preserve"> izvješću isto tako ističe da se pravila EU-a o donošenju odluka nisu znatno promijenila nakon </w:t>
      </w:r>
      <w:r w:rsidRPr="00A27FB5">
        <w:lastRenderedPageBreak/>
        <w:t>proširenja EU-a te da se trebaju ojačati i pojednostavniti u kontekstu budućih proširenja i složenog globalnog okruženja; budući da proširenje jedinstvenog tržišta ima znatan potencijal za rast gospodarstva EU-a i jačanje njegova geoekonomskog položaja;</w:t>
      </w:r>
    </w:p>
    <w:p w14:paraId="28973CBD" w14:textId="77777777" w:rsidR="00187793" w:rsidRPr="00A27FB5" w:rsidRDefault="00187793" w:rsidP="00187793">
      <w:pPr>
        <w:pStyle w:val="NormalHanging12a"/>
        <w:rPr>
          <w:bCs/>
          <w:iCs/>
        </w:rPr>
      </w:pPr>
      <w:r w:rsidRPr="00A27FB5">
        <w:t>K.</w:t>
      </w:r>
      <w:r w:rsidRPr="00A27FB5">
        <w:tab/>
        <w:t xml:space="preserve">budući da se u </w:t>
      </w:r>
      <w:proofErr w:type="spellStart"/>
      <w:r w:rsidRPr="00A27FB5">
        <w:t>Draghijevu</w:t>
      </w:r>
      <w:proofErr w:type="spellEnd"/>
      <w:r w:rsidRPr="00A27FB5">
        <w:t xml:space="preserve"> izvješću također smatra da više vlada u procesu donošenja odluka ciljano koristi veto za odgodu ili slabljenje djelovanja; budući da se u izvješću također ističe da se, iako je za jačanje EU-a potrebna izmjena Ugovora, mnogo toga može postići ciljanim prilagodbama; budući da se u izvješću stoga tvrdi da nova industrijska strategija za Europu mora biti popraćena istovremenim poboljšanjem institucijskog ustroja i funkcioniranja EU-a; </w:t>
      </w:r>
    </w:p>
    <w:p w14:paraId="4D01F9FF" w14:textId="77777777" w:rsidR="00187793" w:rsidRPr="00A27FB5" w:rsidRDefault="00187793" w:rsidP="00187793">
      <w:pPr>
        <w:pStyle w:val="NormalHanging12a"/>
      </w:pPr>
      <w:r w:rsidRPr="00A27FB5">
        <w:t>L.</w:t>
      </w:r>
      <w:r w:rsidRPr="00A27FB5">
        <w:tab/>
        <w:t xml:space="preserve">budući da se u </w:t>
      </w:r>
      <w:proofErr w:type="spellStart"/>
      <w:r w:rsidRPr="00A27FB5">
        <w:t>Draghijevu</w:t>
      </w:r>
      <w:proofErr w:type="spellEnd"/>
      <w:r w:rsidRPr="00A27FB5">
        <w:t xml:space="preserve"> izvješću ističe potreba za pojednostavnjenjem europskog postupka donošenja odluka kako bi se olakšalo donošenje mjera za jačanje konkurentnosti i gospodarskog rasta EU-a te kako bi se osiguralo da se odluke donose pravodobno i učinkovito;</w:t>
      </w:r>
    </w:p>
    <w:p w14:paraId="5FE09595" w14:textId="77777777" w:rsidR="00187793" w:rsidRPr="00A27FB5" w:rsidRDefault="00187793" w:rsidP="00187793">
      <w:pPr>
        <w:pStyle w:val="NormalHanging12a"/>
        <w:rPr>
          <w:bCs/>
          <w:iCs/>
        </w:rPr>
      </w:pPr>
      <w:r w:rsidRPr="00A27FB5">
        <w:t>M.</w:t>
      </w:r>
      <w:r w:rsidRPr="00A27FB5">
        <w:tab/>
        <w:t xml:space="preserve">budući da se u </w:t>
      </w:r>
      <w:proofErr w:type="spellStart"/>
      <w:r w:rsidRPr="00A27FB5">
        <w:t>Draghijevu</w:t>
      </w:r>
      <w:proofErr w:type="spellEnd"/>
      <w:r w:rsidRPr="00A27FB5">
        <w:t xml:space="preserve"> izvješću pojašnjava da je jačanje političkog i institucijskog modela EU-a moguće unutar postojećeg pravnog okvira primjenom ciljanih mjera pojednostavnjenja bez potrebe za izmjenom Ugovora; budući da se u izvješću iznosi da bi takve mjere trebalo usmjeriti na deregulaciju, a ne na povećanje broja pravila i postupaka u EU-u;</w:t>
      </w:r>
    </w:p>
    <w:p w14:paraId="45D76F30" w14:textId="77777777" w:rsidR="00187793" w:rsidRPr="00A27FB5" w:rsidRDefault="00187793" w:rsidP="00187793">
      <w:pPr>
        <w:pStyle w:val="NormalHanging12a"/>
      </w:pPr>
      <w:r w:rsidRPr="00A27FB5">
        <w:t>N.</w:t>
      </w:r>
      <w:r w:rsidRPr="00A27FB5">
        <w:tab/>
        <w:t xml:space="preserve">budući da su u </w:t>
      </w:r>
      <w:proofErr w:type="spellStart"/>
      <w:r w:rsidRPr="00A27FB5">
        <w:t>Draghijevu</w:t>
      </w:r>
      <w:proofErr w:type="spellEnd"/>
      <w:r w:rsidRPr="00A27FB5">
        <w:t xml:space="preserve"> izvješću digitalna transformacija i razvoj umjetne inteligencije prepoznati kao ključni pokretači buduće europske konkurentnosti; budući da je Unija dosad propustila ključne prilike u digitalnoj revoluciji te i dalje zaostaje za globalnim predvodnicima u području kapaciteta umjetne inteligencije, podatkovne infrastrukture i širenja duboke tehnologije;</w:t>
      </w:r>
    </w:p>
    <w:p w14:paraId="74D15A27" w14:textId="77777777" w:rsidR="00187793" w:rsidRPr="00A27FB5" w:rsidRDefault="00187793" w:rsidP="00187793">
      <w:pPr>
        <w:pStyle w:val="NormalHanging12a"/>
      </w:pPr>
      <w:r w:rsidRPr="00A27FB5">
        <w:t>O.</w:t>
      </w:r>
      <w:r w:rsidRPr="00A27FB5">
        <w:tab/>
        <w:t xml:space="preserve">budući da se u </w:t>
      </w:r>
      <w:proofErr w:type="spellStart"/>
      <w:r w:rsidRPr="00A27FB5">
        <w:t>Draghijevu</w:t>
      </w:r>
      <w:proofErr w:type="spellEnd"/>
      <w:r w:rsidRPr="00A27FB5">
        <w:t xml:space="preserve"> izvješću naglašava da EU mora prevladati fragmentarnost tržišta, poboljšati interoperabilnost i konsolidirati europsku obrambenu industriju kako bi ojačao svoju stratešku autonomiju i obrambene kapacitete; budući da </w:t>
      </w:r>
      <w:proofErr w:type="spellStart"/>
      <w:r w:rsidRPr="00A27FB5">
        <w:t>Niinistöovo</w:t>
      </w:r>
      <w:proofErr w:type="spellEnd"/>
      <w:r w:rsidRPr="00A27FB5">
        <w:t xml:space="preserve"> izvješće dopunjuje tu viziju naglašavajući da treba poboljšati pripravnost na rizike, odgovor na krizu te otpornost kritične infrastrukture i lanaca opskrbe; budući da se u oba izvješća ističe da je za vjerodostojnu europsku obrambenu uniju potreban integrirani upravljački okvir te održiva i koordinirana ulaganja na razini EU-a;</w:t>
      </w:r>
    </w:p>
    <w:p w14:paraId="1E7C8295" w14:textId="77777777" w:rsidR="00187793" w:rsidRPr="00A27FB5" w:rsidRDefault="00187793" w:rsidP="00187793">
      <w:pPr>
        <w:pStyle w:val="Normal12a24b"/>
      </w:pPr>
      <w:r w:rsidRPr="00A27FB5">
        <w:rPr>
          <w:rStyle w:val="BoldItalic"/>
        </w:rPr>
        <w:t xml:space="preserve">Opća razmatranja </w:t>
      </w:r>
    </w:p>
    <w:p w14:paraId="29AA3DB6" w14:textId="2954211D" w:rsidR="00187793" w:rsidRPr="00A27FB5" w:rsidRDefault="00187793" w:rsidP="00187793">
      <w:pPr>
        <w:pStyle w:val="NormalHanging12a"/>
        <w:rPr>
          <w:bCs/>
          <w:iCs/>
        </w:rPr>
      </w:pPr>
      <w:r w:rsidRPr="00A27FB5">
        <w:t>1.</w:t>
      </w:r>
      <w:r w:rsidRPr="00A27FB5">
        <w:tab/>
        <w:t xml:space="preserve">pozdravlja </w:t>
      </w:r>
      <w:proofErr w:type="spellStart"/>
      <w:r w:rsidRPr="00A27FB5">
        <w:t>Draghijevo</w:t>
      </w:r>
      <w:proofErr w:type="spellEnd"/>
      <w:r w:rsidRPr="00A27FB5">
        <w:t xml:space="preserve"> izvješće, njegove zaključke i poziv na djelovanje; podržava analizu da se Europa suočava s egzistencijalnim izazovom zbog kojeg je potreban veći institucijski napor nego ikada prije kako bi ostala konkurentna i ostvarivala rast u današnjem geopolitičkom kontekstu koji se brzo mijenja; naglašava da se takav odgovor mora temeljiti na demokratskom upravljanju Unijom, ravnoteži ovlasti među institucijama i poštovanju Ugovora; poziva na obnovljenu europsku strategiju koja će Uniji omogućiti da donosi pravodobne i djelotvorne odluke kako bi osigurala svoju konkurentnost i održivost;</w:t>
      </w:r>
    </w:p>
    <w:p w14:paraId="030E2FB6" w14:textId="77777777" w:rsidR="00187793" w:rsidRPr="00A27FB5" w:rsidRDefault="00187793" w:rsidP="00187793">
      <w:pPr>
        <w:pStyle w:val="NormalHanging12a"/>
      </w:pPr>
      <w:r w:rsidRPr="00A27FB5">
        <w:t>2.</w:t>
      </w:r>
      <w:r w:rsidRPr="00A27FB5">
        <w:tab/>
        <w:t xml:space="preserve">ističe činjenicu da, kako se navodi u </w:t>
      </w:r>
      <w:proofErr w:type="spellStart"/>
      <w:r w:rsidRPr="00A27FB5">
        <w:t>Draghijevu</w:t>
      </w:r>
      <w:proofErr w:type="spellEnd"/>
      <w:r w:rsidRPr="00A27FB5">
        <w:t xml:space="preserve"> izvješću, EU hitno treba poboljšati svoje institucijsko upravljanje; naglašava da bi ta poboljšanja trebala biti popraćena jasnom i </w:t>
      </w:r>
      <w:proofErr w:type="spellStart"/>
      <w:r w:rsidRPr="00A27FB5">
        <w:t>uključivom</w:t>
      </w:r>
      <w:proofErr w:type="spellEnd"/>
      <w:r w:rsidRPr="00A27FB5">
        <w:t xml:space="preserve"> komunikacijskom strategijom čiji je cilj da građani budu uključeni i informirani o koristima koje te promjene donose kako bi se zajamčila puna potpora javnosti te potaknuo osjećaj pripadnosti i zajedničke odgovornosti; naglašava da će to, zajedno s potrebom za napuštanjem rascjepkanih nacionalnih pristupa i jačanjem preusmjerenog, ubrzanog i pojednostavnjenog postupka donošenja odluka na razini EU-a, omogućiti Uniji da kao istinski globalni akter djeluje učinkovitije i djelotvornije tamo gdje je to najvažnije; prepoznaje važnost nadilaženja prepreka u Vijeću u nekoliko područja; podržava sve inicijative usmjerene na razvoj učinkovitijeg postupka donošenja odluka, koji je ključan za jačanje konkurentnosti EU-a, uz potpuno poštovanje načela supsidijarnosti i proporcionalnosti utvrđenih u članku 5. stavcima 3. i 4. UEU-a;</w:t>
      </w:r>
    </w:p>
    <w:p w14:paraId="5248FC42" w14:textId="77777777" w:rsidR="00187793" w:rsidRPr="00A27FB5" w:rsidRDefault="00187793" w:rsidP="00187793">
      <w:pPr>
        <w:pStyle w:val="NormalHanging12a"/>
      </w:pPr>
      <w:r w:rsidRPr="00A27FB5">
        <w:t>3.</w:t>
      </w:r>
      <w:r w:rsidRPr="00A27FB5">
        <w:tab/>
        <w:t>naglašava da dovršetak europskog jedinstvenog tržišta, stvaranje unije za štednju i ulaganja, poboljšanja učinkovitosti proračuna EU-a i njegova izvršenja, održavanje visoke razine socijalne zaštite te socijalnih i radničkih prava, produbljivanje europskog modela umjetne inteligencije i digitalne transformacije te razvoj europske energetske unije i europske obrambene unije predstavljaju ključna područja za koja je potrebna strateška reforma politika kako bi se potaknula konkurentnost EU-a;</w:t>
      </w:r>
    </w:p>
    <w:p w14:paraId="55025116" w14:textId="77777777" w:rsidR="00187793" w:rsidRPr="00A27FB5" w:rsidRDefault="00187793" w:rsidP="00187793">
      <w:pPr>
        <w:pStyle w:val="NormalHanging12a"/>
      </w:pPr>
      <w:r w:rsidRPr="00A27FB5">
        <w:t>4.</w:t>
      </w:r>
      <w:r w:rsidRPr="00A27FB5">
        <w:tab/>
        <w:t>naglašava da bi strateške reforme politika i predložene promjene u institucijskoj strukturi EU-a trebalo smatrati neodvojivo povezanim aspektima koje treba zajedno provoditi kako bi se potaknula konkurentnija Unija;</w:t>
      </w:r>
    </w:p>
    <w:p w14:paraId="54ED930E" w14:textId="77777777" w:rsidR="00187793" w:rsidRPr="00A27FB5" w:rsidRDefault="00187793" w:rsidP="00187793">
      <w:pPr>
        <w:pStyle w:val="NormalHanging12a"/>
        <w:rPr>
          <w:b/>
          <w:i/>
          <w:iCs/>
        </w:rPr>
      </w:pPr>
      <w:r w:rsidRPr="00A27FB5">
        <w:rPr>
          <w:b/>
          <w:i/>
        </w:rPr>
        <w:t>Preusmjeravanje, ubrzavanje i pojednostavnjenje upravljanja EU-om</w:t>
      </w:r>
    </w:p>
    <w:p w14:paraId="392F66AA" w14:textId="1B872303" w:rsidR="00187793" w:rsidRPr="00A27FB5" w:rsidRDefault="00187793" w:rsidP="00187793">
      <w:pPr>
        <w:pStyle w:val="NormalHanging12a"/>
      </w:pPr>
      <w:r w:rsidRPr="00A27FB5">
        <w:t>5.</w:t>
      </w:r>
      <w:r w:rsidRPr="00A27FB5">
        <w:tab/>
        <w:t>pozdravlja napore za preusmjeravanje i pojednostavnjenje rada EU-a strateškim određivanjem prioriteta i institucijskom učinkovitošću; poziva na jačanje kapaciteta EU-a za djelovanje tamo gdje on donosi jasnu dodanu vrijednost, na temelju načela supsidijarnosti i proporcionalnosti; naglašava da pojednostavnjenje, supsidijarnost i proporcionalnost moraju dovesti do pametnijeg i djelotvornijeg zakonodavstva te da ne bi smjeli dovesti do povlačenja iz područja u kojima je potrebno djelovanje na razini EU-a; ističe da djelotvorne intervencije u područjima politika kojima se potiče veća gospodarska konkurentnost zahtijevaju prilagodbu nadležnosti koje su Uniji dodijeljene Ugovorima; naglašava da se to pojednostavnjenje i obnovljeni naglasak moraju odražavati i u učinkovitijem i jednostavnijem institucijskom ustroju, uključujući reorganizaciju Komisije i Kolegija povjerenika kako bi se povećala djelotvornost i kapacitet EU-a za suočavanje s novim izazovima i ojačala njegova uloga na globalnoj razini;</w:t>
      </w:r>
    </w:p>
    <w:p w14:paraId="6A8254C8" w14:textId="2A56FCE3" w:rsidR="00187793" w:rsidRPr="00A27FB5" w:rsidRDefault="00187793" w:rsidP="00187793">
      <w:pPr>
        <w:pStyle w:val="NormalHanging12a"/>
      </w:pPr>
      <w:r w:rsidRPr="00A27FB5">
        <w:t>6.</w:t>
      </w:r>
      <w:r w:rsidRPr="00A27FB5">
        <w:tab/>
        <w:t xml:space="preserve">prima na znanje Komisijin Kompas konkurentnosti, koji se temelji na viziji iz </w:t>
      </w:r>
      <w:proofErr w:type="spellStart"/>
      <w:r w:rsidRPr="00A27FB5">
        <w:t>Draghijeva</w:t>
      </w:r>
      <w:proofErr w:type="spellEnd"/>
      <w:r w:rsidRPr="00A27FB5">
        <w:t xml:space="preserve"> izvješća, i njegovu usmjerenost na potrebu za većom strateškom autonomijom i otpornošću te na hitnost jačanja konkurentnosti EU-a na temelju održivosti, inovacija i energetske sigurnosti, kao i socijalne, gospodarske i teritorijalne kohezije; priznaje da je naglasak koji se Kompasom konkurentnosti stavlja na učinkovitost propisa ključan za poticanje inovacija, privlačenje ulaganja i omogućivanje održivog rasta; podržava uvođenje alata za procjenu učinka novih prijedloga na mala i srednja poduzeća i konkurentnost te preporučuje redovito praćenje napretka i promicanje digitalnih rješenja za olakšavanje administrativnih postupaka; ističe da treba riješiti problem nedostatka radne snage i vještina kao strukturni problem za konkurentnost u svim državama članicama; naglašava, međutim, da je potrebno dodatno poboljšati Kompas konkurentnosti jačanjem institucijskog ustroja EU-a; </w:t>
      </w:r>
    </w:p>
    <w:p w14:paraId="24FB725F" w14:textId="66305F4A" w:rsidR="00187793" w:rsidRPr="00A27FB5" w:rsidRDefault="00187793" w:rsidP="00187793">
      <w:pPr>
        <w:pStyle w:val="NormalHanging12a"/>
        <w:rPr>
          <w:bCs/>
          <w:iCs/>
        </w:rPr>
      </w:pPr>
      <w:r w:rsidRPr="00A27FB5">
        <w:t>7.</w:t>
      </w:r>
      <w:r w:rsidRPr="00A27FB5">
        <w:tab/>
        <w:t xml:space="preserve">pozdravlja ideju jačanja postupka EU-a za donošenje odluka o ciljanim i strateškim prioritetima u području konkurentnosti; smatra da bi svaki instrument za koordinaciju konkurentnosti trebao služiti kao sveobuhvatni institucijski okvir kojim se EU-u omogućuje ne samo da koordinira politike EU-a i nacionalne politike, već i da djeluje kao jedinstveni subjekt; naglašava da bi takav alat trebala voditi Komisija, pod nadzorom Parlamenta i Vijeća, te da bi on trebao podlijegati neovisnoj evaluaciji na temelju njegove djelotvornosti i transparentnosti te postizanja njegovih ciljeva; ističe da je suradnja s nacionalnim parlamentima i regulatornim tijelima nužna kako bi se osigurao demokratski legitimitet; naglašava da sudjelovanje socijalnih partnera i dionika mora biti ugrađeno u upravljanje EU-om kako bi se osigurala </w:t>
      </w:r>
      <w:proofErr w:type="spellStart"/>
      <w:r w:rsidRPr="00A27FB5">
        <w:t>uključivost</w:t>
      </w:r>
      <w:proofErr w:type="spellEnd"/>
      <w:r w:rsidRPr="00A27FB5">
        <w:t xml:space="preserve"> i odgovornost;</w:t>
      </w:r>
    </w:p>
    <w:p w14:paraId="5D5F67B3" w14:textId="68C47704" w:rsidR="00187793" w:rsidRPr="00A27FB5" w:rsidRDefault="00187793" w:rsidP="00187793">
      <w:pPr>
        <w:pStyle w:val="NormalHanging12a"/>
      </w:pPr>
      <w:r w:rsidRPr="00A27FB5">
        <w:t>8.</w:t>
      </w:r>
      <w:r w:rsidRPr="00A27FB5">
        <w:tab/>
        <w:t>pozdravlja cilj ubrzavanja rada EU-a i ponavlja svoj poziv da se napreduje prema učinkovitijem donošenju odluka, uključujući prelazak na glasovanje kvalificiranom većinom i redovni zakonodavni postupak, kada je to potrebno, u ključnim područjima politika; napominje da bi u nekim područjima od ključne važnosti trebalo predvidjeti više pragove za glasovanje; napominje da su u prošlosti pronađena rješenja kojima su postupci donošenja odluka postali odlučniji; ističe, na primjer, činjenicu da je Ugovorom iz Amsterdama uvedeno glasovanje kvalificiranom većinom, uz istodobno uključivanje mogućnosti konstruktivne suzdržanosti u određenim područjima politike;</w:t>
      </w:r>
    </w:p>
    <w:p w14:paraId="301A18EB" w14:textId="5416CC30" w:rsidR="00187793" w:rsidRPr="00A27FB5" w:rsidRDefault="00187793" w:rsidP="00187793">
      <w:pPr>
        <w:pStyle w:val="NormalHanging12a"/>
      </w:pPr>
      <w:r w:rsidRPr="00A27FB5">
        <w:t>9.</w:t>
      </w:r>
      <w:r w:rsidRPr="00A27FB5">
        <w:tab/>
        <w:t>potiče Europsko vijeće da raspravi o prijedlozima utvrđenima u rezolucijama Parlamenta od 9. lipnja 2022. i 22. studenoga 2023. u pogledu sazivanja konvencije u skladu s redovnim postupkom revizije predviđenim u članku 48. UEU-a te da razmotri, ako je to moguće, ciljane izmjene Ugovorâ pojednostavnjenim postupkom utvrđenim člankom 48. stavkom 6. UEU-a radi ubrzanja ključnih i hitnih reformi; podsjeća na zaključke Konferencije o budućnosti Europe te potiče Komisiju i Vijeće da poduzmu konkretne i pravodobne korake kako bi postupili u skladu s tim preporukama; smatra da priprema kompromisa o sljedećem višegodišnjem financijskom okviru predstavlja važnu priliku za intenzivniji rad na jačanju institucijskog ustroja EU-a;</w:t>
      </w:r>
    </w:p>
    <w:p w14:paraId="743AAF82" w14:textId="77777777" w:rsidR="00187793" w:rsidRPr="00A27FB5" w:rsidRDefault="00187793" w:rsidP="00187793">
      <w:pPr>
        <w:pStyle w:val="NormalHanging12a"/>
      </w:pPr>
      <w:r w:rsidRPr="00A27FB5">
        <w:t>10.</w:t>
      </w:r>
      <w:r w:rsidRPr="00A27FB5">
        <w:tab/>
        <w:t>podsjeća na zaključke Konferencije o budućnosti Europe, posebno na potrebu za reformom Ugovora, te potiče Komisiju i Vijeće da poduzmu konkretne i pravodobne korake kako bi postupili u skladu s tim preporukama;</w:t>
      </w:r>
    </w:p>
    <w:p w14:paraId="0A6BFAA7" w14:textId="09A43152" w:rsidR="00187793" w:rsidRPr="00A27FB5" w:rsidRDefault="00187793" w:rsidP="00187793">
      <w:pPr>
        <w:pStyle w:val="NormalHanging12a"/>
      </w:pPr>
      <w:r w:rsidRPr="00A27FB5">
        <w:t>11.</w:t>
      </w:r>
      <w:r w:rsidRPr="00A27FB5">
        <w:rPr>
          <w:b/>
          <w:i/>
        </w:rPr>
        <w:tab/>
      </w:r>
      <w:r w:rsidRPr="00A27FB5">
        <w:t xml:space="preserve">ponavlja svoju predanost jačanju kapaciteta EU-a za brzo i učinkovito djelovanje te poboljšanju učinkovitosti donošenja odluka u ključnim područjima politika; ponavlja svoj poziv da se glasovanje kvalificiranom većinom i redovni zakonodavni postupak prošire na ključna područja politika, po potrebi, primjenom </w:t>
      </w:r>
      <w:proofErr w:type="spellStart"/>
      <w:r w:rsidRPr="00A27FB5">
        <w:t>premošćujućih</w:t>
      </w:r>
      <w:proofErr w:type="spellEnd"/>
      <w:r w:rsidRPr="00A27FB5">
        <w:t xml:space="preserve"> klauzula, kako je predviđeno Ugovorima, radi poboljšanja sposobnost EU-a za brzo i učinkovito djelovanje;</w:t>
      </w:r>
    </w:p>
    <w:p w14:paraId="6B7B85D9" w14:textId="7B04CF22" w:rsidR="00187793" w:rsidRPr="00A27FB5" w:rsidRDefault="00187793" w:rsidP="00187793">
      <w:pPr>
        <w:pStyle w:val="NormalHanging12a"/>
        <w:rPr>
          <w:bCs/>
        </w:rPr>
      </w:pPr>
      <w:r w:rsidRPr="00A27FB5">
        <w:t>12.</w:t>
      </w:r>
      <w:r w:rsidRPr="00A27FB5">
        <w:tab/>
        <w:t xml:space="preserve">poziva Vijeće da razmotri upotrebu pojačane suradnje u skladu s člankom 20. UEU-a u slučajevima u kojima jednoglasno odlučivanje ne dopušta donošenje važnih odluka za EU u cjelini u ključnim područjima politika; naglašava da se pojačana suradnja temelji na legitimnim potrebama država članica kada Unija kao cjelina ne može ostvariti ciljeve takve suradnje u razumnom roku; ističe da pojačana suradnja nudi dvije važne zaštitne mjere, a to su suglasnost Parlamenta i sudsko preispitivanje koje provodi Sud Europske unije, kao i da se odluke koje se donose u okviru pojačane suradnje temelje na Komisijinom prijedlogu; naglašava da je osnovna svrha pojačane suradnje pojednostavnjenje donošenja odluka; preporučuje državama članicama sudionicama da aktiviraju posebnu prijelaznu klauzulu sadržanu u članku 333. UFEU-a kako bi se prešlo na kvalificiranu većinu i redovni zakonodavni postupak u okviru pojačane suradnje; napominje da se u </w:t>
      </w:r>
      <w:proofErr w:type="spellStart"/>
      <w:r w:rsidRPr="00A27FB5">
        <w:t>Draghijevu</w:t>
      </w:r>
      <w:proofErr w:type="spellEnd"/>
      <w:r w:rsidRPr="00A27FB5">
        <w:t xml:space="preserve"> izvješću predlaže da, ako se ne može postići jednoglasan dogovor o uvođenju glasovanja kvalificiranom većinom, države članice koje to žele mogu razmotriti i međuvladinu suradnju;</w:t>
      </w:r>
    </w:p>
    <w:p w14:paraId="7CCAC3F9" w14:textId="028B3BF9" w:rsidR="00187793" w:rsidRPr="00A27FB5" w:rsidRDefault="00187793" w:rsidP="00187793">
      <w:pPr>
        <w:pStyle w:val="NormalHanging12a"/>
      </w:pPr>
      <w:r w:rsidRPr="00A27FB5">
        <w:t>13.</w:t>
      </w:r>
      <w:r w:rsidRPr="00A27FB5">
        <w:tab/>
        <w:t xml:space="preserve">naglašava da poboljšanje postupka donošenja odluka u Uniji zahtijeva osnaživanje Parlamenta tako da ima ravnopravan položaj s Vijećem i poziva na jačanje uloge Parlamenta u zakonodavnom postupku; ponavlja svoj poziv da Parlament stekne puno pravo na zakonodavnu inicijativu; ističe važnost modernizacije prava Parlamenta da provodi istrage kako bi se ojačala demokratska kontrola nad izvršnom vlašću EU-a; </w:t>
      </w:r>
    </w:p>
    <w:p w14:paraId="09CD2843" w14:textId="77777777" w:rsidR="00187793" w:rsidRPr="00A27FB5" w:rsidRDefault="00187793" w:rsidP="00187793">
      <w:pPr>
        <w:pStyle w:val="Normal12a24b"/>
        <w:tabs>
          <w:tab w:val="left" w:pos="567"/>
        </w:tabs>
        <w:ind w:left="567" w:hanging="567"/>
        <w:rPr>
          <w:bCs/>
          <w:iCs/>
        </w:rPr>
      </w:pPr>
      <w:r w:rsidRPr="00A27FB5">
        <w:t>14.</w:t>
      </w:r>
      <w:r w:rsidRPr="00A27FB5">
        <w:tab/>
        <w:t xml:space="preserve">smatra da članak 122. UFEU-a može biti alat za brzo djelovanje EU-a isključivo u kriznim situacijama, ali naglašava da njegova primjena zahtijeva snažan nadzor, ne samo od strane Suda EU-a, već i od strane Parlamenta; naglašava da je potrebno osigurati blisku suradnju između Komisije, Parlamenta i drugih relevantnih institucija i tijela EU-a; poziva na pojašnjenje i sustavnije postupke za aktivaciju članka 122. UFEU-a, posebno ovlašćivanjem obaju </w:t>
      </w:r>
      <w:proofErr w:type="spellStart"/>
      <w:r w:rsidRPr="00A27FB5">
        <w:t>suzakonodavaca</w:t>
      </w:r>
      <w:proofErr w:type="spellEnd"/>
      <w:r w:rsidRPr="00A27FB5">
        <w:t xml:space="preserve"> da odlučuju o njegovoj aktivaciji;</w:t>
      </w:r>
    </w:p>
    <w:p w14:paraId="1E8E4F1C" w14:textId="77777777" w:rsidR="00187793" w:rsidRPr="00A27FB5" w:rsidRDefault="00187793" w:rsidP="00187793">
      <w:pPr>
        <w:pStyle w:val="Normal12a24b"/>
        <w:tabs>
          <w:tab w:val="left" w:pos="567"/>
        </w:tabs>
        <w:ind w:left="567" w:hanging="567"/>
        <w:rPr>
          <w:bCs/>
          <w:iCs/>
        </w:rPr>
      </w:pPr>
      <w:r w:rsidRPr="00A27FB5">
        <w:t>15.</w:t>
      </w:r>
      <w:r w:rsidRPr="00A27FB5">
        <w:tab/>
        <w:t xml:space="preserve">naglašava da, u vidu budućih proširenja, treba hitno poboljšati institucijski i financijski okvir EU-a kako bi se osiguralo da ostane funkcionalan, demokratski i konkurentan te da može prihvatiti nove članice i promicati njihovu uspješnu integraciju; stoga ponovno potvrđuje da proširenje mora ići usporedno s jačanjem upravljanja EU-om; potiče dijalog između EU-a i vlada, parlamenata i civilnog društva zemalja kandidatkinja o svim predviđenim prijedlozima promjena institucijskog ustroja EU-a; prepoznaje važnost inicijativa, kao što je europska politička zajednica, koje omogućuju političku suradnju i doprinose regionalnim dijalozima i koje bi mogle olakšati postupnu integraciju zemalja kandidatkinja u Uniju i njezine politike, ali koje ne mogu biti alternative članstvu u EU-u; ističe da bi trebalo redovito obavješćivati Parlament i s njime se savjetovati o razvoju europske političke zajednice kako bi se zajamčila demokratska odgovornost i usklađenost s institucijskim okvirom EU-a; </w:t>
      </w:r>
    </w:p>
    <w:p w14:paraId="547DA48F" w14:textId="77777777" w:rsidR="00187793" w:rsidRPr="00A27FB5" w:rsidRDefault="00187793" w:rsidP="00187793">
      <w:pPr>
        <w:pStyle w:val="NormalHanging12a"/>
        <w:rPr>
          <w:b/>
          <w:u w:val="single"/>
        </w:rPr>
      </w:pPr>
      <w:r w:rsidRPr="00A27FB5">
        <w:rPr>
          <w:b/>
          <w:i/>
        </w:rPr>
        <w:t>Učinkovito upravljanje EU-om u ključnim područjima politika</w:t>
      </w:r>
    </w:p>
    <w:p w14:paraId="731EF569" w14:textId="3288733C" w:rsidR="00187793" w:rsidRPr="00A27FB5" w:rsidRDefault="00187793" w:rsidP="00187793">
      <w:pPr>
        <w:pStyle w:val="NormalHanging12a"/>
      </w:pPr>
      <w:r w:rsidRPr="00A27FB5">
        <w:t>16.</w:t>
      </w:r>
      <w:r w:rsidRPr="00A27FB5">
        <w:tab/>
        <w:t xml:space="preserve">poziva na dovršavanje europskog jedinstvenog tržišta, kako je utvrđeno u člancima 26. i 114. UFEU-a i članku 3. stavku 3. UEU-a, kako bi se mogao iskoristiti njegov puni potencijal i nadići preostale prepreke, uključujući nepošteno međunarodno tržišno natjecanje, u cilju borbe protiv visokih cijena energije, nedostatka vještina i radne snage, poteškoća u pristupu kapitalu, fragmentirane primjene pravila EU-a, nedovoljne potpore digitalnoj i zelenoj tranziciji te velikog administrativnog opterećenje za građane i poduzeća; ujedno poziva na promicanje gospodarskog rasta, socijalne, gospodarske i teritorijalne kohezije te kulturne razmjene unutar EU-a; poziva na razvoj europskog integriranog tržišta kapitala, kako je predviđeno člancima 26. i 63. UFEU-a, putem novoosnovane unije za štednju i ulaganja, nadovezujući se na nepotpunu uniju tržišta kapitala; poziva na jačanje Europskog nadzornog tijela za vrijednosne papire i tržišta kapitala (TFEU), služeći se člankom 114. UFEU-a kao pravnom osnovom, kako bi se poboljšala konvergencija nadzora i prekogranična koordinacija u okviru unije za štednju i ulaganja; također napominje da je u </w:t>
      </w:r>
      <w:proofErr w:type="spellStart"/>
      <w:r w:rsidRPr="00A27FB5">
        <w:t>Lettinu</w:t>
      </w:r>
      <w:proofErr w:type="spellEnd"/>
      <w:r w:rsidRPr="00A27FB5">
        <w:t xml:space="preserve"> izvješću prepoznata važnost gospodarske moći jedinstvenog tržišta za globalne i trgovinske ambicije EU-a, među ostalim u gospodarskim odnosima sa strateškim partnerima;</w:t>
      </w:r>
    </w:p>
    <w:p w14:paraId="05B9B9D4" w14:textId="77777777" w:rsidR="00187793" w:rsidRPr="00A27FB5" w:rsidRDefault="00187793" w:rsidP="00187793">
      <w:pPr>
        <w:pStyle w:val="NormalHanging12a"/>
      </w:pPr>
      <w:r w:rsidRPr="00A27FB5">
        <w:t>17.</w:t>
      </w:r>
      <w:r w:rsidRPr="00A27FB5">
        <w:tab/>
        <w:t xml:space="preserve">podržava dodavanje „pete slobode” postojećim četirima slobodama, kako je predloženo u </w:t>
      </w:r>
      <w:proofErr w:type="spellStart"/>
      <w:r w:rsidRPr="00A27FB5">
        <w:t>Lettinu</w:t>
      </w:r>
      <w:proofErr w:type="spellEnd"/>
      <w:r w:rsidRPr="00A27FB5">
        <w:t xml:space="preserve"> izvješću, da bi se unaprijedila istraživanja, inovacije, znanje i obrazovanje istraživača, inovatora i radnika na jedinstvenom tržištu;</w:t>
      </w:r>
    </w:p>
    <w:p w14:paraId="411AB715" w14:textId="37B98BFB" w:rsidR="00187793" w:rsidRPr="00A27FB5" w:rsidRDefault="00187793" w:rsidP="00187793">
      <w:pPr>
        <w:pStyle w:val="NormalHanging12a"/>
      </w:pPr>
      <w:r w:rsidRPr="00A27FB5">
        <w:t>18.</w:t>
      </w:r>
      <w:r w:rsidRPr="00A27FB5">
        <w:tab/>
        <w:t>poziva Komisiju da osigura da buduće inicijative za jačanje konkurentnosti EU-a i produbljenje jedinstvenog tržišta budu utemeljene na mjerama za jačanje gospodarske, socijalne i teritorijalne kohezije, kako je predviđeno Ugovorima; naglašava da institucijski mehanizmi za jednake mogućnosti, solidarnost i smanjenje nejednakosti moraju biti u potpunosti ugrađeni u sustav upravljanja EU-om; ponavlja svoj poziv na jačanje provedbe i praćenja europskog stupa socijalnih prava s pomoću upravljačkih struktura EU-a, čime bi socijalni napredak postao ključni element donošenja odluka u EU-u;</w:t>
      </w:r>
    </w:p>
    <w:p w14:paraId="38EE7BE4" w14:textId="643BFC17" w:rsidR="00187793" w:rsidRPr="00A27FB5" w:rsidRDefault="00187793" w:rsidP="00187793">
      <w:pPr>
        <w:pStyle w:val="NormalHanging12a"/>
      </w:pPr>
      <w:r w:rsidRPr="00A27FB5">
        <w:t>19.</w:t>
      </w:r>
      <w:r w:rsidRPr="00A27FB5">
        <w:tab/>
        <w:t xml:space="preserve">ponovno potvrđuje da bi se ciljevi jedinstvenog tržišta trebali uskladiti ne samo s pravom na slobodno kretanje, već i sa „slobodom ostanka”, kako je navedeno u </w:t>
      </w:r>
      <w:proofErr w:type="spellStart"/>
      <w:r w:rsidRPr="00A27FB5">
        <w:t>Lettinu</w:t>
      </w:r>
      <w:proofErr w:type="spellEnd"/>
      <w:r w:rsidRPr="00A27FB5">
        <w:t xml:space="preserve"> izvješću; poziva Komisiju da stoga odgovornost za „slobodu ostanka” povjeri jednom od povjerenika, s portfeljem koji uključuje kohezijsku politiku i usluge od općeg interesa, te da uspostavi strukturirani i kontinuirani dijalog između Komisije i regionalnih vlasti država članica kako bi se osiguralo da su politike „slobode ostanka” na odgovarajući način prilagođene posebnostima regije te kako bi se poštovala socioekonomska i kulturna raznolikost različitih regija EU-a; uviđa da je poticanje razvoja infrastrukture, izgradnje zajednice, otvaranja radnih mjesta, pristupa javnim uslugama i prikladnog okruženja za industrije i ulaganja ključno za očuvanje prava ljudi na ostanak u svojim regijama i da doprinosi gospodarskom razvoju i konkurentnosti EU-a; naglašava da je važno da kohezijska politika ostane snažan dio proračuna EU-a kako bi se osiguralo da djelotvornije odgovara na posebne potrebe regija i gradova, među ostalim pružanjem izravnijeg pristupa sredstvima EU-a; ističe potrebu za učinkovitijom i vidljivijom provedbom projekata kohezijske politike na terenu, čime bi se postigli konkretni rezultati kojima se jača osjećaj pripadnosti građana i potpora integraciji u EU; </w:t>
      </w:r>
    </w:p>
    <w:p w14:paraId="3013BCCF" w14:textId="77777777" w:rsidR="00187793" w:rsidRPr="00A27FB5" w:rsidRDefault="00187793" w:rsidP="00187793">
      <w:pPr>
        <w:pStyle w:val="Normal12a24b"/>
        <w:ind w:left="567" w:hanging="567"/>
        <w:rPr>
          <w:bCs/>
          <w:iCs/>
        </w:rPr>
      </w:pPr>
      <w:r w:rsidRPr="00A27FB5">
        <w:t>20.</w:t>
      </w:r>
      <w:r w:rsidRPr="00A27FB5">
        <w:tab/>
        <w:t xml:space="preserve">naglašava da bi EU trebao učinkovitije djelovati u strateškim područjima, dopunjujući nacionalne mjere uz potporu kombinacijom vlastitih sredstava EU-a i koordiniranih doprinosa, kao i da bi se takvim djelovanjem ojačala europska konkurentnost, inovacije, gospodarska otpornost, socijalna i teritorijalna kohezija, okolišna i energetska održivost te kolektivna sigurnost; u svjetlu zaključaka iz </w:t>
      </w:r>
      <w:proofErr w:type="spellStart"/>
      <w:r w:rsidRPr="00A27FB5">
        <w:t>Draghijeva</w:t>
      </w:r>
      <w:proofErr w:type="spellEnd"/>
      <w:r w:rsidRPr="00A27FB5">
        <w:t xml:space="preserve"> izvješća naglašava potrebu za održavanjem otvorene rasprave usmjerene na budućnost, uzimajući u obzir iskustva stečena provedbom instrumenta </w:t>
      </w:r>
      <w:proofErr w:type="spellStart"/>
      <w:r w:rsidRPr="00A27FB5">
        <w:t>NextGenerationEU</w:t>
      </w:r>
      <w:proofErr w:type="spellEnd"/>
      <w:r w:rsidRPr="00A27FB5">
        <w:t>; ističe važnost uspostave instrumenata za financiranje na razini EU-a i alata za financiranje zajedničkih strateških ulaganja u europska javna dobra i usluge te važnost prilagodbe programa financiranja kako bi se uzela u obzir promjenjiva dinamika trgovine i inovacija; naglašava da su istinska nova vlastita sredstva EU-a ključna kako bi se Parlamentu i Vijeću omogućilo donošenje fleksibilnih proračuna, EU-u omogućilo da djeluje autonomno i kako bi se smanjila njegova ovisnost o doprinosima iz nacionalnih proračuna; ističe, na primjer, da je mehanizam za ugljičnu prilagodbu na granicama kandidat za nova vlastita sredstva EU-a koja uživaju visoku razinu potpore među državama članicama; podsjeća na stajalište Parlamenta iz njegova prijedloga o višegodišnjem financijskom okviru za razdoblje 2028. – 2034. u kojem navodi potrebu za nadilaženjem vlastitog pravila prema kojem dugoročni proračun EU-a ne smije premašiti 1 % ukupnog bruto nacionalnog proizvoda država članica;</w:t>
      </w:r>
    </w:p>
    <w:p w14:paraId="003F2905" w14:textId="77777777" w:rsidR="00187793" w:rsidRPr="00A27FB5" w:rsidRDefault="00187793" w:rsidP="00187793">
      <w:pPr>
        <w:pStyle w:val="Normal12a24b"/>
        <w:ind w:left="567" w:hanging="567"/>
      </w:pPr>
      <w:r w:rsidRPr="00A27FB5">
        <w:t>21.</w:t>
      </w:r>
      <w:r w:rsidRPr="00A27FB5">
        <w:tab/>
        <w:t>naglašava da se, u cilju održavanja i poboljšanja globalne konkurentnosti EU-a, proračun EU-a treba pojednostavniti kako bi se ukinulo nepotrebno administrativno opterećenje, olakšao pristup fondovima EU-a za korisnike i kako bi se bolje ostvario cilj jačanja gospodarske, socijalne i teritorijalne kohezije osiguravanjem da sredstva dopru do onih kojima su najpotrebnija, posebno do malih i srednjih poduzeća, lokalnih zajednica i aktera socijalne ekonomije, među ostalim u ruralnim, perifernim ili gospodarski ugroženim područjima; podsjeća, međutim, da ta pojednostavnjenja ne smiju dovesti u pitanje temeljna načela višegodišnjeg financijskog okvira i njegovih programa niti oslabiti demokratski nadzor nad njihovom provedbom; naglašava da pojednostavnjenje mora biti popraćeno snažnim jamstvima za jednak pristup, nediskriminaciju i stvarnu odgovornost, pri čemu Parlament mora osigurati demokratski nadzor tijekom cijelog ciklusa financiranja;</w:t>
      </w:r>
    </w:p>
    <w:p w14:paraId="121553CD" w14:textId="77777777" w:rsidR="00187793" w:rsidRPr="00A27FB5" w:rsidRDefault="00187793" w:rsidP="00187793">
      <w:pPr>
        <w:pStyle w:val="Normal12a24b"/>
        <w:ind w:left="567" w:hanging="567"/>
        <w:rPr>
          <w:bCs/>
          <w:iCs/>
        </w:rPr>
      </w:pPr>
      <w:r w:rsidRPr="00A27FB5">
        <w:t>22.</w:t>
      </w:r>
      <w:r w:rsidRPr="00A27FB5">
        <w:tab/>
        <w:t xml:space="preserve">naglašava da postizanje ciljeva konkurentnosti EU-a zahtijeva uključivanje ciljeva klimatske neutralnosti i održivosti u institucijski i upravljački okvir EU-a; naglašava da se reformama moraju poštovati odredbe Ugovora, uključujući članak 194. UFEU-a, te da one moraju podlijegati snažnom demokratskom legitimitetu uključivanjem Parlamenta u njihovo osmišljavanje, financiranje i nadzor; naglašava važnost jačanja </w:t>
      </w:r>
      <w:proofErr w:type="spellStart"/>
      <w:r w:rsidRPr="00A27FB5">
        <w:t>međuinstitucijske</w:t>
      </w:r>
      <w:proofErr w:type="spellEnd"/>
      <w:r w:rsidRPr="00A27FB5">
        <w:t xml:space="preserve"> koordinacije i jamčenja da odluke u tom području podliježu učinkovitom parlamentarnom nadzoru, čime se jačaju demokratski temelji Unije;</w:t>
      </w:r>
    </w:p>
    <w:p w14:paraId="573C8EAE" w14:textId="77777777" w:rsidR="00187793" w:rsidRPr="00A27FB5" w:rsidRDefault="00187793" w:rsidP="00187793">
      <w:pPr>
        <w:pStyle w:val="Normal12a24b"/>
        <w:ind w:left="567" w:hanging="567"/>
        <w:rPr>
          <w:bCs/>
          <w:iCs/>
        </w:rPr>
      </w:pPr>
      <w:r w:rsidRPr="00A27FB5">
        <w:t>23.</w:t>
      </w:r>
      <w:r w:rsidRPr="00A27FB5">
        <w:tab/>
        <w:t xml:space="preserve">poziva Komisiju i države članice da, s obzirom na postojeće geopolitičke izazove, uspostave istinsku europsku obrambenu uniju i potaknu ulaganja u europsku obrambenu industriju, i to upotrebom istinski europskih instrumenata, uz novo financiranje, zajedno s potpunim programom obrane, uključujući obranu od hibridnih napada, osiguravajući da se planiranje, razvoj, nabava i upravljanje kapacitetima provode zajedno, u skupinama koje se sastoje od znatnog broja država članica; poziva Komisiju da poboljša dosljednost između postojećih i budućih instrumenata, među ostalim na upravljačkoj razini, kako bi se osigurao učinkovit demokratski nadzor nove obrambene unije; poziva EU da prevlada </w:t>
      </w:r>
      <w:proofErr w:type="spellStart"/>
      <w:r w:rsidRPr="00A27FB5">
        <w:t>fragmentiranost</w:t>
      </w:r>
      <w:proofErr w:type="spellEnd"/>
      <w:r w:rsidRPr="00A27FB5">
        <w:t xml:space="preserve"> tržišta, u skladu s preporukama iz </w:t>
      </w:r>
      <w:proofErr w:type="spellStart"/>
      <w:r w:rsidRPr="00A27FB5">
        <w:t>Draghijeva</w:t>
      </w:r>
      <w:proofErr w:type="spellEnd"/>
      <w:r w:rsidRPr="00A27FB5">
        <w:t xml:space="preserve">, </w:t>
      </w:r>
      <w:proofErr w:type="spellStart"/>
      <w:r w:rsidRPr="00A27FB5">
        <w:t>Lettina</w:t>
      </w:r>
      <w:proofErr w:type="spellEnd"/>
      <w:r w:rsidRPr="00A27FB5">
        <w:t xml:space="preserve"> i </w:t>
      </w:r>
      <w:proofErr w:type="spellStart"/>
      <w:r w:rsidRPr="00A27FB5">
        <w:t>Niinistöova</w:t>
      </w:r>
      <w:proofErr w:type="spellEnd"/>
      <w:r w:rsidRPr="00A27FB5">
        <w:t xml:space="preserve"> izvješća, i to stvaranjem jedinstvenog tržišta za obranu na kojem se primjenjuju obvezujuća zajednička pravila; napominje da bi se takvim zajedničkim pravilima zajamčilo pošteno tržišno natjecanje i olakšala uzajamna certifikacija obrambenih proizvoda, uz istodobno osiguravanje potpune interoperabilnosti i zamjenjivosti, omogućila ekonomija razmjera te poboljšali kapaciteti i resursi; poziva Komisiju i države članice da obranu uključe u širi sigurnosni koncept koji ujedno uključuje zajedničke europske inicijative, posebno europske obrambene projekte od zajedničkog interesa, jačanje ključne infrastrukture i napredovanje projekata istraživanja i razvoja, čime bi se otvarala i zadržavala kvalitetna radna mjesta; poziva Europsko vijeće da se složi s aktivacijom članka 42. stavka 2. UEU-a radi uspostave zajedničke obrambene politike Unije; naglašava da nova obrambena unija treba biti nadopuna NATO-u, a ne njegova zamjena; prima na znanje činjenicu da su države članice započele s postupnim oblikovanjem europske obrambene politike, uz osnivanje Europske obrambene agencije (EDA) i uspostavu stalne strukturirane suradnje (PESCO); poziva države članice da nastave raditi na postupnom oblikovanju okvira za europsku obrambenu uniju sa zajedničkom obranom; podsjeća da se o osnivanju početnog fonda, EDA-e i PESCO-a, kao i upotrebi proračuna EU-a, odlučuje glasovanjem kvalificiranom većinom; podsjeća da skupina država članica također može, u skladu s člankom 44. UEU-a, odlučiti primjenjivati glasovanje kvalificiranom većinom;</w:t>
      </w:r>
    </w:p>
    <w:p w14:paraId="493A7BB0" w14:textId="6C42EB60" w:rsidR="00187793" w:rsidRDefault="00187793" w:rsidP="00187793">
      <w:pPr>
        <w:pStyle w:val="NormalHanging12a"/>
      </w:pPr>
      <w:r w:rsidRPr="00A27FB5">
        <w:t>24.</w:t>
      </w:r>
      <w:r w:rsidRPr="00A27FB5">
        <w:tab/>
        <w:t xml:space="preserve">naglašava da se jačanje upravljanja umjetnom inteligencijom mora temeljiti na transparentnosti, zaštiti temeljnih prava i javnog interesa, u skladu s pristupom EU-a koji se temelji na pravilima; poziva Komisiju da ojača ulogu postojećeg Europskog ureda za umjetnu inteligenciju; pozdravlja akcijski plan kontinenta umjetne inteligencije za razvoj „modela umjetne inteligencije” EU-a koji se temelji na suradnji između javnih i privatnih aktera; </w:t>
      </w:r>
    </w:p>
    <w:p w14:paraId="0CACD887" w14:textId="77777777" w:rsidR="00071606" w:rsidRDefault="00071606" w:rsidP="00071606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</w:t>
      </w:r>
    </w:p>
    <w:p w14:paraId="5DFB60F9" w14:textId="77777777" w:rsidR="00071606" w:rsidRDefault="00071606" w:rsidP="00071606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         °</w:t>
      </w:r>
    </w:p>
    <w:p w14:paraId="63A7F01E" w14:textId="0729ECA2" w:rsidR="001C4E88" w:rsidRPr="00A27FB5" w:rsidRDefault="00187793" w:rsidP="001C4E88">
      <w:pPr>
        <w:pStyle w:val="NormalHanging12a"/>
      </w:pPr>
      <w:r w:rsidRPr="00A27FB5">
        <w:t>25.</w:t>
      </w:r>
      <w:r w:rsidRPr="00A27FB5">
        <w:tab/>
        <w:t>nalaže svojoj predsjednici da ovu Rezoluciju proslijedi Vijeću, Komisiji, Europskom vijeću te vladama i parlamentima država članica.</w:t>
      </w:r>
    </w:p>
    <w:p w14:paraId="7A913B70" w14:textId="4963A981" w:rsidR="00E365E1" w:rsidRPr="00A27FB5" w:rsidRDefault="00E365E1" w:rsidP="008A4D1C"/>
    <w:sectPr w:rsidR="00E365E1" w:rsidRPr="00A27FB5" w:rsidSect="001C4E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3EE88" w14:textId="77777777" w:rsidR="008A4D1C" w:rsidRPr="001C4E88" w:rsidRDefault="008A4D1C">
      <w:r w:rsidRPr="001C4E88">
        <w:separator/>
      </w:r>
    </w:p>
  </w:endnote>
  <w:endnote w:type="continuationSeparator" w:id="0">
    <w:p w14:paraId="45AC871D" w14:textId="77777777" w:rsidR="008A4D1C" w:rsidRPr="001C4E88" w:rsidRDefault="008A4D1C">
      <w:r w:rsidRPr="001C4E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DBA2" w14:textId="77777777" w:rsidR="00064002" w:rsidRPr="001C4E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8A96" w14:textId="77777777" w:rsidR="00064002" w:rsidRPr="001C4E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6096" w14:textId="77777777" w:rsidR="00064002" w:rsidRPr="001C4E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5A91C" w14:textId="77777777" w:rsidR="008A4D1C" w:rsidRPr="001C4E88" w:rsidRDefault="008A4D1C">
      <w:r w:rsidRPr="001C4E88">
        <w:separator/>
      </w:r>
    </w:p>
  </w:footnote>
  <w:footnote w:type="continuationSeparator" w:id="0">
    <w:p w14:paraId="77B9B372" w14:textId="77777777" w:rsidR="008A4D1C" w:rsidRPr="001C4E88" w:rsidRDefault="008A4D1C">
      <w:r w:rsidRPr="001C4E88">
        <w:continuationSeparator/>
      </w:r>
    </w:p>
  </w:footnote>
  <w:footnote w:id="1">
    <w:p w14:paraId="51F2C567" w14:textId="6D131B3C" w:rsidR="00187793" w:rsidRPr="001C4E88" w:rsidRDefault="00187793" w:rsidP="001C4E88">
      <w:pPr>
        <w:pStyle w:val="FootnoteText"/>
        <w:ind w:left="567" w:hanging="567"/>
        <w:rPr>
          <w:sz w:val="24"/>
          <w:lang w:val="hr-HR"/>
        </w:rPr>
      </w:pPr>
      <w:r w:rsidRPr="001C4E88">
        <w:rPr>
          <w:rStyle w:val="FootnoteReference"/>
          <w:sz w:val="24"/>
          <w:lang w:val="hr-HR"/>
        </w:rPr>
        <w:footnoteRef/>
      </w:r>
      <w:r w:rsidR="001C4E88" w:rsidRPr="001C4E88">
        <w:rPr>
          <w:sz w:val="24"/>
          <w:lang w:val="hr-HR"/>
        </w:rPr>
        <w:t xml:space="preserve"> </w:t>
      </w:r>
      <w:r w:rsidR="001C4E88" w:rsidRPr="001C4E88">
        <w:rPr>
          <w:sz w:val="24"/>
          <w:lang w:val="hr-HR"/>
        </w:rPr>
        <w:tab/>
      </w:r>
      <w:r w:rsidRPr="001C4E88">
        <w:rPr>
          <w:sz w:val="24"/>
          <w:lang w:val="hr-HR"/>
        </w:rPr>
        <w:t>SL C 465, 6.12.2022., str. 109.</w:t>
      </w:r>
    </w:p>
  </w:footnote>
  <w:footnote w:id="2">
    <w:p w14:paraId="698BF35B" w14:textId="1609F4A7" w:rsidR="00187793" w:rsidRPr="001C4E88" w:rsidRDefault="00187793" w:rsidP="001C4E88">
      <w:pPr>
        <w:pStyle w:val="FootnoteText"/>
        <w:ind w:left="567" w:hanging="567"/>
        <w:rPr>
          <w:sz w:val="24"/>
          <w:lang w:val="hr-HR"/>
        </w:rPr>
      </w:pPr>
      <w:r w:rsidRPr="001C4E88">
        <w:rPr>
          <w:rStyle w:val="FootnoteReference"/>
          <w:sz w:val="24"/>
          <w:lang w:val="hr-HR"/>
        </w:rPr>
        <w:footnoteRef/>
      </w:r>
      <w:r w:rsidR="001C4E88" w:rsidRPr="001C4E88">
        <w:rPr>
          <w:sz w:val="24"/>
          <w:lang w:val="hr-HR"/>
        </w:rPr>
        <w:t xml:space="preserve"> </w:t>
      </w:r>
      <w:r w:rsidR="001C4E88" w:rsidRPr="001C4E88">
        <w:rPr>
          <w:sz w:val="24"/>
          <w:lang w:val="hr-HR"/>
        </w:rPr>
        <w:tab/>
      </w:r>
      <w:r w:rsidRPr="001C4E88">
        <w:rPr>
          <w:sz w:val="24"/>
          <w:lang w:val="hr-HR"/>
        </w:rPr>
        <w:t>SL C 493, 27.12.2022., str. 130.</w:t>
      </w:r>
    </w:p>
  </w:footnote>
  <w:footnote w:id="3">
    <w:p w14:paraId="3903DC53" w14:textId="443224CB" w:rsidR="00187793" w:rsidRPr="001C4E88" w:rsidRDefault="00187793" w:rsidP="001C4E88">
      <w:pPr>
        <w:pStyle w:val="FootnoteText"/>
        <w:ind w:left="567" w:hanging="567"/>
        <w:rPr>
          <w:sz w:val="24"/>
          <w:lang w:val="hr-HR"/>
        </w:rPr>
      </w:pPr>
      <w:r w:rsidRPr="001C4E88">
        <w:rPr>
          <w:rStyle w:val="FootnoteReference"/>
          <w:sz w:val="24"/>
          <w:lang w:val="hr-HR"/>
        </w:rPr>
        <w:footnoteRef/>
      </w:r>
      <w:r w:rsidR="001C4E88" w:rsidRPr="001C4E88">
        <w:rPr>
          <w:sz w:val="24"/>
          <w:lang w:val="hr-HR"/>
        </w:rPr>
        <w:t xml:space="preserve"> </w:t>
      </w:r>
      <w:r w:rsidR="001C4E88" w:rsidRPr="001C4E88">
        <w:rPr>
          <w:sz w:val="24"/>
          <w:lang w:val="hr-HR"/>
        </w:rPr>
        <w:tab/>
      </w:r>
      <w:r w:rsidRPr="001C4E88">
        <w:rPr>
          <w:sz w:val="24"/>
          <w:lang w:val="hr-HR"/>
        </w:rPr>
        <w:t xml:space="preserve">SL C, C/2024/4216, 24.7.2024., ELI: </w:t>
      </w:r>
      <w:hyperlink r:id="rId1" w:history="1">
        <w:r w:rsidRPr="001C4E88">
          <w:rPr>
            <w:rStyle w:val="Hyperlink"/>
            <w:sz w:val="24"/>
            <w:lang w:val="hr-HR"/>
          </w:rPr>
          <w:t>http://data.europa.eu/eli/C/2024/4216/oj</w:t>
        </w:r>
      </w:hyperlink>
      <w:r w:rsidRPr="001C4E88">
        <w:rPr>
          <w:sz w:val="24"/>
          <w:lang w:val="hr-HR"/>
        </w:rPr>
        <w:t>.</w:t>
      </w:r>
    </w:p>
  </w:footnote>
  <w:footnote w:id="4">
    <w:p w14:paraId="64283610" w14:textId="5441E7B0" w:rsidR="00187793" w:rsidRPr="001C4E88" w:rsidRDefault="00187793" w:rsidP="001C4E88">
      <w:pPr>
        <w:pStyle w:val="FootnoteText"/>
        <w:ind w:left="567" w:hanging="567"/>
        <w:rPr>
          <w:sz w:val="24"/>
          <w:lang w:val="hr-HR"/>
        </w:rPr>
      </w:pPr>
      <w:r w:rsidRPr="001C4E88">
        <w:rPr>
          <w:rStyle w:val="FootnoteReference"/>
          <w:sz w:val="24"/>
          <w:lang w:val="hr-HR"/>
        </w:rPr>
        <w:footnoteRef/>
      </w:r>
      <w:r w:rsidR="001C4E88" w:rsidRPr="001C4E88">
        <w:rPr>
          <w:sz w:val="24"/>
          <w:lang w:val="hr-HR"/>
        </w:rPr>
        <w:t xml:space="preserve"> </w:t>
      </w:r>
      <w:r w:rsidR="001C4E88" w:rsidRPr="001C4E88">
        <w:rPr>
          <w:sz w:val="24"/>
          <w:lang w:val="hr-HR"/>
        </w:rPr>
        <w:tab/>
      </w:r>
      <w:r w:rsidRPr="001C4E88">
        <w:rPr>
          <w:sz w:val="24"/>
          <w:lang w:val="hr-HR"/>
        </w:rPr>
        <w:t xml:space="preserve">SL C, C/2024/3996, 17.7.2024., ELI: </w:t>
      </w:r>
      <w:hyperlink r:id="rId2" w:history="1">
        <w:r w:rsidRPr="001C4E88">
          <w:rPr>
            <w:rStyle w:val="Hyperlink"/>
            <w:sz w:val="24"/>
            <w:lang w:val="hr-HR"/>
          </w:rPr>
          <w:t>http://data.europa.eu/eli/C/2024/3996/oj</w:t>
        </w:r>
      </w:hyperlink>
      <w:r w:rsidRPr="001C4E88">
        <w:rPr>
          <w:sz w:val="24"/>
          <w:lang w:val="hr-HR"/>
        </w:rPr>
        <w:t>.</w:t>
      </w:r>
    </w:p>
  </w:footnote>
  <w:footnote w:id="5">
    <w:p w14:paraId="75AF02D0" w14:textId="7229E379" w:rsidR="00187793" w:rsidRPr="001C4E88" w:rsidRDefault="00187793" w:rsidP="001C4E88">
      <w:pPr>
        <w:pStyle w:val="FootnoteText"/>
        <w:ind w:left="567" w:hanging="567"/>
        <w:rPr>
          <w:sz w:val="24"/>
          <w:lang w:val="hr-HR"/>
        </w:rPr>
      </w:pPr>
      <w:r w:rsidRPr="001C4E88">
        <w:rPr>
          <w:rStyle w:val="FootnoteReference"/>
          <w:sz w:val="24"/>
          <w:lang w:val="hr-HR"/>
        </w:rPr>
        <w:footnoteRef/>
      </w:r>
      <w:r w:rsidR="001C4E88" w:rsidRPr="001C4E88">
        <w:rPr>
          <w:sz w:val="24"/>
          <w:lang w:val="hr-HR"/>
        </w:rPr>
        <w:t xml:space="preserve"> </w:t>
      </w:r>
      <w:r w:rsidR="001C4E88" w:rsidRPr="001C4E88">
        <w:rPr>
          <w:sz w:val="24"/>
          <w:lang w:val="hr-HR"/>
        </w:rPr>
        <w:tab/>
      </w:r>
      <w:r w:rsidRPr="001C4E88">
        <w:rPr>
          <w:sz w:val="24"/>
          <w:lang w:val="hr-HR"/>
        </w:rPr>
        <w:t>Usvojeni tekstovi, P10_TA(2025)0090.</w:t>
      </w:r>
    </w:p>
  </w:footnote>
  <w:footnote w:id="6">
    <w:p w14:paraId="560BE131" w14:textId="7E536962" w:rsidR="00187793" w:rsidRPr="001C4E88" w:rsidRDefault="00187793" w:rsidP="001C4E88">
      <w:pPr>
        <w:pStyle w:val="FootnoteText"/>
        <w:ind w:left="567" w:hanging="567"/>
        <w:rPr>
          <w:sz w:val="24"/>
          <w:lang w:val="hr-HR"/>
        </w:rPr>
      </w:pPr>
      <w:r w:rsidRPr="001C4E88">
        <w:rPr>
          <w:rStyle w:val="FootnoteReference"/>
          <w:sz w:val="24"/>
          <w:lang w:val="hr-HR"/>
        </w:rPr>
        <w:footnoteRef/>
      </w:r>
      <w:r w:rsidR="001C4E88" w:rsidRPr="001C4E88">
        <w:rPr>
          <w:sz w:val="24"/>
          <w:lang w:val="hr-HR"/>
        </w:rPr>
        <w:t xml:space="preserve"> </w:t>
      </w:r>
      <w:r w:rsidR="001C4E88" w:rsidRPr="001C4E88">
        <w:rPr>
          <w:sz w:val="24"/>
          <w:lang w:val="hr-HR"/>
        </w:rPr>
        <w:tab/>
      </w:r>
      <w:r w:rsidRPr="001C4E88">
        <w:rPr>
          <w:sz w:val="24"/>
          <w:lang w:val="hr-HR"/>
        </w:rPr>
        <w:t xml:space="preserve">SL C, C/2025/3151, 20.6.2025., ELI: </w:t>
      </w:r>
      <w:hyperlink r:id="rId3" w:history="1">
        <w:r w:rsidRPr="001C4E88">
          <w:rPr>
            <w:rStyle w:val="Hyperlink"/>
            <w:sz w:val="24"/>
            <w:lang w:val="hr-HR"/>
          </w:rPr>
          <w:t>http://data.europa.eu/eli/C/2025/3151/oj</w:t>
        </w:r>
      </w:hyperlink>
      <w:r w:rsidRPr="001C4E88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0D08F" w14:textId="77777777" w:rsidR="00064002" w:rsidRPr="001C4E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760AC" w14:textId="77777777" w:rsidR="00064002" w:rsidRPr="001C4E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EE2AA" w14:textId="77777777" w:rsidR="00064002" w:rsidRPr="001C4E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27932269">
    <w:abstractNumId w:val="9"/>
  </w:num>
  <w:num w:numId="2" w16cid:durableId="415133196">
    <w:abstractNumId w:val="9"/>
  </w:num>
  <w:num w:numId="3" w16cid:durableId="2144809419">
    <w:abstractNumId w:val="7"/>
  </w:num>
  <w:num w:numId="4" w16cid:durableId="1265335526">
    <w:abstractNumId w:val="7"/>
  </w:num>
  <w:num w:numId="5" w16cid:durableId="180121994">
    <w:abstractNumId w:val="6"/>
  </w:num>
  <w:num w:numId="6" w16cid:durableId="925455243">
    <w:abstractNumId w:val="6"/>
  </w:num>
  <w:num w:numId="7" w16cid:durableId="1616475181">
    <w:abstractNumId w:val="5"/>
  </w:num>
  <w:num w:numId="8" w16cid:durableId="1460687333">
    <w:abstractNumId w:val="5"/>
  </w:num>
  <w:num w:numId="9" w16cid:durableId="2123454798">
    <w:abstractNumId w:val="4"/>
  </w:num>
  <w:num w:numId="10" w16cid:durableId="199589262">
    <w:abstractNumId w:val="4"/>
  </w:num>
  <w:num w:numId="11" w16cid:durableId="1804542677">
    <w:abstractNumId w:val="8"/>
  </w:num>
  <w:num w:numId="12" w16cid:durableId="1130198976">
    <w:abstractNumId w:val="8"/>
  </w:num>
  <w:num w:numId="13" w16cid:durableId="1587573692">
    <w:abstractNumId w:val="3"/>
  </w:num>
  <w:num w:numId="14" w16cid:durableId="977757339">
    <w:abstractNumId w:val="3"/>
  </w:num>
  <w:num w:numId="15" w16cid:durableId="98137537">
    <w:abstractNumId w:val="2"/>
  </w:num>
  <w:num w:numId="16" w16cid:durableId="2136483258">
    <w:abstractNumId w:val="2"/>
  </w:num>
  <w:num w:numId="17" w16cid:durableId="404230628">
    <w:abstractNumId w:val="1"/>
  </w:num>
  <w:num w:numId="18" w16cid:durableId="471292419">
    <w:abstractNumId w:val="1"/>
  </w:num>
  <w:num w:numId="19" w16cid:durableId="915549655">
    <w:abstractNumId w:val="0"/>
  </w:num>
  <w:num w:numId="20" w16cid:durableId="1541432395">
    <w:abstractNumId w:val="0"/>
  </w:num>
  <w:num w:numId="21" w16cid:durableId="840198374">
    <w:abstractNumId w:val="9"/>
  </w:num>
  <w:num w:numId="22" w16cid:durableId="558057508">
    <w:abstractNumId w:val="7"/>
  </w:num>
  <w:num w:numId="23" w16cid:durableId="190070905">
    <w:abstractNumId w:val="6"/>
  </w:num>
  <w:num w:numId="24" w16cid:durableId="940800346">
    <w:abstractNumId w:val="5"/>
  </w:num>
  <w:num w:numId="25" w16cid:durableId="747077026">
    <w:abstractNumId w:val="4"/>
  </w:num>
  <w:num w:numId="26" w16cid:durableId="819231635">
    <w:abstractNumId w:val="8"/>
  </w:num>
  <w:num w:numId="27" w16cid:durableId="937250441">
    <w:abstractNumId w:val="3"/>
  </w:num>
  <w:num w:numId="28" w16cid:durableId="1097210971">
    <w:abstractNumId w:val="2"/>
  </w:num>
  <w:num w:numId="29" w16cid:durableId="1740711039">
    <w:abstractNumId w:val="1"/>
  </w:num>
  <w:num w:numId="30" w16cid:durableId="823277905">
    <w:abstractNumId w:val="0"/>
  </w:num>
  <w:num w:numId="31" w16cid:durableId="853038219">
    <w:abstractNumId w:val="9"/>
  </w:num>
  <w:num w:numId="32" w16cid:durableId="907571575">
    <w:abstractNumId w:val="7"/>
  </w:num>
  <w:num w:numId="33" w16cid:durableId="556815937">
    <w:abstractNumId w:val="6"/>
  </w:num>
  <w:num w:numId="34" w16cid:durableId="1287934483">
    <w:abstractNumId w:val="5"/>
  </w:num>
  <w:num w:numId="35" w16cid:durableId="1444230554">
    <w:abstractNumId w:val="4"/>
  </w:num>
  <w:num w:numId="36" w16cid:durableId="649528411">
    <w:abstractNumId w:val="8"/>
  </w:num>
  <w:num w:numId="37" w16cid:durableId="1950891577">
    <w:abstractNumId w:val="3"/>
  </w:num>
  <w:num w:numId="38" w16cid:durableId="2142914355">
    <w:abstractNumId w:val="2"/>
  </w:num>
  <w:num w:numId="39" w16cid:durableId="578488842">
    <w:abstractNumId w:val="1"/>
  </w:num>
  <w:num w:numId="40" w16cid:durableId="1734618176">
    <w:abstractNumId w:val="0"/>
  </w:num>
  <w:num w:numId="41" w16cid:durableId="1766805934">
    <w:abstractNumId w:val="10"/>
  </w:num>
  <w:num w:numId="42" w16cid:durableId="74714638">
    <w:abstractNumId w:val="10"/>
  </w:num>
  <w:num w:numId="43" w16cid:durableId="45956511">
    <w:abstractNumId w:val="10"/>
  </w:num>
  <w:num w:numId="44" w16cid:durableId="200155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6/2025"/>
    <w:docVar w:name="dvlangue" w:val="HR"/>
    <w:docVar w:name="dvnumam" w:val="0"/>
    <w:docVar w:name="dvpe" w:val="770.278"/>
    <w:docVar w:name="dvrapporteur" w:val="Izvjestitelj: "/>
    <w:docVar w:name="dvtitre" w:val="Rezolucija Europskog parlamenta od .... 2025. o institucionalnim aspektima izvješća o budućnosti europske konkurentnosti (Draghijevo izvješće)(2025/2013(INI))"/>
  </w:docVars>
  <w:rsids>
    <w:rsidRoot w:val="008A4D1C"/>
    <w:rsid w:val="00002272"/>
    <w:rsid w:val="00064002"/>
    <w:rsid w:val="000677B9"/>
    <w:rsid w:val="00071606"/>
    <w:rsid w:val="000831BA"/>
    <w:rsid w:val="000A42CC"/>
    <w:rsid w:val="000E7DD9"/>
    <w:rsid w:val="0010095E"/>
    <w:rsid w:val="00125B37"/>
    <w:rsid w:val="00187494"/>
    <w:rsid w:val="00187793"/>
    <w:rsid w:val="001C0E0D"/>
    <w:rsid w:val="001C4E88"/>
    <w:rsid w:val="001F32AE"/>
    <w:rsid w:val="00262937"/>
    <w:rsid w:val="002767FF"/>
    <w:rsid w:val="002B18FE"/>
    <w:rsid w:val="002B5493"/>
    <w:rsid w:val="00343214"/>
    <w:rsid w:val="00361C00"/>
    <w:rsid w:val="00395FA1"/>
    <w:rsid w:val="003E15D4"/>
    <w:rsid w:val="00411CCE"/>
    <w:rsid w:val="004159B5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4D1C"/>
    <w:rsid w:val="008C2AC6"/>
    <w:rsid w:val="00930C23"/>
    <w:rsid w:val="0093193B"/>
    <w:rsid w:val="009509D8"/>
    <w:rsid w:val="00950B64"/>
    <w:rsid w:val="00981893"/>
    <w:rsid w:val="00A1687D"/>
    <w:rsid w:val="00A27FB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F7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66874"/>
  <w15:chartTrackingRefBased/>
  <w15:docId w15:val="{3CE5AF3E-9E85-4F80-8EC3-5D3B81A83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87793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187793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187793"/>
    <w:rPr>
      <w:b/>
      <w:i/>
      <w:u w:val="none"/>
    </w:rPr>
  </w:style>
  <w:style w:type="character" w:customStyle="1" w:styleId="Italic">
    <w:name w:val="Italic"/>
    <w:uiPriority w:val="1"/>
    <w:rsid w:val="00187793"/>
    <w:rPr>
      <w:i/>
    </w:rPr>
  </w:style>
  <w:style w:type="paragraph" w:customStyle="1" w:styleId="Normal12a24b">
    <w:name w:val="Normal12a24b"/>
    <w:basedOn w:val="Normal"/>
    <w:rsid w:val="00187793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187793"/>
    <w:rPr>
      <w:color w:val="0000FF"/>
      <w:u w:val="single"/>
    </w:rPr>
  </w:style>
  <w:style w:type="paragraph" w:styleId="Revision">
    <w:name w:val="Revision"/>
    <w:hidden/>
    <w:uiPriority w:val="99"/>
    <w:semiHidden/>
    <w:rsid w:val="00071606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151/oj" TargetMode="External"/><Relationship Id="rId2" Type="http://schemas.openxmlformats.org/officeDocument/2006/relationships/hyperlink" Target="http://data.europa.eu/eli/C/2024/3996/oj" TargetMode="External"/><Relationship Id="rId1" Type="http://schemas.openxmlformats.org/officeDocument/2006/relationships/hyperlink" Target="http://data.europa.eu/eli/C/2024/421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4006</Words>
  <Characters>25341</Characters>
  <Application>Microsoft Office Word</Application>
  <DocSecurity>0</DocSecurity>
  <Lines>211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2025-11-25T14:24:00Z</dcterms:created>
  <dcterms:modified xsi:type="dcterms:W3CDTF">2025-11-25T14:24:00Z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A10-0196/2025</vt:lpwstr>
  </property>
  <property fmtid="{D5CDD505-2E9C-101B-9397-08002B2CF9AE}" pid="4" name="&lt;Type&gt;">
    <vt:lpwstr>RR</vt:lpwstr>
  </property>
</Properties>
</file>