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0CC4" w14:paraId="68847F2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BCA2B8" w14:textId="77777777" w:rsidR="00751A4A" w:rsidRPr="00D60CC4" w:rsidRDefault="00E87892" w:rsidP="0010095E">
            <w:pPr>
              <w:pStyle w:val="EPName"/>
            </w:pPr>
            <w:r w:rsidRPr="00D60CC4">
              <w:t>Parlament Europejski</w:t>
            </w:r>
          </w:p>
          <w:p w14:paraId="55BB6387" w14:textId="77777777" w:rsidR="00751A4A" w:rsidRPr="00D60CC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0CC4">
              <w:t>2024</w:t>
            </w:r>
            <w:r w:rsidR="00817416" w:rsidRPr="00D60CC4">
              <w:t>-202</w:t>
            </w:r>
            <w:r w:rsidRPr="00D60CC4">
              <w:t>9</w:t>
            </w:r>
          </w:p>
        </w:tc>
        <w:tc>
          <w:tcPr>
            <w:tcW w:w="2268" w:type="dxa"/>
            <w:shd w:val="clear" w:color="auto" w:fill="auto"/>
          </w:tcPr>
          <w:p w14:paraId="10E62775" w14:textId="77777777" w:rsidR="00751A4A" w:rsidRPr="00D60CC4" w:rsidRDefault="00187494" w:rsidP="0010095E">
            <w:pPr>
              <w:pStyle w:val="EPLogo"/>
            </w:pPr>
            <w:r w:rsidRPr="00D60CC4">
              <w:rPr>
                <w:noProof/>
                <w:lang w:eastAsia="ja-JP"/>
              </w:rPr>
              <w:drawing>
                <wp:inline distT="0" distB="0" distL="0" distR="0" wp14:anchorId="7950EFC9" wp14:editId="310BFC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0FF315" w14:textId="77777777" w:rsidR="00D058B8" w:rsidRPr="00D60CC4" w:rsidRDefault="00D058B8" w:rsidP="004C5D52">
      <w:pPr>
        <w:pStyle w:val="LineTop"/>
      </w:pPr>
    </w:p>
    <w:p w14:paraId="04ED51A3" w14:textId="77777777" w:rsidR="00680577" w:rsidRPr="00D60CC4" w:rsidRDefault="00E87892" w:rsidP="00680577">
      <w:pPr>
        <w:pStyle w:val="EPBodyTA1"/>
      </w:pPr>
      <w:r w:rsidRPr="00D60CC4">
        <w:t>TEKSTY PRZYJĘTE</w:t>
      </w:r>
    </w:p>
    <w:p w14:paraId="1F618800" w14:textId="77777777" w:rsidR="00D058B8" w:rsidRPr="00D60CC4" w:rsidRDefault="00D058B8" w:rsidP="00D058B8">
      <w:pPr>
        <w:pStyle w:val="LineBottom"/>
      </w:pPr>
    </w:p>
    <w:p w14:paraId="7BAB1ACC" w14:textId="21941E8B" w:rsidR="00E87892" w:rsidRPr="00D60CC4" w:rsidRDefault="00E87892" w:rsidP="00E87892">
      <w:pPr>
        <w:pStyle w:val="ATHeading1"/>
      </w:pPr>
      <w:bookmarkStart w:id="0" w:name="TANumber"/>
      <w:r w:rsidRPr="00D60CC4">
        <w:t>P10_TA(2025)0</w:t>
      </w:r>
      <w:bookmarkEnd w:id="0"/>
      <w:r w:rsidR="001B555E">
        <w:t>285</w:t>
      </w:r>
    </w:p>
    <w:p w14:paraId="6E300A27" w14:textId="77777777" w:rsidR="00E87892" w:rsidRPr="00D60CC4" w:rsidRDefault="00E87892" w:rsidP="00E87892">
      <w:pPr>
        <w:pStyle w:val="ATHeading2"/>
      </w:pPr>
      <w:bookmarkStart w:id="1" w:name="title"/>
      <w:r w:rsidRPr="00D60CC4">
        <w:t xml:space="preserve">Aspekty instytucjonalne raportu </w:t>
      </w:r>
      <w:proofErr w:type="spellStart"/>
      <w:r w:rsidRPr="00D60CC4">
        <w:t>Draghiego</w:t>
      </w:r>
      <w:proofErr w:type="spellEnd"/>
      <w:r w:rsidRPr="00D60CC4">
        <w:t xml:space="preserve"> na temat przyszłości europejskiej konkurencyjności (raport </w:t>
      </w:r>
      <w:proofErr w:type="spellStart"/>
      <w:r w:rsidRPr="00D60CC4">
        <w:t>Draghiego</w:t>
      </w:r>
      <w:proofErr w:type="spellEnd"/>
      <w:r w:rsidRPr="00D60CC4">
        <w:t>)</w:t>
      </w:r>
      <w:bookmarkEnd w:id="1"/>
    </w:p>
    <w:p w14:paraId="440278B9" w14:textId="77777777" w:rsidR="00E87892" w:rsidRPr="00D60CC4" w:rsidRDefault="00E87892" w:rsidP="00E87892">
      <w:pPr>
        <w:rPr>
          <w:i/>
          <w:vanish/>
        </w:rPr>
      </w:pPr>
      <w:r w:rsidRPr="00D60CC4">
        <w:rPr>
          <w:i/>
        </w:rPr>
        <w:fldChar w:fldCharType="begin"/>
      </w:r>
      <w:r w:rsidRPr="00D60CC4">
        <w:rPr>
          <w:i/>
        </w:rPr>
        <w:instrText xml:space="preserve"> TC"(</w:instrText>
      </w:r>
      <w:bookmarkStart w:id="2" w:name="DocNumber"/>
      <w:r w:rsidRPr="00D60CC4">
        <w:rPr>
          <w:i/>
        </w:rPr>
        <w:instrText>A10-0196/2025</w:instrText>
      </w:r>
      <w:bookmarkEnd w:id="2"/>
      <w:r w:rsidRPr="00D60CC4">
        <w:rPr>
          <w:i/>
        </w:rPr>
        <w:instrText xml:space="preserve"> - Sprawozdawca: Brando Benifei)"\l3 \n&gt; \* MERGEFORMAT </w:instrText>
      </w:r>
      <w:r w:rsidRPr="00D60CC4">
        <w:rPr>
          <w:i/>
        </w:rPr>
        <w:fldChar w:fldCharType="end"/>
      </w:r>
    </w:p>
    <w:p w14:paraId="2DDE231B" w14:textId="77777777" w:rsidR="00E87892" w:rsidRPr="00D60CC4" w:rsidRDefault="00E87892" w:rsidP="00E87892">
      <w:pPr>
        <w:rPr>
          <w:vanish/>
        </w:rPr>
      </w:pPr>
      <w:bookmarkStart w:id="3" w:name="Commission"/>
      <w:r w:rsidRPr="00D60CC4">
        <w:rPr>
          <w:vanish/>
        </w:rPr>
        <w:t>Komisja Spraw Konstytucyjnych</w:t>
      </w:r>
      <w:bookmarkEnd w:id="3"/>
    </w:p>
    <w:p w14:paraId="3DF58ABD" w14:textId="77777777" w:rsidR="00E87892" w:rsidRPr="00D60CC4" w:rsidRDefault="00E87892" w:rsidP="00E87892">
      <w:pPr>
        <w:rPr>
          <w:vanish/>
        </w:rPr>
      </w:pPr>
      <w:bookmarkStart w:id="4" w:name="PE"/>
      <w:r w:rsidRPr="00D60CC4">
        <w:rPr>
          <w:vanish/>
        </w:rPr>
        <w:t>PE770.278</w:t>
      </w:r>
      <w:bookmarkEnd w:id="4"/>
    </w:p>
    <w:p w14:paraId="0FD85CE4" w14:textId="512A5ACC" w:rsidR="00E87892" w:rsidRPr="00D60CC4" w:rsidRDefault="00E87892" w:rsidP="00E87892">
      <w:pPr>
        <w:pStyle w:val="ATHeading3"/>
      </w:pPr>
      <w:bookmarkStart w:id="5" w:name="Sujet"/>
      <w:r w:rsidRPr="00D60CC4">
        <w:t xml:space="preserve">Rezolucja Parlamentu Europejskiego z dnia </w:t>
      </w:r>
      <w:r w:rsidR="003E716D">
        <w:t>25</w:t>
      </w:r>
      <w:r w:rsidRPr="00D60CC4">
        <w:t xml:space="preserve"> </w:t>
      </w:r>
      <w:r w:rsidR="009B12EC">
        <w:t xml:space="preserve">listopada </w:t>
      </w:r>
      <w:r w:rsidRPr="00D60CC4">
        <w:t xml:space="preserve">2025 r. Aspekty instytucjonalne raportu </w:t>
      </w:r>
      <w:proofErr w:type="spellStart"/>
      <w:r w:rsidRPr="00D60CC4">
        <w:t>Draghiego</w:t>
      </w:r>
      <w:proofErr w:type="spellEnd"/>
      <w:r w:rsidRPr="00D60CC4">
        <w:t xml:space="preserve"> na temat przyszłości europejskiej konkurencyjności (raport </w:t>
      </w:r>
      <w:proofErr w:type="spellStart"/>
      <w:r w:rsidRPr="00D60CC4">
        <w:t>Draghiego</w:t>
      </w:r>
      <w:proofErr w:type="spellEnd"/>
      <w:r w:rsidRPr="00D60CC4">
        <w:t>)</w:t>
      </w:r>
      <w:bookmarkEnd w:id="5"/>
      <w:r w:rsidRPr="00D60CC4">
        <w:t xml:space="preserve"> </w:t>
      </w:r>
      <w:bookmarkStart w:id="6" w:name="References"/>
      <w:r w:rsidRPr="00D60CC4">
        <w:t>(2025/2013(INI))</w:t>
      </w:r>
      <w:bookmarkEnd w:id="6"/>
    </w:p>
    <w:p w14:paraId="29C7087B" w14:textId="77777777" w:rsidR="005B6212" w:rsidRPr="00D60CC4" w:rsidRDefault="005B6212" w:rsidP="005B6212">
      <w:pPr>
        <w:pStyle w:val="EPComma"/>
      </w:pPr>
      <w:r w:rsidRPr="00D60CC4">
        <w:rPr>
          <w:rStyle w:val="Italic"/>
        </w:rPr>
        <w:t>Parlament Europejski</w:t>
      </w:r>
      <w:r w:rsidRPr="00D60CC4">
        <w:t>,</w:t>
      </w:r>
    </w:p>
    <w:p w14:paraId="539D268E" w14:textId="77777777" w:rsidR="005B6212" w:rsidRPr="00D60CC4" w:rsidRDefault="005B6212" w:rsidP="005B6212">
      <w:pPr>
        <w:pStyle w:val="NormalHanging12a"/>
      </w:pPr>
      <w:r w:rsidRPr="00D60CC4">
        <w:t>–</w:t>
      </w:r>
      <w:r w:rsidRPr="00D60CC4">
        <w:tab/>
        <w:t xml:space="preserve">uwzględniając raport Maria </w:t>
      </w:r>
      <w:proofErr w:type="spellStart"/>
      <w:r w:rsidRPr="00D60CC4">
        <w:t>Draghiego</w:t>
      </w:r>
      <w:proofErr w:type="spellEnd"/>
      <w:r w:rsidRPr="00D60CC4">
        <w:t xml:space="preserve"> z 9 września 2024 r. na temat przyszłości europejskiej konkurencyjności (raport </w:t>
      </w:r>
      <w:proofErr w:type="spellStart"/>
      <w:r w:rsidRPr="00D60CC4">
        <w:t>Draghiego</w:t>
      </w:r>
      <w:proofErr w:type="spellEnd"/>
      <w:r w:rsidRPr="00D60CC4">
        <w:t>),</w:t>
      </w:r>
    </w:p>
    <w:p w14:paraId="4EDD078D" w14:textId="77777777" w:rsidR="005B6212" w:rsidRPr="00D60CC4" w:rsidRDefault="005B6212" w:rsidP="005B6212">
      <w:pPr>
        <w:pStyle w:val="NormalHanging12a"/>
      </w:pPr>
      <w:r w:rsidRPr="00D60CC4">
        <w:t>–</w:t>
      </w:r>
      <w:r w:rsidRPr="00D60CC4">
        <w:tab/>
        <w:t xml:space="preserve">uwzględniając przemówienie Maria </w:t>
      </w:r>
      <w:proofErr w:type="spellStart"/>
      <w:r w:rsidRPr="00D60CC4">
        <w:t>Draghiego</w:t>
      </w:r>
      <w:proofErr w:type="spellEnd"/>
      <w:r w:rsidRPr="00D60CC4">
        <w:t xml:space="preserve"> wygłoszone po przedstawieniu raportu przed Parlamentem Europejskim 17 września 2024 r.,</w:t>
      </w:r>
    </w:p>
    <w:p w14:paraId="107790A1" w14:textId="77777777" w:rsidR="005B6212" w:rsidRPr="00D60CC4" w:rsidRDefault="005B6212" w:rsidP="005B6212">
      <w:pPr>
        <w:pStyle w:val="NormalHanging12a"/>
      </w:pPr>
      <w:r w:rsidRPr="00D60CC4">
        <w:t>–</w:t>
      </w:r>
      <w:r w:rsidRPr="00D60CC4">
        <w:tab/>
        <w:t xml:space="preserve">uwzględniając raport Enrica </w:t>
      </w:r>
      <w:proofErr w:type="spellStart"/>
      <w:r w:rsidRPr="00D60CC4">
        <w:t>Letty</w:t>
      </w:r>
      <w:proofErr w:type="spellEnd"/>
      <w:r w:rsidRPr="00D60CC4">
        <w:t xml:space="preserve"> z 17 kwietnia 2024 r. zatytułowany „Much </w:t>
      </w:r>
      <w:proofErr w:type="spellStart"/>
      <w:r w:rsidRPr="00D60CC4">
        <w:t>more</w:t>
      </w:r>
      <w:proofErr w:type="spellEnd"/>
      <w:r w:rsidRPr="00D60CC4">
        <w:t xml:space="preserve"> </w:t>
      </w:r>
      <w:proofErr w:type="spellStart"/>
      <w:r w:rsidRPr="00D60CC4">
        <w:t>than</w:t>
      </w:r>
      <w:proofErr w:type="spellEnd"/>
      <w:r w:rsidRPr="00D60CC4">
        <w:t xml:space="preserve"> a market” [Znacznie więcej niż rynek] (raport </w:t>
      </w:r>
      <w:proofErr w:type="spellStart"/>
      <w:r w:rsidRPr="00D60CC4">
        <w:t>Letty</w:t>
      </w:r>
      <w:proofErr w:type="spellEnd"/>
      <w:r w:rsidRPr="00D60CC4">
        <w:t>),</w:t>
      </w:r>
    </w:p>
    <w:p w14:paraId="55F43340" w14:textId="77777777" w:rsidR="005B6212" w:rsidRPr="00D60CC4" w:rsidRDefault="005B6212" w:rsidP="005B6212">
      <w:pPr>
        <w:pStyle w:val="NormalHanging12a"/>
      </w:pPr>
      <w:r w:rsidRPr="00D60CC4">
        <w:t>–</w:t>
      </w:r>
      <w:r w:rsidRPr="00D60CC4">
        <w:tab/>
        <w:t>uwzględniając komunikat Komisji z 29 stycznia 2025 r. zatytułowany „ Kompas konkurencyjności dla UE” (COM(2025)0030),</w:t>
      </w:r>
    </w:p>
    <w:p w14:paraId="145EF206" w14:textId="77777777" w:rsidR="005B6212" w:rsidRPr="00D60CC4" w:rsidRDefault="005B6212" w:rsidP="005B6212">
      <w:pPr>
        <w:pStyle w:val="NormalHanging12a"/>
      </w:pPr>
      <w:r w:rsidRPr="00D60CC4">
        <w:t>–</w:t>
      </w:r>
      <w:r w:rsidRPr="00D60CC4">
        <w:tab/>
        <w:t>uwzględniając komunikat Komisji z 11 lutego 2025 r. pt. „Droga ku następnym wieloletnim ramom finansowym” (COM(2025)0046),</w:t>
      </w:r>
    </w:p>
    <w:p w14:paraId="19778681" w14:textId="77777777" w:rsidR="005B6212" w:rsidRPr="00D60CC4" w:rsidRDefault="005B6212" w:rsidP="005B6212">
      <w:pPr>
        <w:pStyle w:val="NormalHanging12a"/>
      </w:pPr>
      <w:r w:rsidRPr="00D60CC4">
        <w:t>–</w:t>
      </w:r>
      <w:r w:rsidRPr="00D60CC4">
        <w:tab/>
        <w:t>uwzględniając komunikat Komisji z 19 marca 2025 r. zatytułowany „Unia oszczędności i inwestycji – Strategia na rzecz zwiększenia zamożności obywateli i konkurencyjności gospodarczej w UE” (COM(2025)0124),</w:t>
      </w:r>
    </w:p>
    <w:p w14:paraId="196FD0CB" w14:textId="77777777" w:rsidR="005B6212" w:rsidRPr="00D60CC4" w:rsidRDefault="005B6212" w:rsidP="005B6212">
      <w:pPr>
        <w:pStyle w:val="NormalHanging12a"/>
      </w:pPr>
      <w:r w:rsidRPr="00D60CC4">
        <w:t>–</w:t>
      </w:r>
      <w:r w:rsidRPr="00D60CC4">
        <w:tab/>
        <w:t xml:space="preserve">uwzględniając raport </w:t>
      </w:r>
      <w:proofErr w:type="spellStart"/>
      <w:r w:rsidRPr="00D60CC4">
        <w:t>Sauliego</w:t>
      </w:r>
      <w:proofErr w:type="spellEnd"/>
      <w:r w:rsidRPr="00D60CC4">
        <w:t xml:space="preserve"> </w:t>
      </w:r>
      <w:proofErr w:type="spellStart"/>
      <w:r w:rsidRPr="00D60CC4">
        <w:t>Niinistö</w:t>
      </w:r>
      <w:proofErr w:type="spellEnd"/>
      <w:r w:rsidRPr="00D60CC4">
        <w:t xml:space="preserve"> z 30 października 2024 r. zatytułowany „</w:t>
      </w:r>
      <w:proofErr w:type="spellStart"/>
      <w:r w:rsidRPr="00D60CC4">
        <w:t>Safer</w:t>
      </w:r>
      <w:proofErr w:type="spellEnd"/>
      <w:r w:rsidRPr="00D60CC4">
        <w:t xml:space="preserve"> </w:t>
      </w:r>
      <w:proofErr w:type="spellStart"/>
      <w:r w:rsidRPr="00D60CC4">
        <w:t>Together</w:t>
      </w:r>
      <w:proofErr w:type="spellEnd"/>
      <w:r w:rsidRPr="00D60CC4">
        <w:t xml:space="preserve"> – </w:t>
      </w:r>
      <w:proofErr w:type="spellStart"/>
      <w:r w:rsidRPr="00D60CC4">
        <w:t>Strengthening</w:t>
      </w:r>
      <w:proofErr w:type="spellEnd"/>
      <w:r w:rsidRPr="00D60CC4">
        <w:t xml:space="preserve"> </w:t>
      </w:r>
      <w:proofErr w:type="spellStart"/>
      <w:r w:rsidRPr="00D60CC4">
        <w:t>Europe’s</w:t>
      </w:r>
      <w:proofErr w:type="spellEnd"/>
      <w:r w:rsidRPr="00D60CC4">
        <w:t xml:space="preserve"> </w:t>
      </w:r>
      <w:proofErr w:type="spellStart"/>
      <w:r w:rsidRPr="00D60CC4">
        <w:t>Civilian</w:t>
      </w:r>
      <w:proofErr w:type="spellEnd"/>
      <w:r w:rsidRPr="00D60CC4">
        <w:t xml:space="preserve"> and </w:t>
      </w:r>
      <w:proofErr w:type="spellStart"/>
      <w:r w:rsidRPr="00D60CC4">
        <w:t>Military</w:t>
      </w:r>
      <w:proofErr w:type="spellEnd"/>
      <w:r w:rsidRPr="00D60CC4">
        <w:t xml:space="preserve"> </w:t>
      </w:r>
      <w:proofErr w:type="spellStart"/>
      <w:r w:rsidRPr="00D60CC4">
        <w:t>Preparedness</w:t>
      </w:r>
      <w:proofErr w:type="spellEnd"/>
      <w:r w:rsidRPr="00D60CC4">
        <w:t xml:space="preserve"> and Readiness” [Razem bezpieczniej – zwiększenie gotowości i przygotowania cywilnego i obronnego w Europie] (raport </w:t>
      </w:r>
      <w:proofErr w:type="spellStart"/>
      <w:r w:rsidRPr="00D60CC4">
        <w:t>Niinistö</w:t>
      </w:r>
      <w:proofErr w:type="spellEnd"/>
      <w:r w:rsidRPr="00D60CC4">
        <w:t>),</w:t>
      </w:r>
    </w:p>
    <w:p w14:paraId="71A9AB9F" w14:textId="77777777" w:rsidR="005B6212" w:rsidRPr="00D60CC4" w:rsidRDefault="005B6212" w:rsidP="005B6212">
      <w:pPr>
        <w:pStyle w:val="NormalHanging12a"/>
      </w:pPr>
      <w:r w:rsidRPr="00D60CC4">
        <w:t>–</w:t>
      </w:r>
      <w:r w:rsidRPr="00D60CC4">
        <w:tab/>
        <w:t>uwzględniając sprawozdanie z 9 maja 2022 r. dotyczące końcowych wyników Konferencji w sprawie przyszłości Europy (</w:t>
      </w:r>
      <w:proofErr w:type="spellStart"/>
      <w:r w:rsidRPr="00D60CC4">
        <w:t>CoFE</w:t>
      </w:r>
      <w:proofErr w:type="spellEnd"/>
      <w:r w:rsidRPr="00D60CC4">
        <w:t>),</w:t>
      </w:r>
    </w:p>
    <w:p w14:paraId="1529F597" w14:textId="77777777" w:rsidR="005B6212" w:rsidRPr="00D60CC4" w:rsidRDefault="005B6212" w:rsidP="005B6212">
      <w:pPr>
        <w:pStyle w:val="NormalHanging12a"/>
      </w:pPr>
      <w:r w:rsidRPr="00D60CC4">
        <w:lastRenderedPageBreak/>
        <w:t>–</w:t>
      </w:r>
      <w:r w:rsidRPr="00D60CC4">
        <w:tab/>
        <w:t>uwzględniając swoją rezolucję z 4 maja 2022 r. w sprawie działań następczych w związku z konkluzjami Konferencji w sprawie przyszłości Europy</w:t>
      </w:r>
      <w:r w:rsidRPr="00D60CC4">
        <w:rPr>
          <w:rStyle w:val="FootnoteReference"/>
        </w:rPr>
        <w:footnoteReference w:id="1"/>
      </w:r>
      <w:r w:rsidRPr="00D60CC4">
        <w:t>,</w:t>
      </w:r>
    </w:p>
    <w:p w14:paraId="05BF5B08" w14:textId="77777777" w:rsidR="005B6212" w:rsidRPr="00D60CC4" w:rsidRDefault="005B6212" w:rsidP="005B6212">
      <w:pPr>
        <w:pStyle w:val="NormalHanging12a"/>
      </w:pPr>
      <w:r w:rsidRPr="00D60CC4">
        <w:t>–</w:t>
      </w:r>
      <w:r w:rsidRPr="00D60CC4">
        <w:tab/>
        <w:t>uwzględniając swoją rezolucję z 9 czerwca 2022 r. w sprawie apelu o zwołanie konwentu w celu zmiany traktatów</w:t>
      </w:r>
      <w:r w:rsidRPr="00D60CC4">
        <w:rPr>
          <w:rStyle w:val="FootnoteReference"/>
        </w:rPr>
        <w:footnoteReference w:id="2"/>
      </w:r>
      <w:r w:rsidRPr="00D60CC4">
        <w:t>,</w:t>
      </w:r>
    </w:p>
    <w:p w14:paraId="1913E5BA" w14:textId="77777777" w:rsidR="005B6212" w:rsidRPr="00D60CC4" w:rsidRDefault="005B6212" w:rsidP="005B6212">
      <w:pPr>
        <w:pStyle w:val="NormalHanging12a"/>
      </w:pPr>
      <w:r w:rsidRPr="00D60CC4">
        <w:t>–</w:t>
      </w:r>
      <w:r w:rsidRPr="00D60CC4">
        <w:tab/>
        <w:t>uwzględniając swoją rezolucję z 22 listopada 2023 r. w sprawie propozycji Parlamentu Europejskiego dotyczących zmiany traktatów</w:t>
      </w:r>
      <w:r w:rsidRPr="00D60CC4">
        <w:rPr>
          <w:rStyle w:val="FootnoteReference"/>
        </w:rPr>
        <w:footnoteReference w:id="3"/>
      </w:r>
      <w:r w:rsidRPr="00D60CC4">
        <w:t>,</w:t>
      </w:r>
    </w:p>
    <w:p w14:paraId="2B60BD4E" w14:textId="77777777" w:rsidR="005B6212" w:rsidRPr="00D60CC4" w:rsidRDefault="005B6212" w:rsidP="005B6212">
      <w:pPr>
        <w:pStyle w:val="NormalHanging12a"/>
      </w:pPr>
      <w:r w:rsidRPr="00D60CC4">
        <w:t>–</w:t>
      </w:r>
      <w:r w:rsidRPr="00D60CC4">
        <w:tab/>
        <w:t>uwzględniając swoją rezolucję z 11 lipca 2023 r. w sprawie wdrażania klauzul pomostowych w traktatach UE</w:t>
      </w:r>
      <w:r w:rsidRPr="00D60CC4">
        <w:rPr>
          <w:rStyle w:val="FootnoteReference"/>
        </w:rPr>
        <w:footnoteReference w:id="4"/>
      </w:r>
      <w:r w:rsidRPr="00D60CC4">
        <w:t>,</w:t>
      </w:r>
    </w:p>
    <w:p w14:paraId="394B1DAC" w14:textId="77777777" w:rsidR="005B6212" w:rsidRPr="00D60CC4" w:rsidRDefault="005B6212" w:rsidP="005B6212">
      <w:pPr>
        <w:pStyle w:val="NormalHanging12a"/>
        <w:rPr>
          <w:bCs/>
          <w:iCs/>
        </w:rPr>
      </w:pPr>
      <w:r w:rsidRPr="00D60CC4">
        <w:t>–</w:t>
      </w:r>
      <w:r w:rsidRPr="00D60CC4">
        <w:tab/>
        <w:t>uwzględniając swoją rezolucję z 7 maja 2025 r. w sprawie zmienionego budżetu długoterminowego dla Unii w zmieniającym się świecie</w:t>
      </w:r>
      <w:r w:rsidRPr="00D60CC4">
        <w:rPr>
          <w:rStyle w:val="FootnoteReference"/>
          <w:bCs/>
          <w:iCs/>
        </w:rPr>
        <w:footnoteReference w:id="5"/>
      </w:r>
      <w:r w:rsidRPr="00D60CC4">
        <w:t>,</w:t>
      </w:r>
    </w:p>
    <w:p w14:paraId="11BE1C24" w14:textId="77777777" w:rsidR="005B6212" w:rsidRPr="00D60CC4" w:rsidRDefault="005B6212" w:rsidP="005B6212">
      <w:pPr>
        <w:pStyle w:val="NormalHanging12a"/>
      </w:pPr>
      <w:r w:rsidRPr="00D60CC4">
        <w:t>–</w:t>
      </w:r>
      <w:r w:rsidRPr="00D60CC4">
        <w:tab/>
        <w:t>uwzględniając swoją rezolucję z 12 marca 2025 r. w sprawie białej księgi w sprawie przyszłości europejskiej obrony</w:t>
      </w:r>
      <w:r w:rsidRPr="00D60CC4">
        <w:rPr>
          <w:rStyle w:val="FootnoteReference"/>
        </w:rPr>
        <w:footnoteReference w:id="6"/>
      </w:r>
      <w:r w:rsidRPr="00D60CC4">
        <w:t>,</w:t>
      </w:r>
    </w:p>
    <w:p w14:paraId="454A3D96" w14:textId="77777777" w:rsidR="005B6212" w:rsidRPr="00D60CC4" w:rsidRDefault="005B6212" w:rsidP="005B6212">
      <w:pPr>
        <w:pStyle w:val="NormalHanging12a"/>
      </w:pPr>
      <w:r w:rsidRPr="00D60CC4">
        <w:t>–</w:t>
      </w:r>
      <w:r w:rsidRPr="00D60CC4">
        <w:tab/>
        <w:t>uwzględniając art. 48 Traktatu o Unii Europejskiej (TUE),</w:t>
      </w:r>
    </w:p>
    <w:p w14:paraId="4C297949" w14:textId="77777777" w:rsidR="005B6212" w:rsidRPr="00D60CC4" w:rsidRDefault="005B6212" w:rsidP="005B6212">
      <w:pPr>
        <w:pStyle w:val="NormalHanging12a"/>
      </w:pPr>
      <w:r w:rsidRPr="00D60CC4">
        <w:t>–</w:t>
      </w:r>
      <w:r w:rsidRPr="00D60CC4">
        <w:tab/>
        <w:t>uwzględniając klauzule pomostowe w traktatach UE,</w:t>
      </w:r>
    </w:p>
    <w:p w14:paraId="6E1EBE88" w14:textId="77777777" w:rsidR="005B6212" w:rsidRPr="00D60CC4" w:rsidRDefault="005B6212" w:rsidP="005B6212">
      <w:pPr>
        <w:pStyle w:val="NormalHanging12a"/>
      </w:pPr>
      <w:r w:rsidRPr="00D60CC4">
        <w:t>–</w:t>
      </w:r>
      <w:r w:rsidRPr="00D60CC4">
        <w:tab/>
        <w:t>uwzględniając postanowienia traktatu dotyczące wzmocnionej współpracy i stałej współpracy strukturalnej,</w:t>
      </w:r>
    </w:p>
    <w:p w14:paraId="2C805F85" w14:textId="77777777" w:rsidR="005B6212" w:rsidRPr="00D60CC4" w:rsidRDefault="005B6212" w:rsidP="005B6212">
      <w:pPr>
        <w:pStyle w:val="NormalHanging12a"/>
      </w:pPr>
      <w:r w:rsidRPr="00D60CC4">
        <w:t>–</w:t>
      </w:r>
      <w:r w:rsidRPr="00D60CC4">
        <w:tab/>
        <w:t>uwzględniając art. 122 Traktatu o funkcjonowaniu Unii Europejskiej (TFUE),</w:t>
      </w:r>
    </w:p>
    <w:p w14:paraId="53DD2B63" w14:textId="77777777" w:rsidR="005B6212" w:rsidRPr="00D60CC4" w:rsidRDefault="005B6212" w:rsidP="005B6212">
      <w:pPr>
        <w:pStyle w:val="NormalHanging12a"/>
      </w:pPr>
      <w:r w:rsidRPr="00D60CC4">
        <w:t>–</w:t>
      </w:r>
      <w:r w:rsidRPr="00D60CC4">
        <w:tab/>
        <w:t>uwzględniając art. 55 Regulaminu,</w:t>
      </w:r>
    </w:p>
    <w:p w14:paraId="66D64609" w14:textId="77777777" w:rsidR="005B6212" w:rsidRPr="00D60CC4" w:rsidRDefault="005B6212" w:rsidP="005B6212">
      <w:pPr>
        <w:pStyle w:val="NormalHanging12a"/>
      </w:pPr>
      <w:r w:rsidRPr="00D60CC4">
        <w:t>–</w:t>
      </w:r>
      <w:r w:rsidRPr="00D60CC4">
        <w:tab/>
        <w:t>uwzględniając sprawozdanie Komisji Spraw Konstytucyjnych (A10-0196/2025),</w:t>
      </w:r>
    </w:p>
    <w:p w14:paraId="4549B5A4" w14:textId="77777777" w:rsidR="005B6212" w:rsidRPr="00D60CC4" w:rsidRDefault="005B6212" w:rsidP="005B6212">
      <w:pPr>
        <w:pStyle w:val="NormalHanging12a"/>
      </w:pPr>
      <w:r w:rsidRPr="00D60CC4">
        <w:t>A.</w:t>
      </w:r>
      <w:r w:rsidRPr="00D60CC4">
        <w:tab/>
        <w:t xml:space="preserve">mając na uwadze, że raport </w:t>
      </w:r>
      <w:proofErr w:type="spellStart"/>
      <w:r w:rsidRPr="00D60CC4">
        <w:t>Draghiego</w:t>
      </w:r>
      <w:proofErr w:type="spellEnd"/>
      <w:r w:rsidRPr="00D60CC4">
        <w:t xml:space="preserve">, sporządzony przez Maria </w:t>
      </w:r>
      <w:proofErr w:type="spellStart"/>
      <w:r w:rsidRPr="00D60CC4">
        <w:t>Draghiego</w:t>
      </w:r>
      <w:proofErr w:type="spellEnd"/>
      <w:r w:rsidRPr="00D60CC4">
        <w:t xml:space="preserve"> i przygotowany na prośbę przewodniczącej Komisji Ursuli von der </w:t>
      </w:r>
      <w:proofErr w:type="spellStart"/>
      <w:r w:rsidRPr="00D60CC4">
        <w:t>Leyen</w:t>
      </w:r>
      <w:proofErr w:type="spellEnd"/>
      <w:r w:rsidRPr="00D60CC4">
        <w:t xml:space="preserve">, zawiera kompleksową diagnozę wyzwań strukturalnych stojących przed UE, a także ostrzenie, że UE zagrożona jest trwaniem w przedłużającej się sytuacji powolnego wzrostu gospodarczego, która ostatecznie może zagrozić koniunkturze gospodarczej i dobrobytowi społecznemu; mając na uwadze, że w raporcie </w:t>
      </w:r>
      <w:proofErr w:type="spellStart"/>
      <w:r w:rsidRPr="00D60CC4">
        <w:t>Draghiego</w:t>
      </w:r>
      <w:proofErr w:type="spellEnd"/>
      <w:r w:rsidRPr="00D60CC4">
        <w:t xml:space="preserve"> przedstawiono względy, dla których Europa nie może już polegać na wielu czynnikach, które sprzyjały wzrostowi w przeszłości;</w:t>
      </w:r>
    </w:p>
    <w:p w14:paraId="37CA1D69" w14:textId="77777777" w:rsidR="005B6212" w:rsidRPr="00D60CC4" w:rsidRDefault="005B6212" w:rsidP="005B6212">
      <w:pPr>
        <w:pStyle w:val="NormalHanging12a"/>
      </w:pPr>
      <w:r w:rsidRPr="00D60CC4">
        <w:t>B.</w:t>
      </w:r>
      <w:r w:rsidRPr="00D60CC4">
        <w:tab/>
        <w:t xml:space="preserve">mając na uwadze, że między UE a Stanami Zjednoczonymi pojawiła się duża różnica w PKB, która wzrosła z ponad 15 % w 2002 r. do około 30 % w 2023 r. (ceny z 2015 r.); mając na uwadze, że spowodowane jest to głównie wyraźniejszym spowolnieniem tempa wzrostu wydajności w Europie oraz nieumiejętnością wykorzystania przez UE rewolucji cyfrowej, której siłą napędową jest </w:t>
      </w:r>
      <w:proofErr w:type="spellStart"/>
      <w:r w:rsidRPr="00D60CC4">
        <w:t>internet</w:t>
      </w:r>
      <w:proofErr w:type="spellEnd"/>
      <w:r w:rsidRPr="00D60CC4">
        <w:t xml:space="preserve">, i związanego z nią potencjału </w:t>
      </w:r>
      <w:r w:rsidRPr="00D60CC4">
        <w:lastRenderedPageBreak/>
        <w:t>wzrostu wydajności, czego przyczyną jest między innymi fragmentacja jednolitego rynku europejskiego;</w:t>
      </w:r>
    </w:p>
    <w:p w14:paraId="5FD70DE6" w14:textId="77777777" w:rsidR="005B6212" w:rsidRPr="00D60CC4" w:rsidRDefault="005B6212" w:rsidP="005B6212">
      <w:pPr>
        <w:pStyle w:val="NormalHanging12a"/>
      </w:pPr>
      <w:r w:rsidRPr="00D60CC4">
        <w:t>C.</w:t>
      </w:r>
      <w:r w:rsidRPr="00D60CC4">
        <w:tab/>
        <w:t xml:space="preserve">mając na uwadze, że w raporcie </w:t>
      </w:r>
      <w:proofErr w:type="spellStart"/>
      <w:r w:rsidRPr="00D60CC4">
        <w:t>Draghiego</w:t>
      </w:r>
      <w:proofErr w:type="spellEnd"/>
      <w:r w:rsidRPr="00D60CC4">
        <w:t xml:space="preserve"> uznano, że fundamentalnymi podstawami przyszłego wzrostu gospodarczego Europy są likwidacja luki innowacyjnej, wspólny plan na rzecz obniżenia emisyjności i na rzecz konkurencyjności, zwiększenie bezpieczeństwa i zmniejszenie zależności oraz realizacja celów gospodarczych, środowiskowych i społecznych UE; mając na uwadze, że według oceny zawartej w raporcie będzie to wymagało zwiększenia poziomu inwestycji o około 5 % całkowitego PKB UE, co odpowiada co najmniej 750–800 mld EUR dodatkowych rocznych inwestycji;</w:t>
      </w:r>
    </w:p>
    <w:p w14:paraId="583D18B4" w14:textId="77777777" w:rsidR="005B6212" w:rsidRPr="00D60CC4" w:rsidRDefault="005B6212" w:rsidP="005B6212">
      <w:pPr>
        <w:pStyle w:val="NormalHanging12a"/>
      </w:pPr>
      <w:r w:rsidRPr="00D60CC4">
        <w:t>D.</w:t>
      </w:r>
      <w:r w:rsidRPr="00D60CC4">
        <w:tab/>
        <w:t xml:space="preserve">mając na uwadze, że globalny popyt na surowce krytyczne szybko rośnie ze względu na przejście na czystą energię, a tymczasem Europa jest również w ogromnym stopniu uzależniona od importu technologii cyfrowych, zwłaszcza do produkcji </w:t>
      </w:r>
      <w:proofErr w:type="spellStart"/>
      <w:r w:rsidRPr="00D60CC4">
        <w:t>czipów</w:t>
      </w:r>
      <w:proofErr w:type="spellEnd"/>
      <w:r w:rsidRPr="00D60CC4">
        <w:t>, ponieważ 75–80 % światowych zdolności produkcji płytek posiada Azja; mając na uwadze, że należy opracować prawdziwą „zagraniczną politykę gospodarczą” UE w celu zachowania autonomii i konkurencyjności UE w tej kluczowej dziedzinie, a także w innych sektorach strategicznych;</w:t>
      </w:r>
    </w:p>
    <w:p w14:paraId="3AE99DAA" w14:textId="77777777" w:rsidR="005B6212" w:rsidRPr="00D60CC4" w:rsidRDefault="005B6212" w:rsidP="005B6212">
      <w:pPr>
        <w:pStyle w:val="NormalHanging12a"/>
      </w:pPr>
      <w:r w:rsidRPr="00D60CC4">
        <w:t>E.</w:t>
      </w:r>
      <w:r w:rsidRPr="00D60CC4">
        <w:tab/>
        <w:t xml:space="preserve">mając na uwadze, że zarówno w raporcie </w:t>
      </w:r>
      <w:proofErr w:type="spellStart"/>
      <w:r w:rsidRPr="00D60CC4">
        <w:t>Letty</w:t>
      </w:r>
      <w:proofErr w:type="spellEnd"/>
      <w:r w:rsidRPr="00D60CC4">
        <w:t xml:space="preserve">, sporządzonym przez Enrica </w:t>
      </w:r>
      <w:proofErr w:type="spellStart"/>
      <w:r w:rsidRPr="00D60CC4">
        <w:t>Lettę</w:t>
      </w:r>
      <w:proofErr w:type="spellEnd"/>
      <w:r w:rsidRPr="00D60CC4">
        <w:t xml:space="preserve"> na zlecenie Rady Europejskiej, jak i w raporcie </w:t>
      </w:r>
      <w:proofErr w:type="spellStart"/>
      <w:r w:rsidRPr="00D60CC4">
        <w:t>Draghiego</w:t>
      </w:r>
      <w:proofErr w:type="spellEnd"/>
      <w:r w:rsidRPr="00D60CC4">
        <w:t xml:space="preserve"> podkreślono, że jednolity rynek od samego początku okazał się niezwykłym bodźcem dla gospodarki UE i potężnym czynnikiem jej atrakcyjności oraz że nadal jest fundamentem integracji i wartości europejskich, pełniąc rolę potężnego katalizatora wzrostu, dobrobytu i solidarności; mając na uwadze, że kontekst międzynarodowy uległ tymczasem diametralnej zmianie, co uwypukla potrzebę dalszego pogłębiania i ukończenia realizacji jednolitego rynku, aby mógł on osiągnąć swój pełny potencjał;</w:t>
      </w:r>
    </w:p>
    <w:p w14:paraId="2F52484B" w14:textId="77777777" w:rsidR="005B6212" w:rsidRPr="00D60CC4" w:rsidRDefault="005B6212" w:rsidP="005B6212">
      <w:pPr>
        <w:pStyle w:val="NormalHanging12a"/>
      </w:pPr>
      <w:r w:rsidRPr="00D60CC4">
        <w:t>F.</w:t>
      </w:r>
      <w:r w:rsidRPr="00D60CC4">
        <w:tab/>
        <w:t xml:space="preserve">mając na uwadze, że w raporcie </w:t>
      </w:r>
      <w:proofErr w:type="spellStart"/>
      <w:r w:rsidRPr="00D60CC4">
        <w:t>Draghiego</w:t>
      </w:r>
      <w:proofErr w:type="spellEnd"/>
      <w:r w:rsidRPr="00D60CC4">
        <w:t xml:space="preserve"> wskazano, że do przywrócenia produktywności UE i osiągnięcia celów środowiskowych i społecznych UE niezbędne są dodatkowe inwestycje w wysokości 750–800 mld EUR rocznie;</w:t>
      </w:r>
    </w:p>
    <w:p w14:paraId="02AC2E4E" w14:textId="77777777" w:rsidR="005B6212" w:rsidRPr="00D60CC4" w:rsidRDefault="005B6212" w:rsidP="005B6212">
      <w:pPr>
        <w:pStyle w:val="NormalHanging12a"/>
      </w:pPr>
      <w:r w:rsidRPr="00D60CC4">
        <w:t>G.</w:t>
      </w:r>
      <w:r w:rsidRPr="00D60CC4">
        <w:tab/>
        <w:t>mając na uwadze, że wsparcie Unii zarówno dla inwestycji publicznych, jak i prywatnych jest ograniczone ze względu na wielkość budżetu UE, jego brak ukierunkowania, skomplikowane ramy zarządzania budżetowego, a także zbyt zachowawcze podejście do ryzyka; mając na uwadze, że aby sprostać wyzwaniom wykraczającym poza granice krajowe, zasadnicze znaczenie mają wspólne inwestycje UE, w tym wspólnie finansowane inicjatywy rynkowe, ponieważ umożliwiają osiągnięcie korzyści skali, wspierają strategiczną autonomię, a jednocześnie chronią i promują spójność w całej Unii, przyciągają kapitał prywatny, zwiększają globalną konkurencyjność UE w sektorach krytycznych, a także finansują i zapewniają inne europejskie dobra publiczne;</w:t>
      </w:r>
    </w:p>
    <w:p w14:paraId="22791DA3" w14:textId="77777777" w:rsidR="005B6212" w:rsidRPr="00D60CC4" w:rsidRDefault="005B6212" w:rsidP="005B6212">
      <w:pPr>
        <w:pStyle w:val="NormalHanging12a"/>
      </w:pPr>
      <w:r w:rsidRPr="00D60CC4">
        <w:t>H.</w:t>
      </w:r>
      <w:r w:rsidRPr="00D60CC4">
        <w:tab/>
        <w:t xml:space="preserve">mając na uwadze, że próba utworzenia unii rynków kapitałowych, której przewodnicząca Komisji </w:t>
      </w:r>
      <w:proofErr w:type="spellStart"/>
      <w:r w:rsidRPr="00D60CC4">
        <w:t>Ursula</w:t>
      </w:r>
      <w:proofErr w:type="spellEnd"/>
      <w:r w:rsidRPr="00D60CC4">
        <w:t xml:space="preserve"> von der </w:t>
      </w:r>
      <w:proofErr w:type="spellStart"/>
      <w:r w:rsidRPr="00D60CC4">
        <w:t>Leyen</w:t>
      </w:r>
      <w:proofErr w:type="spellEnd"/>
      <w:r w:rsidRPr="00D60CC4">
        <w:t xml:space="preserve"> nadała priorytet strategiczny, w ciągu ostatniej dekady nie doprowadziła jeszcze do realizacji założonego celu; mając na uwadze, że przeprowadzone do tej pory prace nad unią rynków kapitałowych ukazują, że pełne zintegrowanie usług finansowych w ramach jednolitego rynku ma zasadnicze znaczenie dla osiągnięcia strategicznych celów polityki gospodarczej UE;</w:t>
      </w:r>
    </w:p>
    <w:p w14:paraId="1B72ABA5" w14:textId="77777777" w:rsidR="005B6212" w:rsidRPr="00D60CC4" w:rsidRDefault="005B6212" w:rsidP="005B6212">
      <w:pPr>
        <w:pStyle w:val="NormalHanging12a"/>
      </w:pPr>
      <w:r w:rsidRPr="00D60CC4">
        <w:lastRenderedPageBreak/>
        <w:t>I.</w:t>
      </w:r>
      <w:r w:rsidRPr="00D60CC4">
        <w:tab/>
        <w:t xml:space="preserve">mając na uwadze, że raport Maria </w:t>
      </w:r>
      <w:proofErr w:type="spellStart"/>
      <w:r w:rsidRPr="00D60CC4">
        <w:t>Draghiego</w:t>
      </w:r>
      <w:proofErr w:type="spellEnd"/>
      <w:r w:rsidRPr="00D60CC4">
        <w:t xml:space="preserve"> zawiera kompleksową analizę zarządzania gospodarczego i konkurencyjności UE; </w:t>
      </w:r>
    </w:p>
    <w:p w14:paraId="192F909E" w14:textId="77777777" w:rsidR="005B6212" w:rsidRPr="00D60CC4" w:rsidRDefault="005B6212" w:rsidP="005B6212">
      <w:pPr>
        <w:pStyle w:val="NormalHanging12a"/>
        <w:rPr>
          <w:bCs/>
          <w:iCs/>
        </w:rPr>
      </w:pPr>
      <w:r w:rsidRPr="00D60CC4">
        <w:t>J.</w:t>
      </w:r>
      <w:r w:rsidRPr="00D60CC4">
        <w:tab/>
        <w:t xml:space="preserve">mając na uwadze, że proces akcesyjny kilku krajów nabrał większego tempa od napaści Rosji na Ukrainę, co stworzyło warunki, w których UE musi przygotować się do kolejnych rund rozszerzenia i udoskonalić swoje procesy decyzyjne, aby zapewnić sobie możliwość skutecznego funkcjonowania ze zwiększoną liczbą państw członkowskich; mając na uwadze, że w raporcie </w:t>
      </w:r>
      <w:proofErr w:type="spellStart"/>
      <w:r w:rsidRPr="00D60CC4">
        <w:t>Draghiego</w:t>
      </w:r>
      <w:proofErr w:type="spellEnd"/>
      <w:r w:rsidRPr="00D60CC4">
        <w:t xml:space="preserve"> zauważono, że aktywność legislacyjna Komisji rośnie oraz że UE powinna rygorystycznie stosować zasadę pomocniczości; mając na uwadze, że w raporcie </w:t>
      </w:r>
      <w:proofErr w:type="spellStart"/>
      <w:r w:rsidRPr="00D60CC4">
        <w:t>Draghiego</w:t>
      </w:r>
      <w:proofErr w:type="spellEnd"/>
      <w:r w:rsidRPr="00D60CC4">
        <w:t xml:space="preserve"> wskazano również, że zasady podejmowania decyzji w UE nie zmieniły się znacząco wraz z rozszerzeniem UE oraz że należy je wzmocnić i usprawnić w związku z przyszłymi rozszerzeniami i złożonym środowiskiem globalnym; mając na uwadze, że z rozszerzeniem jednolitego rynku wiążą się znaczne możliwości rozwoju gospodarki UE i wzmocnienia jej pozycji </w:t>
      </w:r>
      <w:proofErr w:type="spellStart"/>
      <w:r w:rsidRPr="00D60CC4">
        <w:t>geoekonomicznej</w:t>
      </w:r>
      <w:proofErr w:type="spellEnd"/>
      <w:r w:rsidRPr="00D60CC4">
        <w:t>;</w:t>
      </w:r>
    </w:p>
    <w:p w14:paraId="50CBAF4D" w14:textId="77777777" w:rsidR="005B6212" w:rsidRPr="00D60CC4" w:rsidRDefault="005B6212" w:rsidP="005B6212">
      <w:pPr>
        <w:pStyle w:val="NormalHanging12a"/>
        <w:rPr>
          <w:bCs/>
          <w:iCs/>
        </w:rPr>
      </w:pPr>
      <w:r w:rsidRPr="00D60CC4">
        <w:t xml:space="preserve">K. </w:t>
      </w:r>
      <w:r w:rsidRPr="00D60CC4">
        <w:tab/>
        <w:t xml:space="preserve">mając na uwadze, że w raporcie </w:t>
      </w:r>
      <w:proofErr w:type="spellStart"/>
      <w:r w:rsidRPr="00D60CC4">
        <w:t>Draghiego</w:t>
      </w:r>
      <w:proofErr w:type="spellEnd"/>
      <w:r w:rsidRPr="00D60CC4">
        <w:t xml:space="preserve"> stwierdzono również, iż wiele rządów wykorzystuje przysługujące im prawo weta do opóźniania lub osłabiania działań w ramach procesu decyzyjnego; mając jednak na uwadze, że w raporcie podkreślono również, że chociaż wzmocnienie UE wymaga zmiany traktatów, wiele można zrobić za pomocą ukierunkowanych dostosowań; mając na uwadze, że w raporcie stwierdzono w związku z tym, iż nowej strategii przemysłowej dla Europy musi towarzyszyć równoległa poprawa struktury instytucjonalnej i funkcjonowania UE; </w:t>
      </w:r>
    </w:p>
    <w:p w14:paraId="3110F5C4" w14:textId="77777777" w:rsidR="005B6212" w:rsidRPr="00D60CC4" w:rsidRDefault="005B6212" w:rsidP="005B6212">
      <w:pPr>
        <w:pStyle w:val="NormalHanging12a"/>
      </w:pPr>
      <w:r w:rsidRPr="00D60CC4">
        <w:t>L.</w:t>
      </w:r>
      <w:r w:rsidRPr="00D60CC4">
        <w:tab/>
        <w:t xml:space="preserve">mając na uwadze, że w raporcie </w:t>
      </w:r>
      <w:proofErr w:type="spellStart"/>
      <w:r w:rsidRPr="00D60CC4">
        <w:t>Draghiego</w:t>
      </w:r>
      <w:proofErr w:type="spellEnd"/>
      <w:r w:rsidRPr="00D60CC4">
        <w:t xml:space="preserve"> podkreślono potrzebę uproszczenia europejskiego procesu decyzyjnego, aby przełamać impas i ułatwić przyjmowanie środków mających na celu zwiększenie konkurencyjności i wzrostu gospodarczego UE, a także zapewnić terminowe i skuteczne podejmowanie decyzji;</w:t>
      </w:r>
    </w:p>
    <w:p w14:paraId="72B11D0B" w14:textId="77777777" w:rsidR="005B6212" w:rsidRPr="00D60CC4" w:rsidRDefault="005B6212" w:rsidP="005B6212">
      <w:pPr>
        <w:pStyle w:val="NormalHanging12a"/>
        <w:rPr>
          <w:bCs/>
          <w:iCs/>
        </w:rPr>
      </w:pPr>
      <w:r w:rsidRPr="00D60CC4">
        <w:t>M.</w:t>
      </w:r>
      <w:r w:rsidRPr="00D60CC4">
        <w:tab/>
        <w:t xml:space="preserve">mając na uwadze, że w raporcie </w:t>
      </w:r>
      <w:proofErr w:type="spellStart"/>
      <w:r w:rsidRPr="00D60CC4">
        <w:t>Draghiego</w:t>
      </w:r>
      <w:proofErr w:type="spellEnd"/>
      <w:r w:rsidRPr="00D60CC4">
        <w:t xml:space="preserve"> wyjaśniono, że wzmocnienie modelu politycznego i instytucjonalnego UE jest możliwe w dotychczasowych ramach prawnych, a osiągnąć to można dzięki wprowadzeniu ukierunkowanych środków korygujących, bez konieczności zmian w traktacie; mając na uwadze, że w raporcie stwierdzono również, że takie środki powinny koncentrować się na deregulacji, a nie na zwiększaniu liczby przepisów i procedur UE;</w:t>
      </w:r>
    </w:p>
    <w:p w14:paraId="0FB41BB8" w14:textId="77777777" w:rsidR="005B6212" w:rsidRPr="00D60CC4" w:rsidRDefault="005B6212" w:rsidP="005B6212">
      <w:pPr>
        <w:pStyle w:val="NormalHanging12a"/>
      </w:pPr>
      <w:r w:rsidRPr="00D60CC4">
        <w:t>N.</w:t>
      </w:r>
      <w:r w:rsidRPr="00D60CC4">
        <w:tab/>
        <w:t xml:space="preserve">mając na uwadze, że w raporcie </w:t>
      </w:r>
      <w:proofErr w:type="spellStart"/>
      <w:r w:rsidRPr="00D60CC4">
        <w:t>Draghiego</w:t>
      </w:r>
      <w:proofErr w:type="spellEnd"/>
      <w:r w:rsidRPr="00D60CC4">
        <w:t xml:space="preserve"> jako główne czynniki napędzające przyszłą konkurencyjność Europy wskazano transformację cyfrową i rozwój sztucznej inteligencji (AI); mając na uwadze, że UE do tej pory nie wykorzystała krytycznych możliwości związanych z rewolucją cyfrową i nadal pozostaje w tyle za światowymi liderami, jeżeli chodzi o zdolności w zakresie AI, infrastrukturę danych i zwiększanie skali najbardziej zaawansowanych technologii;</w:t>
      </w:r>
    </w:p>
    <w:p w14:paraId="0B982AE7" w14:textId="77777777" w:rsidR="005B6212" w:rsidRPr="00D60CC4" w:rsidRDefault="005B6212" w:rsidP="005B6212">
      <w:pPr>
        <w:pStyle w:val="NormalHanging12a"/>
      </w:pPr>
      <w:r w:rsidRPr="00D60CC4">
        <w:t>O.</w:t>
      </w:r>
      <w:r w:rsidRPr="00D60CC4">
        <w:tab/>
        <w:t xml:space="preserve">mając na uwadze, że w raporcie </w:t>
      </w:r>
      <w:proofErr w:type="spellStart"/>
      <w:r w:rsidRPr="00D60CC4">
        <w:t>Draghiego</w:t>
      </w:r>
      <w:proofErr w:type="spellEnd"/>
      <w:r w:rsidRPr="00D60CC4">
        <w:t xml:space="preserve"> podkreślono, że UE musi wzmocnić swoją strategiczną autonomię i zdolności obronne poprzez przezwyciężenie fragmentacji rynku, zwiększenie interoperacyjności i konsolidację europejskiego przemysłu obronnego; mając na uwadze, że raport </w:t>
      </w:r>
      <w:proofErr w:type="spellStart"/>
      <w:r w:rsidRPr="00D60CC4">
        <w:t>Niinistö</w:t>
      </w:r>
      <w:proofErr w:type="spellEnd"/>
      <w:r w:rsidRPr="00D60CC4">
        <w:t xml:space="preserve"> uzupełnia tę wizję, podkreślając potrzebę poprawy gotowości na wypadek zagrożeń, reagowania kryzysowego oraz odporności infrastruktury krytycznej i łańcuchów dostaw; mając na uwadze, że w obu raportach podkreślono, że wiarygodna europejska unia obrony wymaga zintegrowanych ram zarządzania oraz trwałych i skoordynowanych inwestycji na szczeblu UE;</w:t>
      </w:r>
    </w:p>
    <w:p w14:paraId="67B29737" w14:textId="77777777" w:rsidR="005B6212" w:rsidRPr="00D60CC4" w:rsidRDefault="005B6212" w:rsidP="005B6212">
      <w:pPr>
        <w:pStyle w:val="Normal12a24b"/>
      </w:pPr>
      <w:r w:rsidRPr="00D60CC4">
        <w:rPr>
          <w:rStyle w:val="BoldItalic"/>
        </w:rPr>
        <w:lastRenderedPageBreak/>
        <w:t xml:space="preserve">Kwestie ogólne </w:t>
      </w:r>
    </w:p>
    <w:p w14:paraId="495FF4C4" w14:textId="77777777" w:rsidR="005B6212" w:rsidRPr="00D60CC4" w:rsidRDefault="005B6212" w:rsidP="005B6212">
      <w:pPr>
        <w:pStyle w:val="NormalHanging12a"/>
        <w:rPr>
          <w:bCs/>
          <w:iCs/>
        </w:rPr>
      </w:pPr>
      <w:r w:rsidRPr="00D60CC4">
        <w:t xml:space="preserve">1. </w:t>
      </w:r>
      <w:r w:rsidRPr="00D60CC4">
        <w:tab/>
        <w:t xml:space="preserve">z zadowoleniem przyjmuje raport </w:t>
      </w:r>
      <w:proofErr w:type="spellStart"/>
      <w:r w:rsidRPr="00D60CC4">
        <w:t>Draghiego</w:t>
      </w:r>
      <w:proofErr w:type="spellEnd"/>
      <w:r w:rsidRPr="00D60CC4">
        <w:t>, zawarte w nim ustalenia i apel o podjęcie działań; popiera analizę, zgodnie z którą Europa stoi przed wyzwaniem egzystencjalnym, które wymaga bezprecedensowego wysiłku instytucjonalnego, aby zachować konkurencyjność i generować wzrost w dzisiejszym szybko zmieniającym się kontekście geopolitycznym; podkreśla, że takie działania muszą opierać się na demokratycznych rządach Unii, równowadze uprawnień między instytucjami i poszanowaniu traktatów; apeluje o odnowienie strategii europejskiej, tak aby umożliwiała ona podejmowanie terminowych i skutecznych decyzji przez UE w celu zapewnienia jej konkurencyjności i zrównoważonego rozwoju;</w:t>
      </w:r>
    </w:p>
    <w:p w14:paraId="013DF09A" w14:textId="77777777" w:rsidR="005B6212" w:rsidRPr="00D60CC4" w:rsidRDefault="005B6212" w:rsidP="005B6212">
      <w:pPr>
        <w:pStyle w:val="NormalHanging12a"/>
      </w:pPr>
      <w:r w:rsidRPr="00D60CC4">
        <w:t>2.</w:t>
      </w:r>
      <w:r w:rsidRPr="00D60CC4">
        <w:tab/>
        <w:t xml:space="preserve">podkreśla, że – jak stwierdzono w raporcie </w:t>
      </w:r>
      <w:proofErr w:type="spellStart"/>
      <w:r w:rsidRPr="00D60CC4">
        <w:t>Draghiego</w:t>
      </w:r>
      <w:proofErr w:type="spellEnd"/>
      <w:r w:rsidRPr="00D60CC4">
        <w:t xml:space="preserve"> – UE musi w trybie pilnym poprawić swoje zarządzanie instytucjonalne,  podkreśla, że ulepszeniom tym powinna towarzyszyć jasna i </w:t>
      </w:r>
      <w:proofErr w:type="spellStart"/>
      <w:r w:rsidRPr="00D60CC4">
        <w:t>inkluzywna</w:t>
      </w:r>
      <w:proofErr w:type="spellEnd"/>
      <w:r w:rsidRPr="00D60CC4">
        <w:t xml:space="preserve"> strategia komunikacyjna mająca na celu zaangażowanie obywateli i informowanie ich o wynikających z tych zmian korzyściach, dzięki czemu zapewnić będzie można pełne poparcie społeczne oraz budować poczucie przynależności i wspólnej odpowiedzialności; podkreśla, że to – wraz z uznaniem potrzeby porzucenia rozdrobnionych podejść krajowych i wzmocnienia przeorientowanego, przyspieszonego i uproszczonego procesu decyzyjnego na szczeblu UE – umożliwi Unii jako prawdziwemu podmiotowi globalnemu skuteczniejsze i efektywniejsze działanie tam, gdzie ma to największe znaczenie; uznaje znaczenie zaradzenia zaistniałym w kilku obszarach blokadom w Radzie; popiera wszystkie inicjatywy mające na celu opracowanie skuteczniejszego procesu decyzyjnego, gdyż ma on kluczowe znaczenie dla zwiększenia konkurencyjności UE; jednocześnie w pełni przestrzegać należy zasad pomocniczości i proporcjonalności określonych w art. 5 ust. 3 i 4 TUE;</w:t>
      </w:r>
    </w:p>
    <w:p w14:paraId="4043FEEA" w14:textId="77777777" w:rsidR="005B6212" w:rsidRPr="00D60CC4" w:rsidRDefault="005B6212" w:rsidP="005B6212">
      <w:pPr>
        <w:pStyle w:val="NormalHanging12a"/>
      </w:pPr>
      <w:r w:rsidRPr="00D60CC4">
        <w:t>3.</w:t>
      </w:r>
      <w:r w:rsidRPr="00D60CC4">
        <w:tab/>
        <w:t>podkreśla, że kluczowymi dla zwiększenia konkurencyjności Unii dziedzinami wymagającymi strategicznej reformy polityki są: dokończenie budowy jednolitego rynku europejskiego, utworzenie unii oszczędności i inwestycji, zwiększenie wydajności budżetu UE i skuteczności jego wdrażania, utrzymanie wysokiego poziomu ochrony socjalnej oraz praw socjalnych i pracowniczych, pogłębienie europejskiego modelu sztucznej inteligencji i transformacji cyfrowej oraz rozwój unii energetycznej i europejskiej unii obrony;</w:t>
      </w:r>
    </w:p>
    <w:p w14:paraId="0B972EFA" w14:textId="77777777" w:rsidR="005B6212" w:rsidRPr="00D60CC4" w:rsidRDefault="005B6212" w:rsidP="005B6212">
      <w:pPr>
        <w:pStyle w:val="NormalHanging12a"/>
      </w:pPr>
      <w:r w:rsidRPr="00D60CC4">
        <w:t>4.</w:t>
      </w:r>
      <w:r w:rsidRPr="00D60CC4">
        <w:tab/>
        <w:t>podkreśla, że strategiczne reformy polityki i proponowane zmiany w strukturze instytucjonalnej UE należy postrzegać jako nierozerwalne aspekty, które muszą być wdrażane równolegle, aby sprzyjać bardziej konkurencyjnej UE;</w:t>
      </w:r>
    </w:p>
    <w:p w14:paraId="41F1F534" w14:textId="77777777" w:rsidR="005B6212" w:rsidRPr="00D60CC4" w:rsidRDefault="005B6212" w:rsidP="005B6212">
      <w:pPr>
        <w:pStyle w:val="NormalHanging12a"/>
        <w:rPr>
          <w:b/>
          <w:i/>
          <w:iCs/>
        </w:rPr>
      </w:pPr>
      <w:r w:rsidRPr="00D60CC4">
        <w:rPr>
          <w:b/>
          <w:i/>
        </w:rPr>
        <w:t>Zmiana ukierunkowania, przyspieszenie i uproszczenie zarządzania UE</w:t>
      </w:r>
    </w:p>
    <w:p w14:paraId="7A589132" w14:textId="77777777" w:rsidR="005B6212" w:rsidRPr="00D60CC4" w:rsidRDefault="005B6212" w:rsidP="005B6212">
      <w:pPr>
        <w:pStyle w:val="NormalHanging12a"/>
      </w:pPr>
      <w:r w:rsidRPr="00D60CC4">
        <w:t xml:space="preserve">5. </w:t>
      </w:r>
      <w:r w:rsidRPr="00D60CC4">
        <w:tab/>
        <w:t xml:space="preserve">z zadowoleniem przyjmuje wysiłki na rzecz zmiany ukierunkowania i uproszczenia prac UE poprzez strategiczne ustalanie priorytetów i skuteczność instytucjonalną; wzywa do wzmocnienia zdolności UE do działania tam, gdzie wnosi ona wyraźną wartość dodaną, w oparciu o zasady pomocniczości i proporcjonalności; podkreśla, że uproszczenie, pomocniczość i proporcjonalność muszą prowadzić do inteligentniejszego i skuteczniejszego prawodawstwa, a nie powinny prowadzić do wycofywania się z obszarów wymagających działań na szczeblu UE; podkreśla, że skuteczne interwencje w obszarach polityki sprzyjających większej konkurencyjności gospodarczej wymagają dostosowania kompetencji przyznanych Unii w traktatach; </w:t>
      </w:r>
      <w:r w:rsidRPr="00D60CC4">
        <w:lastRenderedPageBreak/>
        <w:t>podkreśla, że to uproszczenie i ponownie położony nacisk muszą również znaleźć odzwierciedlenie w skuteczniejszej i sprawniejszej strukturze instytucjonalnej, w tym w postaci reorganizacji Komisji i kolegium komisarzy w celu zwiększenia skuteczności i zdolności UE do radzenia sobie ze zmieniającymi się wyzwaniami oraz wzmocnienia jej roli na arenie międzynarodowej;</w:t>
      </w:r>
    </w:p>
    <w:p w14:paraId="32C72C0B" w14:textId="77777777" w:rsidR="005B6212" w:rsidRPr="00D60CC4" w:rsidRDefault="005B6212" w:rsidP="005B6212">
      <w:pPr>
        <w:pStyle w:val="NormalHanging12a"/>
      </w:pPr>
      <w:r w:rsidRPr="00D60CC4">
        <w:t xml:space="preserve">6. </w:t>
      </w:r>
      <w:r w:rsidRPr="00D60CC4">
        <w:tab/>
        <w:t xml:space="preserve">przyjmuje do wiadomości opracowany przez Komisję Kompas konkurencyjności dla UE, oparty na wizji przedstawionej w raporcie </w:t>
      </w:r>
      <w:proofErr w:type="spellStart"/>
      <w:r w:rsidRPr="00D60CC4">
        <w:t>Draghiego</w:t>
      </w:r>
      <w:proofErr w:type="spellEnd"/>
      <w:r w:rsidRPr="00D60CC4">
        <w:t xml:space="preserve">, oraz nacisk, jaki w ramach tej inicjatywy położono na potrzebę większej strategicznej autonomii i odporności oraz pilną potrzebę zwiększenia konkurencyjności UE w oparciu o zrównoważony rozwój, innowacje, bezpieczeństwo energetyczne, a także spójność społeczną, gospodarczą i terytorialną; podkreśla, że położony w inicjatywie Kompas konkurencyjności dla UE nacisk na skuteczność regulacyjną ma zasadnicze znaczenie z punktu widzenia wspierania innowacji, przyciągania inwestycji i umożliwiania zrównoważonego wzrostu; popiera wprowadzenie narzędzi oceny wpływu nowych wniosków na MŚP i na konkurencyjność oraz zaleca, by regularnie monitorować postępy i promować rozwiązania cyfrowe, które ułatwiają procedury administracyjne; podkreśla, że należy rozwiązać problem niedoboru siły roboczej i kwalifikacji jako strukturalnego wyzwania dla konkurencyjności we wszystkich państwach członkowskich; podkreśla jednak, że należy jeszcze bardziej udoskonalić Kompas konkurencyjności poprzez wzmocnienie struktury instytucjonalnej UE; </w:t>
      </w:r>
    </w:p>
    <w:p w14:paraId="1DF165A9" w14:textId="77777777" w:rsidR="005B6212" w:rsidRPr="00D60CC4" w:rsidRDefault="005B6212" w:rsidP="005B6212">
      <w:pPr>
        <w:pStyle w:val="NormalHanging12a"/>
        <w:rPr>
          <w:bCs/>
          <w:iCs/>
        </w:rPr>
      </w:pPr>
      <w:r w:rsidRPr="00D60CC4">
        <w:t xml:space="preserve">7. </w:t>
      </w:r>
      <w:r w:rsidRPr="00D60CC4">
        <w:tab/>
        <w:t xml:space="preserve">z zadowoleniem przyjmuje zamysł wzmocnienia procesu decyzyjnego UE w zakresie ukierunkowanych i strategicznych priorytetów konkurencyjności; uważa, że wszelkie narzędzia koordynacji konkurencyjności powinny służyć jako nadrzędne ramy instytucjonalne, umożliwiające UE nie tylko koordynację polityki unijnej i krajowej, ale także działanie jako jeden podmiot; podkreśla, że takim narzędziem zarządzać powinna Komisja, natomiast nadzór nad nim należy powierzyć Parlamentowi i Radzie; narzędzie to powinno także podlegać niezależnej ocenie dotyczącej jego skuteczności, przejrzystości i realizacji założonych celów; podkreśla, że współpraca z parlamentami narodowymi i organami regulacyjnymi jest niezbędna do zapewnienia legitymacji demokratycznej; podkreśla, że zaangażowanie partnerów społecznych i zainteresowanych stron musi być wpisane w zarządzanie UE, aby zapewnić </w:t>
      </w:r>
      <w:proofErr w:type="spellStart"/>
      <w:r w:rsidRPr="00D60CC4">
        <w:t>inkluzywność</w:t>
      </w:r>
      <w:proofErr w:type="spellEnd"/>
      <w:r w:rsidRPr="00D60CC4">
        <w:t xml:space="preserve"> i rozliczalność;</w:t>
      </w:r>
    </w:p>
    <w:p w14:paraId="50D5B8B2" w14:textId="77777777" w:rsidR="005B6212" w:rsidRPr="00D60CC4" w:rsidRDefault="005B6212" w:rsidP="005B6212">
      <w:pPr>
        <w:pStyle w:val="NormalHanging12a"/>
      </w:pPr>
      <w:r w:rsidRPr="00D60CC4">
        <w:t xml:space="preserve">8. </w:t>
      </w:r>
      <w:r w:rsidRPr="00D60CC4">
        <w:tab/>
        <w:t>z zadowoleniem przyjmuje cel, jakim jest przyspieszenie prac UE, i ponawia swój apel o postępy w kierunku większej skuteczności procesu decyzyjnego, w tym o przejście na głosowanie większością kwalifikowaną i na zwykłą procedurę ustawodawczą, gdy jest to konieczne, w kluczowych obszarach polityki; zauważa, że w niektórych obszarach o zasadniczym znaczeniu należy przewidzieć wyższe progi głosowania; zauważa, że w przeszłości znaleziono rozwiązania, które usprawniły procesy decyzyjne; podkreśla na przykład, że w traktacie z Amsterdamu wprowadzono głosowanie większością kwalifikowaną, a jednocześnie uwzględniono możliwość konstruktywnego wstrzymania się od głosu w niektórych obszarach polityki;</w:t>
      </w:r>
    </w:p>
    <w:p w14:paraId="321B5643" w14:textId="77777777" w:rsidR="005B6212" w:rsidRPr="00D60CC4" w:rsidRDefault="005B6212" w:rsidP="005B6212">
      <w:pPr>
        <w:pStyle w:val="NormalHanging12a"/>
      </w:pPr>
      <w:r w:rsidRPr="00D60CC4">
        <w:t xml:space="preserve">9. </w:t>
      </w:r>
      <w:r w:rsidRPr="00D60CC4">
        <w:tab/>
        <w:t xml:space="preserve">wzywa Radę Europejską do omówienia propozycji zawartych w rezolucjach Parlamentu z 9 czerwca 2022 r. i 22 listopada 2023 r. dotyczących zwołania konwentu zgodnie ze zwykłą procedurą zmiany przewidzianą w art. 48 TUE, a także do rozważenia, w miarę możliwości, ukierunkowanych zmian w traktatach w drodze uproszczonej procedury ustanowionej w art. 48 ust. 6 TUE w celu przyspieszenia niezbędnych i pilnych reform; przypomina wnioski Konferencji w sprawie przyszłości Europy i wzywa Komisję i </w:t>
      </w:r>
      <w:r w:rsidRPr="00D60CC4">
        <w:lastRenderedPageBreak/>
        <w:t>Radę do podjęcia w odpowiednim czasie konkretnych kroków w celu zastosowania się do tych zaleceń; uważa, że przygotowania do kompromisu w sprawie kolejnych wieloletnich ram finansowych stanowią ważną okazję do zintensyfikowania prac nad wzmocnieniem struktury instytucjonalnej UE;</w:t>
      </w:r>
    </w:p>
    <w:p w14:paraId="5DC91AC2" w14:textId="77777777" w:rsidR="005B6212" w:rsidRPr="00D60CC4" w:rsidRDefault="005B6212" w:rsidP="005B6212">
      <w:pPr>
        <w:pStyle w:val="NormalHanging12a"/>
      </w:pPr>
      <w:r w:rsidRPr="00D60CC4">
        <w:t>10.</w:t>
      </w:r>
      <w:r w:rsidRPr="00D60CC4">
        <w:tab/>
        <w:t xml:space="preserve">przypomina wnioski Konferencji w sprawie przyszłości Europy, zwłaszcza potrzebę reformy </w:t>
      </w:r>
      <w:proofErr w:type="gramStart"/>
      <w:r w:rsidRPr="00D60CC4">
        <w:t>traktatu,</w:t>
      </w:r>
      <w:proofErr w:type="gramEnd"/>
      <w:r w:rsidRPr="00D60CC4">
        <w:t xml:space="preserve"> i wzywa Komisję i Radę do podjęcia w odpowiednim czasie konkretnych kroków w celu zastosowania się do tych zaleceń;</w:t>
      </w:r>
    </w:p>
    <w:p w14:paraId="07147D31" w14:textId="77777777" w:rsidR="005B6212" w:rsidRPr="00D60CC4" w:rsidRDefault="005B6212" w:rsidP="005B6212">
      <w:pPr>
        <w:pStyle w:val="NormalHanging12a"/>
      </w:pPr>
      <w:r w:rsidRPr="00D60CC4">
        <w:t>11.</w:t>
      </w:r>
      <w:r w:rsidRPr="00D60CC4">
        <w:rPr>
          <w:b/>
          <w:i/>
        </w:rPr>
        <w:t xml:space="preserve"> </w:t>
      </w:r>
      <w:r w:rsidRPr="00D60CC4">
        <w:rPr>
          <w:b/>
          <w:i/>
        </w:rPr>
        <w:tab/>
      </w:r>
      <w:r w:rsidRPr="00D60CC4">
        <w:t>potwierdza swoje zaangażowanie na rzecz zwiększenia zdolności UE do szybkiego i skutecznego działania, a także do zwiększenia skuteczności podejmowania decyzji w kluczowych obszarach polityki; ponawia swój apel o rozszerzenie głosowania większością kwalifikowaną i zwykłej procedury ustawodawczej na kluczowe obszary polityki, w stosownych przypadkach, z wykorzystaniem klauzul pomostowych, jak przewidziano w traktatach, w celu poprawy zdolności UE do szybkiego i skutecznego działania;</w:t>
      </w:r>
    </w:p>
    <w:p w14:paraId="381365D1" w14:textId="77777777" w:rsidR="005B6212" w:rsidRPr="00D60CC4" w:rsidRDefault="005B6212" w:rsidP="005B6212">
      <w:pPr>
        <w:pStyle w:val="NormalHanging12a"/>
        <w:rPr>
          <w:bCs/>
        </w:rPr>
      </w:pPr>
      <w:r w:rsidRPr="00D60CC4">
        <w:t xml:space="preserve">12. </w:t>
      </w:r>
      <w:r w:rsidRPr="00D60CC4">
        <w:tab/>
        <w:t xml:space="preserve">wzywa Radę do rozważenia zastosowania wzmocnionej współpracy zgodnie z art. 20 TUE w przypadkach, gdy jednomyślne głosowanie nie pozwala podjąć decyzji ważnych dla całej UE w kluczowych obszarach polityki; podkreśla, że podstawą wzmocnionej współpracy są uzasadnione potrzeby państw członkowskich, w przypadku gdy cele takiej współpracy nie mogą zostać osiągnięte w rozsądnym terminie przez Unię jako całość; podkreśla, że wzmocniona współpraca oferuje dwa ważne zabezpieczenia, a mianowicie zgodę Parlamentu i kontrolę legalności przez Trybunał Sprawiedliwości Unii Europejskiej (TSUE), a decyzje podejmowane w ramach wzmocnionej współpracy opierają się na wniosku Komisji; podkreśla, że głównym celem wzmocnionej współpracy jest uproszczenie procesu decyzyjnego; zdecydowanie zaleca uczestniczącym państwom członkowskim uruchomienie specjalnej klauzuli pomostowej zapisanej w art. 333 TFUE w celu przejścia na głosowanie większość kwalifikowaną i na zwykłą procedurę ustawodawczą w ramach wzmocnionej współpracy; zauważa, że w sprawozdaniu </w:t>
      </w:r>
      <w:proofErr w:type="spellStart"/>
      <w:r w:rsidRPr="00D60CC4">
        <w:t>Draghiego</w:t>
      </w:r>
      <w:proofErr w:type="spellEnd"/>
      <w:r w:rsidRPr="00D60CC4">
        <w:t xml:space="preserve"> zaproponowano, aby w przypadku gdy nie można osiągnąć jednomyślnego porozumienia w sprawie wprowadzenia głosowania większością kwalifikowaną, chętne państwa członkowskie mogły również rozważyć skorzystanie ze współpracy międzyrządowej;</w:t>
      </w:r>
    </w:p>
    <w:p w14:paraId="5B35D26C" w14:textId="77777777" w:rsidR="005B6212" w:rsidRPr="00D60CC4" w:rsidRDefault="005B6212" w:rsidP="005B6212">
      <w:pPr>
        <w:pStyle w:val="NormalHanging12a"/>
      </w:pPr>
      <w:r w:rsidRPr="00D60CC4">
        <w:t xml:space="preserve">13. </w:t>
      </w:r>
      <w:r w:rsidRPr="00D60CC4">
        <w:tab/>
        <w:t xml:space="preserve">podkreśla, że poprawa procesu decyzyjnego UE wymaga wzmocnienia pozycji Parlamentu poprzez postawienie go na równi z Radą, i apeluje o wzmocnienie roli Parlamentu w procesie legislacyjnym; ponawia swój apel o to, by Parlament uzyskał pełne prawo inicjatywy ustawodawczej; podkreśla, że trzeba zmodernizować uprawnienia śledcze Parlamentu z myślą o wzmocnieniu demokratycznej kontroli nad władzą wykonawczą UE; </w:t>
      </w:r>
    </w:p>
    <w:p w14:paraId="3AD66EB9" w14:textId="77777777" w:rsidR="005B6212" w:rsidRPr="00D60CC4" w:rsidRDefault="005B6212" w:rsidP="005B6212">
      <w:pPr>
        <w:pStyle w:val="Normal12a24b"/>
        <w:tabs>
          <w:tab w:val="left" w:pos="567"/>
        </w:tabs>
        <w:ind w:left="567" w:hanging="567"/>
        <w:rPr>
          <w:bCs/>
          <w:iCs/>
        </w:rPr>
      </w:pPr>
      <w:r w:rsidRPr="00D60CC4">
        <w:t>14.</w:t>
      </w:r>
      <w:r w:rsidRPr="00D60CC4">
        <w:tab/>
        <w:t xml:space="preserve">uznaje potencjał art. 122 TFUE jako narzędzia szybkiego działania UE wyłącznie w sytuacjach kryzysowych, ale podkreśla, że jego stosowanie wymaga silnego nadzoru nie tylko ze strony TSUE, ale również Parlamentu; podkreśla potrzebę zapewnienia ścisłej współpracy między Komisją, Parlamentem i innymi właściwymi instytucjami i organami UE;  apeluje o wyjaśnienie i usystematyzowanie procedur uruchamiania art. 122 TFUE, w szczególności o upoważnienie obu </w:t>
      </w:r>
      <w:proofErr w:type="spellStart"/>
      <w:r w:rsidRPr="00D60CC4">
        <w:t>współprawodawców</w:t>
      </w:r>
      <w:proofErr w:type="spellEnd"/>
      <w:r w:rsidRPr="00D60CC4">
        <w:t xml:space="preserve"> do decydowania o uruchomieniu tego artykułu;</w:t>
      </w:r>
    </w:p>
    <w:p w14:paraId="4F6281DA" w14:textId="77777777" w:rsidR="005B6212" w:rsidRPr="00D60CC4" w:rsidRDefault="005B6212" w:rsidP="005B6212">
      <w:pPr>
        <w:pStyle w:val="Normal12a24b"/>
        <w:tabs>
          <w:tab w:val="left" w:pos="567"/>
        </w:tabs>
        <w:ind w:left="567" w:hanging="567"/>
        <w:rPr>
          <w:bCs/>
          <w:iCs/>
        </w:rPr>
      </w:pPr>
      <w:r w:rsidRPr="00D60CC4">
        <w:lastRenderedPageBreak/>
        <w:t>15.</w:t>
      </w:r>
      <w:r w:rsidRPr="00D60CC4">
        <w:tab/>
        <w:t xml:space="preserve">podkreśla pilną potrzebę poprawy ram instytucjonalnych i finansowych UE, aby zapewnić ich funkcjonalność, demokratyczność i konkurencyjność oraz zdolność do przyjmowania nowych członków i wspierania ich pomyślnej integracji w perspektywie przyszłych rozszerzeń; potwierdza w związku z tym, że rozszerzeniu musi towarzyszyć wzmocnienie zarządzania UE; zachęca do dialogu między UE a rządami, parlamentami i społeczeństwem obywatelskim krajów kandydujących na temat wszelkich planowanych propozycji zmian w strukturze instytucjonalnej UE; uznaje znaczenie takich inicjatyw jak Europejska Wspólnota Polityczna (EWP), które umożliwiają współpracę polityczną i przyczyniają się do dialogów regionalnych oraz które mogłyby ułatwić stopniową integrację krajów kandydujących z Unią i jej polityką, ale nie stanowią alternatywy dla członkostwa w UE; podkreśla, że Parlament powinien być regularnie informowany i konsultowany w sprawie rozwoju EWP, aby zapewnić demokratyczną rozliczalność i spójność z ramami instytucjonalnymi UE; </w:t>
      </w:r>
    </w:p>
    <w:p w14:paraId="111C6F73" w14:textId="77777777" w:rsidR="005B6212" w:rsidRPr="00D60CC4" w:rsidRDefault="005B6212" w:rsidP="005B6212">
      <w:pPr>
        <w:pStyle w:val="NormalHanging12a"/>
        <w:rPr>
          <w:b/>
          <w:u w:val="single"/>
        </w:rPr>
      </w:pPr>
      <w:r w:rsidRPr="00D60CC4">
        <w:rPr>
          <w:b/>
          <w:i/>
        </w:rPr>
        <w:t>Skuteczne zarządzanie UE w kluczowych obszarach polityki</w:t>
      </w:r>
    </w:p>
    <w:p w14:paraId="0AEC4DCC" w14:textId="77777777" w:rsidR="005B6212" w:rsidRPr="00D60CC4" w:rsidRDefault="005B6212" w:rsidP="005B6212">
      <w:pPr>
        <w:pStyle w:val="NormalHanging12a"/>
      </w:pPr>
      <w:r w:rsidRPr="00D60CC4">
        <w:t xml:space="preserve">16. </w:t>
      </w:r>
      <w:r w:rsidRPr="00D60CC4">
        <w:tab/>
        <w:t xml:space="preserve">wzywa do ukończenia tworzenia jednolitego rynku europejskiego, zgodnie z art. 26 i 114 TFUE oraz art. 3 ust. 3 TUE, aby uwolnić jego pełny potencjał i przezwyciężyć utrzymujące się bariery, w tym nieuczciwą konkurencję międzynarodową, w celu przeciwdziałania wysokim cenom energii, niedoborom umiejętności i siły roboczej, trudnościom w dostępie do kapitału, fragmentarycznemu wdrażaniu zasad UE, niewystarczającemu wsparciu dla transformacji ekologicznej i cyfrowej oraz wysokim obciążeniom administracyjnym dla obywateli i przedsiębiorstw, a także aby wspierać wzrost gospodarczy, spójność społeczną, gospodarczą i terytorialną oraz wymianę kulturalną w UE; wzywa do rozwoju europejskiego zintegrowanego rynku kapitałowego, jak przewidziano w art. 26 i 63 TFUE, za pośrednictwem nowo utworzonej unii oszczędności i inwestycji, w oparciu o niekompletną unię rynków kapitałowych; wzywa do wzmocnienia Europejskiego Urzędu Nadzoru Giełd i Papierów Wartościowych, na podstawie prawnej art. 114 TFEU, w celu zwiększenia konwergencji praktyk nadzorczych i koordynacji transgranicznej w ramach unii oszczędności i inwestycji; zauważa również, że w raporcie </w:t>
      </w:r>
      <w:proofErr w:type="spellStart"/>
      <w:r w:rsidRPr="00D60CC4">
        <w:t>Letty</w:t>
      </w:r>
      <w:proofErr w:type="spellEnd"/>
      <w:r w:rsidRPr="00D60CC4">
        <w:t xml:space="preserve"> uznano znaczenie siły gospodarczej jednolitego rynku dla globalnych i handlowych ambicji UE, w tym w stosunkach gospodarczych z partnerami strategicznymi;</w:t>
      </w:r>
    </w:p>
    <w:p w14:paraId="2671355F" w14:textId="77777777" w:rsidR="005B6212" w:rsidRPr="00D60CC4" w:rsidRDefault="005B6212" w:rsidP="005B6212">
      <w:pPr>
        <w:pStyle w:val="NormalHanging12a"/>
      </w:pPr>
      <w:r w:rsidRPr="00D60CC4">
        <w:t>17.</w:t>
      </w:r>
      <w:r w:rsidRPr="00D60CC4">
        <w:tab/>
        <w:t xml:space="preserve">popiera dodanie „piątej swobody” do istniejących czterech, jak sugerowano w raporcie </w:t>
      </w:r>
      <w:proofErr w:type="spellStart"/>
      <w:r w:rsidRPr="00D60CC4">
        <w:t>Letty</w:t>
      </w:r>
      <w:proofErr w:type="spellEnd"/>
      <w:r w:rsidRPr="00D60CC4">
        <w:t>, w celu wzmocnienia badań naukowych, innowacji, wiedzy i edukacji z pożytkiem dla naukowców, innowatorów i pracowników na jednolitym rynku;</w:t>
      </w:r>
    </w:p>
    <w:p w14:paraId="60194212" w14:textId="77777777" w:rsidR="005B6212" w:rsidRPr="00D60CC4" w:rsidRDefault="005B6212" w:rsidP="005B6212">
      <w:pPr>
        <w:pStyle w:val="NormalHanging12a"/>
      </w:pPr>
      <w:r w:rsidRPr="00D60CC4">
        <w:t xml:space="preserve">18. </w:t>
      </w:r>
      <w:r w:rsidRPr="00D60CC4">
        <w:tab/>
        <w:t>wzywa Komisję do dopilnowania, aby przyszłe inicjatywy mające na celu wzmocnienie konkurencyjności UE i pogłębienie jednolitego rynku miały oparcie w środkach wzmacniających spójność gospodarczą, społeczną i terytorialną, zgodnie z zapisami traktatów; podkreśla, że mechanizmy instytucjonalne na rzecz równych szans, solidarności i zmniejszania nierówności muszą być w pełni osadzone w systemie zarządzania UE; ponawia apel o wzmocnienie wdrażania i monitorowania Europejskiego filaru praw socjalnych za pośrednictwem unijnych struktur zarządzania, a tym samym o integrację postępu społecznego jako podstawowego elementu procesu decyzyjnego UE;</w:t>
      </w:r>
    </w:p>
    <w:p w14:paraId="44088E19" w14:textId="77777777" w:rsidR="005B6212" w:rsidRPr="00D60CC4" w:rsidRDefault="005B6212" w:rsidP="005B6212">
      <w:pPr>
        <w:pStyle w:val="NormalHanging12a"/>
      </w:pPr>
      <w:r w:rsidRPr="00D60CC4">
        <w:t xml:space="preserve">19. </w:t>
      </w:r>
      <w:r w:rsidRPr="00D60CC4">
        <w:tab/>
        <w:t xml:space="preserve">potwierdza, że cele jednolitego rynku powinny być zgodne nie tylko z prawem do swobodnego przemieszczania się, ale również ze „swobodą pozostania na miejscu”, jak określono w raporcie </w:t>
      </w:r>
      <w:proofErr w:type="spellStart"/>
      <w:r w:rsidRPr="00D60CC4">
        <w:t>Letty</w:t>
      </w:r>
      <w:proofErr w:type="spellEnd"/>
      <w:r w:rsidRPr="00D60CC4">
        <w:t xml:space="preserve">; w związku z tym wzywa Komisję do przypisania </w:t>
      </w:r>
      <w:r w:rsidRPr="00D60CC4">
        <w:lastRenderedPageBreak/>
        <w:t xml:space="preserve">odpowiedzialności za „swobodę pozostania na miejscu” jednemu z komisarzy, którego zakres obowiązków obejmować będzie politykę spójności i usługi świadczone w interesie ogólnym, oraz do nawiązania zorganizowanego i stałego dialogu między komisarzem a władzami regionalnymi państw członkowskich w celu zapewnienia, aby polityka dotycząca „swobody pozostania” była starannie dostosowana do specyfiki danego regionu oraz zapewniała poszanowanie różnorodności społeczno-gospodarczej i kulturowej regionów w UE; uznaje, że wspieranie rozwoju infrastruktury, budowania społeczności, tworzenia miejsc pracy, dostępu do usług publicznych i odpowiednich warunków dla przemysłu i inwestycji ma zasadnicze znaczenie dla utrzymania prawa ludzi do pozostania w ich regionach, a jednocześnie przyczynia się do rozwoju gospodarczego i konkurencyjności UE; podkreśla znaczenie utrzymania polityki spójności jako silnej części budżetu UE, tak aby lepiej odpowiadała ona szczególnym potrzebom regionów i miast, w tym poprzez zapewnienie bardziej bezpośredniego dostępu do funduszy UE; podkreśla, że niezbędne jest, by projekty polityki spójności były bardziej skutecznie i w bardziej widoczny sposób wdrażane w terenie, co przyniesie wymierne rezultaty wzmacniające poczucie przynależności obywateli i ich poparcie dla integracji z UE; </w:t>
      </w:r>
    </w:p>
    <w:p w14:paraId="17401B98" w14:textId="77777777" w:rsidR="005B6212" w:rsidRPr="00D60CC4" w:rsidRDefault="005B6212" w:rsidP="005B6212">
      <w:pPr>
        <w:pStyle w:val="Normal12a24b"/>
        <w:ind w:left="567" w:hanging="567"/>
        <w:rPr>
          <w:bCs/>
          <w:iCs/>
        </w:rPr>
      </w:pPr>
      <w:r w:rsidRPr="00D60CC4">
        <w:t>20.</w:t>
      </w:r>
      <w:r w:rsidRPr="00D60CC4">
        <w:tab/>
        <w:t xml:space="preserve">podkreśla, że UE powinna skuteczniej działać w obszarach strategicznych, uzupełniając krajowe wysiłki; wsparciem tego działania powinno być połączenie zasobów własnych UE i skoordynowanych wkładów; działania takie wzmocniłyby konkurencyjność Europy, innowacyjność, odporność gospodarczą, spójność społeczną i terytorialną, zrównoważenie środowiskowe i energetyczne oraz bezpieczeństwo zbiorowe; w świetle ustaleń zawartych w raporcie </w:t>
      </w:r>
      <w:proofErr w:type="spellStart"/>
      <w:r w:rsidRPr="00D60CC4">
        <w:t>Draghiego</w:t>
      </w:r>
      <w:proofErr w:type="spellEnd"/>
      <w:r w:rsidRPr="00D60CC4">
        <w:t xml:space="preserve"> podkreśla potrzebę utrzymania otwartej i perspektywicznej debaty z uwzględnieniem wniosków wyciągniętych z doświadczeń związanych z </w:t>
      </w:r>
      <w:proofErr w:type="spellStart"/>
      <w:r w:rsidRPr="00D60CC4">
        <w:t>NextGenerationEU</w:t>
      </w:r>
      <w:proofErr w:type="spellEnd"/>
      <w:r w:rsidRPr="00D60CC4">
        <w:t>; podkreśla znaczenie stworzenia na szczeblu UE instrumentów i narzędzi inwestycyjnych w celu finansowania strategicznych wspólnych inwestycji w europejskie dobra i usługi publiczne, a także podkreśla znaczenie dostosowania programów finansowania w celu uwzględnienia zmieniającej się dynamiki handlu i innowacji; podkreśla, że prawdziwe nowe zasoby własne UE mają kluczowe znaczenie, aby umożliwić Parlamentowi i Radzie przyjmowanie elastycznych budżetów, a UE umożliwić bardziej autonomiczne działanie i zmniejszyć jej zależność od krajowych wkładów budżetowych; podkreśla na przykład, że mechanizm dostosowywania cen na granicach z uwzględnieniem emisji CO2 może dołączyć do nowych zasobów własnych UE, a zamysł ten cieszy się dużym poparciem wśród państw członkowskich; przypomina stanowisko Parlamentu wyrażone we wniosku w sprawie wieloletnich ram finansowych na lata 2028–2034 i dotyczące potrzeby wykroczenia poza narzuconą sobie zasadę, zgodnie z którą wielkość długoterminowego budżetu UE nie może przekraczać 1 % zagregowanego produktu narodowego brutto państw członkowskich;</w:t>
      </w:r>
    </w:p>
    <w:p w14:paraId="116F46C7" w14:textId="77777777" w:rsidR="005B6212" w:rsidRPr="00D60CC4" w:rsidRDefault="005B6212" w:rsidP="005B6212">
      <w:pPr>
        <w:pStyle w:val="Normal12a24b"/>
        <w:ind w:left="567" w:hanging="567"/>
      </w:pPr>
      <w:r w:rsidRPr="00D60CC4">
        <w:t>21.</w:t>
      </w:r>
      <w:r w:rsidRPr="00D60CC4">
        <w:tab/>
        <w:t xml:space="preserve">podkreśla, że w celu utrzymania i zwiększenia globalnej konkurencyjności UE należy uprościć budżet UE i zmniejszyć niepotrzebne obciążenia administracyjne, ułatwić beneficjentom dostęp do funduszy oraz lepiej służyć celowi zwiększenia spójności gospodarczej, społecznej i terytorialnej poprzez dopilnowanie, by finansowanie docierało do osób najbardziej potrzebujących, w szczególności małych i średnich przedsiębiorstw, społeczności lokalnych i podmiotów gospodarki społecznej, w tym na obszarach wiejskich, peryferyjnych lub znajdujących się w niekorzystnej sytuacji gospodarczej; przypomina jednak, że wysiłki na rzecz uproszczenia nie powinny naruszać podstawowych zasad leżących u podstaw unijnych wieloletnich ram </w:t>
      </w:r>
      <w:r w:rsidRPr="00D60CC4">
        <w:lastRenderedPageBreak/>
        <w:t>finansowych i ich programów ani osłabiać demokratycznej kontroli nad ich wdrażaniem; podkreśla, że uproszczeniu muszą towarzyszyć silne gwarancje równego dostępu, niedyskryminacji i skutecznej rozliczalności, przy czym Parlament musi zapewniać nadzór demokratyczny w całym cyklu finansowania;</w:t>
      </w:r>
    </w:p>
    <w:p w14:paraId="74FAE860" w14:textId="77777777" w:rsidR="005B6212" w:rsidRPr="00D60CC4" w:rsidRDefault="005B6212" w:rsidP="005B6212">
      <w:pPr>
        <w:pStyle w:val="Normal12a24b"/>
        <w:ind w:left="567" w:hanging="567"/>
        <w:rPr>
          <w:bCs/>
          <w:iCs/>
        </w:rPr>
      </w:pPr>
      <w:r w:rsidRPr="00D60CC4">
        <w:t>22.</w:t>
      </w:r>
      <w:r w:rsidRPr="00D60CC4">
        <w:tab/>
        <w:t>podkreśla, że aby osiągnąć cele UE w zakresie konkurencyjności, niezbędne jest, by włączyć cele neutralności klimatycznej i zrównoważonego rozwoju do ram instytucjonalnych i ram zarządzania UE; podkreśla, że reformy muszą być zgodne z postanowieniami traktatów, w tym art. 194 TFUE, oraz podlegać znaczącej weryfikacji ich legitymacji demokratycznej poprzez zaangażowanie Parlamentu w ich opracowywanie, finansowanie i nadzór; podkreśla, że istotne jest, by wzmocnić koordynację międzyinstytucjonalną i dopilnować, by decyzje w tej dziedzinie podlegały skutecznej kontroli parlamentarnej, dzięki czemu umocnione zostaną demokratyczne podstawy Unii;</w:t>
      </w:r>
    </w:p>
    <w:p w14:paraId="58B1B1E5" w14:textId="77777777" w:rsidR="005B6212" w:rsidRPr="00D60CC4" w:rsidRDefault="005B6212" w:rsidP="005B6212">
      <w:pPr>
        <w:pStyle w:val="Normal12a24b"/>
        <w:ind w:left="567" w:hanging="567"/>
        <w:rPr>
          <w:bCs/>
          <w:iCs/>
        </w:rPr>
      </w:pPr>
      <w:r w:rsidRPr="00D60CC4">
        <w:t>23.</w:t>
      </w:r>
      <w:r w:rsidRPr="00D60CC4">
        <w:tab/>
        <w:t xml:space="preserve">wzywa Komisję i państwa członkowskie, aby w świetle istniejących wyzwań geopolitycznych utworzyły prawdziwą europejską unię obrony i pobudziły europejskie inwestycje w przemysł obronny, w szczególności poprzez wykorzystanie prawdziwie europejskich instrumentów, z nowym finansowaniem, w połączeniu z kompleksowym programem obrony, w tym obrony przed atakami hybrydowymi, przewidując przy tym wspólne planowanie, rozwój, zamówienia publiczne i zarządzanie zdolnościami w ramach grup znacznej liczby państw członkowskich; wzywa Komisję, aby poprawiła spójność między istniejącymi i przyszłymi instrumentami, w tym na szczeblu sprawowania rządów, w celu zapewnienia skutecznej kontroli demokratycznej nad nową unią obrony; wzywa UE do przezwyciężenia fragmentacji rynku, zgodnie z zaleceniami zawartymi w raportach </w:t>
      </w:r>
      <w:proofErr w:type="spellStart"/>
      <w:r w:rsidRPr="00D60CC4">
        <w:t>Draghiego</w:t>
      </w:r>
      <w:proofErr w:type="spellEnd"/>
      <w:r w:rsidRPr="00D60CC4">
        <w:t xml:space="preserve">, </w:t>
      </w:r>
      <w:proofErr w:type="spellStart"/>
      <w:r w:rsidRPr="00D60CC4">
        <w:t>Letty</w:t>
      </w:r>
      <w:proofErr w:type="spellEnd"/>
      <w:r w:rsidRPr="00D60CC4">
        <w:t xml:space="preserve"> i </w:t>
      </w:r>
      <w:proofErr w:type="spellStart"/>
      <w:r w:rsidRPr="00D60CC4">
        <w:t>Niinistö</w:t>
      </w:r>
      <w:proofErr w:type="spellEnd"/>
      <w:r w:rsidRPr="00D60CC4">
        <w:t>, poprzez utworzenie jednolitego rynku obrony, do którego zastosowanie będą miały wiążące wspólne zasady; zauważa, że takie wspólne zasady zagwarantowałyby uczciwą konkurencję i ułatwiłyby wzajemną certyfikację produktów związanych z obronnością, a jednocześnie zapewniłyby pełną interoperacyjność i zamienność, przyniosłyby korzyści skali oraz wpłynęłyby na wzrost zdolności i zasobów; apeluje do Komisji i państw członkowskich o włączenie inwestycji obronnych do szerszej koncepcji bezpieczeństwa, która obejmowałaby również wspólne inicjatywy europejskie, w szczególności europejskie projekty wspólnego zainteresowania w dziedzinie obronności, wzmocnienie infrastruktury krytycznej, rozwijanie projektów badawczo-rozwojowych, a dzięki temu tworzenie i utrzymanie wysokiej jakości miejsc pracy; wzywa Radę Europejską, by wyraziła zgodę na uruchomienie art. 42 ust. 2 TUE w celu ustanowienia wspólnej polityki obronnej Unii; podkreśla, że nowa unia obrony ma uzupełniać, a nie zastępować NATO; odnotowuje, że państwa członkowskie rozpoczęły stopniowe określanie europejskiej polityki obronnej, a także ustanowiły Europejską Agencję Obrony (EDA) i rozpoczęły stałą współpracę strukturalną (PESCO); wzywa państwa członkowskie do kontynuowania prac nad stopniowym określaniem europejskiej unii obrony wraz ze wspólną obroną; przypomina, że ustanowienie funduszu na rozpoczęcie działalności gospodarczej, EDA i PESCO, a także wykorzystanie budżetu UE podlegają głosowaniu większością kwalifikowaną; przypomina, że zgodnie z art. 44 TUE grupa państw członkowskich może również podjąć decyzję o zastosowaniu głosowania większością kwalifikowaną;</w:t>
      </w:r>
    </w:p>
    <w:p w14:paraId="34028452" w14:textId="77777777" w:rsidR="005B6212" w:rsidRPr="00D60CC4" w:rsidRDefault="005B6212" w:rsidP="005B6212">
      <w:pPr>
        <w:pStyle w:val="NormalHanging12a"/>
      </w:pPr>
      <w:r w:rsidRPr="00D60CC4">
        <w:t xml:space="preserve">24. </w:t>
      </w:r>
      <w:r w:rsidRPr="00D60CC4">
        <w:tab/>
        <w:t xml:space="preserve">podkreśla, że wzmocnienie zarządzania AI musi opierać się na przejrzystości, ochronie praw podstawowych i ochronie interesu publicznego, zgodnie z podejściem UE opartym </w:t>
      </w:r>
      <w:r w:rsidRPr="00D60CC4">
        <w:lastRenderedPageBreak/>
        <w:t xml:space="preserve">na zasadach; wzywa Komisję do zwiększenia roli istniejącego Europejskiego Urzędu ds. AI; z zadowoleniem przyjmuje Plan działania na rzecz kontynentu sztucznej inteligencji w celu rozwoju unijnego „modelu sztucznej inteligencji”, opartego na współpracy między podmiotami publicznymi i prywatnymi; </w:t>
      </w:r>
    </w:p>
    <w:p w14:paraId="348D8794" w14:textId="77777777" w:rsidR="003E716D" w:rsidRDefault="003E716D" w:rsidP="003E716D">
      <w:pPr>
        <w:pStyle w:val="NormalHanging12a"/>
        <w:ind w:left="0" w:firstLine="0"/>
        <w:jc w:val="center"/>
      </w:pPr>
      <w:r>
        <w:t>°</w:t>
      </w:r>
    </w:p>
    <w:p w14:paraId="6299BBA6" w14:textId="77777777" w:rsidR="003E716D" w:rsidRDefault="003E716D" w:rsidP="003E716D">
      <w:pPr>
        <w:pStyle w:val="NormalHanging12a"/>
        <w:ind w:left="0" w:firstLine="0"/>
        <w:jc w:val="center"/>
      </w:pPr>
      <w:r>
        <w:t>°     °</w:t>
      </w:r>
    </w:p>
    <w:p w14:paraId="5F9B075E" w14:textId="313AB2BA" w:rsidR="00D60CC4" w:rsidRPr="00D60CC4" w:rsidRDefault="00D53D76" w:rsidP="003E716D">
      <w:pPr>
        <w:pStyle w:val="NormalHanging12a"/>
      </w:pPr>
      <w:r>
        <w:t>2</w:t>
      </w:r>
      <w:r w:rsidR="005B6212" w:rsidRPr="00D60CC4">
        <w:t>5.</w:t>
      </w:r>
      <w:r w:rsidR="005B6212" w:rsidRPr="00D60CC4">
        <w:tab/>
        <w:t>zobowiązuje swoją przewodniczącą do przekazania niniejszej rezolucji Radzie, Komisji, Radzie Europejskiej oraz rządom i parlamentom państw członkowskich.</w:t>
      </w:r>
    </w:p>
    <w:p w14:paraId="4F76EB1B" w14:textId="144ABA59" w:rsidR="00E365E1" w:rsidRPr="00D60CC4" w:rsidRDefault="00E365E1" w:rsidP="00E87892"/>
    <w:sectPr w:rsidR="00E365E1" w:rsidRPr="00D60CC4" w:rsidSect="00D60C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6D597" w14:textId="77777777" w:rsidR="00E87892" w:rsidRPr="00D60CC4" w:rsidRDefault="00E87892">
      <w:r w:rsidRPr="00D60CC4">
        <w:separator/>
      </w:r>
    </w:p>
  </w:endnote>
  <w:endnote w:type="continuationSeparator" w:id="0">
    <w:p w14:paraId="62E9C3C4" w14:textId="77777777" w:rsidR="00E87892" w:rsidRPr="00D60CC4" w:rsidRDefault="00E87892">
      <w:r w:rsidRPr="00D60C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89E37" w14:textId="77777777" w:rsidR="00064002" w:rsidRPr="00D60CC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83993" w14:textId="77777777" w:rsidR="00064002" w:rsidRPr="00D60CC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9F580" w14:textId="77777777" w:rsidR="00064002" w:rsidRPr="00D60CC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92336" w14:textId="77777777" w:rsidR="00E87892" w:rsidRPr="00D60CC4" w:rsidRDefault="00E87892">
      <w:r w:rsidRPr="00D60CC4">
        <w:separator/>
      </w:r>
    </w:p>
  </w:footnote>
  <w:footnote w:type="continuationSeparator" w:id="0">
    <w:p w14:paraId="5BC09D43" w14:textId="77777777" w:rsidR="00E87892" w:rsidRPr="00D60CC4" w:rsidRDefault="00E87892">
      <w:r w:rsidRPr="00D60CC4">
        <w:continuationSeparator/>
      </w:r>
    </w:p>
  </w:footnote>
  <w:footnote w:id="1">
    <w:p w14:paraId="337B3503" w14:textId="72C5DA15" w:rsidR="005B6212" w:rsidRPr="00D60CC4" w:rsidRDefault="005B6212" w:rsidP="00D60CC4">
      <w:pPr>
        <w:pStyle w:val="FootnoteText"/>
        <w:ind w:left="567" w:hanging="567"/>
        <w:rPr>
          <w:sz w:val="24"/>
          <w:lang w:val="pl-PL"/>
        </w:rPr>
      </w:pPr>
      <w:r w:rsidRPr="00D60CC4">
        <w:rPr>
          <w:rStyle w:val="FootnoteReference"/>
          <w:sz w:val="24"/>
          <w:lang w:val="pl-PL"/>
        </w:rPr>
        <w:footnoteRef/>
      </w:r>
      <w:r w:rsidR="00D60CC4" w:rsidRPr="00D60CC4">
        <w:rPr>
          <w:sz w:val="24"/>
          <w:lang w:val="pl-PL"/>
        </w:rPr>
        <w:t xml:space="preserve"> </w:t>
      </w:r>
      <w:r w:rsidR="00D60CC4" w:rsidRPr="00D60CC4">
        <w:rPr>
          <w:sz w:val="24"/>
          <w:lang w:val="pl-PL"/>
        </w:rPr>
        <w:tab/>
      </w:r>
      <w:r w:rsidRPr="00D60CC4">
        <w:rPr>
          <w:sz w:val="24"/>
          <w:lang w:val="pl-PL"/>
        </w:rPr>
        <w:t>Dz.U. C 465 z 6.12.2022, s. 109.</w:t>
      </w:r>
    </w:p>
  </w:footnote>
  <w:footnote w:id="2">
    <w:p w14:paraId="18AD7DBF" w14:textId="2B7350E3" w:rsidR="005B6212" w:rsidRPr="00D60CC4" w:rsidRDefault="005B6212" w:rsidP="00D60CC4">
      <w:pPr>
        <w:pStyle w:val="FootnoteText"/>
        <w:ind w:left="567" w:hanging="567"/>
        <w:rPr>
          <w:sz w:val="24"/>
          <w:lang w:val="pl-PL"/>
        </w:rPr>
      </w:pPr>
      <w:r w:rsidRPr="00D60CC4">
        <w:rPr>
          <w:rStyle w:val="FootnoteReference"/>
          <w:sz w:val="24"/>
          <w:lang w:val="pl-PL"/>
        </w:rPr>
        <w:footnoteRef/>
      </w:r>
      <w:r w:rsidR="00D60CC4" w:rsidRPr="00D60CC4">
        <w:rPr>
          <w:sz w:val="24"/>
          <w:lang w:val="pl-PL"/>
        </w:rPr>
        <w:t xml:space="preserve"> </w:t>
      </w:r>
      <w:r w:rsidR="00D60CC4" w:rsidRPr="00D60CC4">
        <w:rPr>
          <w:sz w:val="24"/>
          <w:lang w:val="pl-PL"/>
        </w:rPr>
        <w:tab/>
      </w:r>
      <w:r w:rsidRPr="00D60CC4">
        <w:rPr>
          <w:sz w:val="24"/>
          <w:lang w:val="pl-PL"/>
        </w:rPr>
        <w:t>Dz.U. C 493 z 27.12.2022, s. 130.</w:t>
      </w:r>
    </w:p>
  </w:footnote>
  <w:footnote w:id="3">
    <w:p w14:paraId="52BDD111" w14:textId="5AD05001" w:rsidR="005B6212" w:rsidRPr="003E716D" w:rsidRDefault="005B6212" w:rsidP="00D60CC4">
      <w:pPr>
        <w:pStyle w:val="FootnoteText"/>
        <w:ind w:left="567" w:hanging="567"/>
        <w:rPr>
          <w:sz w:val="24"/>
          <w:lang w:val="fi-FI"/>
        </w:rPr>
      </w:pPr>
      <w:r w:rsidRPr="00D60CC4">
        <w:rPr>
          <w:rStyle w:val="FootnoteReference"/>
          <w:sz w:val="24"/>
          <w:lang w:val="pl-PL"/>
        </w:rPr>
        <w:footnoteRef/>
      </w:r>
      <w:r w:rsidR="00D60CC4" w:rsidRPr="003E716D">
        <w:rPr>
          <w:sz w:val="24"/>
          <w:lang w:val="fi-FI"/>
        </w:rPr>
        <w:t xml:space="preserve"> </w:t>
      </w:r>
      <w:r w:rsidR="00D60CC4" w:rsidRPr="003E716D">
        <w:rPr>
          <w:sz w:val="24"/>
          <w:lang w:val="fi-FI"/>
        </w:rPr>
        <w:tab/>
      </w:r>
      <w:r w:rsidRPr="003E716D">
        <w:rPr>
          <w:sz w:val="24"/>
          <w:lang w:val="fi-FI"/>
        </w:rPr>
        <w:t xml:space="preserve">Dz.U. C, C/2024/4216, 24.7.2024, ELI: </w:t>
      </w:r>
      <w:hyperlink r:id="rId1" w:history="1">
        <w:r w:rsidRPr="003E716D">
          <w:rPr>
            <w:rStyle w:val="Hyperlink"/>
            <w:sz w:val="24"/>
            <w:lang w:val="fi-FI"/>
          </w:rPr>
          <w:t>http://data.europa.eu/eli/C/2024/4216/oj</w:t>
        </w:r>
      </w:hyperlink>
      <w:r w:rsidRPr="003E716D">
        <w:rPr>
          <w:sz w:val="24"/>
          <w:lang w:val="fi-FI"/>
        </w:rPr>
        <w:t>.</w:t>
      </w:r>
    </w:p>
  </w:footnote>
  <w:footnote w:id="4">
    <w:p w14:paraId="570A5A5B" w14:textId="284F4255" w:rsidR="005B6212" w:rsidRPr="003E716D" w:rsidRDefault="005B6212" w:rsidP="00D60CC4">
      <w:pPr>
        <w:pStyle w:val="FootnoteText"/>
        <w:ind w:left="567" w:hanging="567"/>
        <w:rPr>
          <w:sz w:val="24"/>
          <w:lang w:val="fi-FI"/>
        </w:rPr>
      </w:pPr>
      <w:r w:rsidRPr="00D60CC4">
        <w:rPr>
          <w:rStyle w:val="FootnoteReference"/>
          <w:sz w:val="24"/>
          <w:lang w:val="pl-PL"/>
        </w:rPr>
        <w:footnoteRef/>
      </w:r>
      <w:r w:rsidR="00D60CC4" w:rsidRPr="003E716D">
        <w:rPr>
          <w:sz w:val="24"/>
          <w:lang w:val="fi-FI"/>
        </w:rPr>
        <w:t xml:space="preserve"> </w:t>
      </w:r>
      <w:r w:rsidR="00D60CC4" w:rsidRPr="003E716D">
        <w:rPr>
          <w:sz w:val="24"/>
          <w:lang w:val="fi-FI"/>
        </w:rPr>
        <w:tab/>
      </w:r>
      <w:r w:rsidRPr="003E716D">
        <w:rPr>
          <w:sz w:val="24"/>
          <w:lang w:val="fi-FI"/>
        </w:rPr>
        <w:t xml:space="preserve">Dz.U. C, C/2024/3996, 17.7.2024, ELI: </w:t>
      </w:r>
      <w:hyperlink r:id="rId2" w:history="1">
        <w:r w:rsidRPr="003E716D">
          <w:rPr>
            <w:rStyle w:val="Hyperlink"/>
            <w:sz w:val="24"/>
            <w:lang w:val="fi-FI"/>
          </w:rPr>
          <w:t>http://data.europa.eu/eli/C/2024/3996/oj</w:t>
        </w:r>
      </w:hyperlink>
      <w:r w:rsidRPr="003E716D">
        <w:rPr>
          <w:sz w:val="24"/>
          <w:lang w:val="fi-FI"/>
        </w:rPr>
        <w:t>.</w:t>
      </w:r>
    </w:p>
  </w:footnote>
  <w:footnote w:id="5">
    <w:p w14:paraId="43394573" w14:textId="22C1AD2A" w:rsidR="005B6212" w:rsidRPr="00D60CC4" w:rsidRDefault="005B6212" w:rsidP="00D60CC4">
      <w:pPr>
        <w:pStyle w:val="FootnoteText"/>
        <w:ind w:left="567" w:hanging="567"/>
        <w:rPr>
          <w:sz w:val="24"/>
          <w:lang w:val="pl-PL"/>
        </w:rPr>
      </w:pPr>
      <w:r w:rsidRPr="00D60CC4">
        <w:rPr>
          <w:rStyle w:val="FootnoteReference"/>
          <w:sz w:val="24"/>
          <w:lang w:val="pl-PL"/>
        </w:rPr>
        <w:footnoteRef/>
      </w:r>
      <w:r w:rsidR="00D60CC4" w:rsidRPr="00D60CC4">
        <w:rPr>
          <w:sz w:val="24"/>
          <w:lang w:val="pl-PL"/>
        </w:rPr>
        <w:t xml:space="preserve"> </w:t>
      </w:r>
      <w:r w:rsidR="00D60CC4" w:rsidRPr="00D60CC4">
        <w:rPr>
          <w:sz w:val="24"/>
          <w:lang w:val="pl-PL"/>
        </w:rPr>
        <w:tab/>
      </w:r>
      <w:r w:rsidRPr="00D60CC4">
        <w:rPr>
          <w:sz w:val="24"/>
          <w:lang w:val="pl-PL"/>
        </w:rPr>
        <w:t>Teksty przyjęte, P10_TA(2025)0090.</w:t>
      </w:r>
    </w:p>
  </w:footnote>
  <w:footnote w:id="6">
    <w:p w14:paraId="072A384E" w14:textId="1CC69662" w:rsidR="005B6212" w:rsidRPr="001B555E" w:rsidRDefault="005B6212" w:rsidP="00D60CC4">
      <w:pPr>
        <w:pStyle w:val="FootnoteText"/>
        <w:ind w:left="567" w:hanging="567"/>
        <w:rPr>
          <w:sz w:val="24"/>
          <w:lang w:val="fi-FI"/>
        </w:rPr>
      </w:pPr>
      <w:r w:rsidRPr="00D60CC4">
        <w:rPr>
          <w:rStyle w:val="FootnoteReference"/>
          <w:sz w:val="24"/>
          <w:lang w:val="pl-PL"/>
        </w:rPr>
        <w:footnoteRef/>
      </w:r>
      <w:r w:rsidR="00D60CC4" w:rsidRPr="001B555E">
        <w:rPr>
          <w:sz w:val="24"/>
          <w:lang w:val="fi-FI"/>
        </w:rPr>
        <w:t xml:space="preserve"> </w:t>
      </w:r>
      <w:r w:rsidR="00D60CC4" w:rsidRPr="001B555E">
        <w:rPr>
          <w:sz w:val="24"/>
          <w:lang w:val="fi-FI"/>
        </w:rPr>
        <w:tab/>
      </w:r>
      <w:r w:rsidRPr="001B555E">
        <w:rPr>
          <w:sz w:val="24"/>
          <w:lang w:val="fi-FI"/>
        </w:rPr>
        <w:t xml:space="preserve">Dz.U. C, C/2025/3151, 20.6.2025, ELI: </w:t>
      </w:r>
      <w:hyperlink r:id="rId3" w:history="1">
        <w:r w:rsidRPr="001B555E">
          <w:rPr>
            <w:rStyle w:val="Hyperlink"/>
            <w:sz w:val="24"/>
            <w:lang w:val="fi-FI"/>
          </w:rPr>
          <w:t>http://data.europa.eu/eli/C/2025/3151/oj</w:t>
        </w:r>
      </w:hyperlink>
      <w:r w:rsidRPr="001B555E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5C514" w14:textId="77777777" w:rsidR="00064002" w:rsidRPr="00D60CC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567F2" w14:textId="77777777" w:rsidR="00064002" w:rsidRPr="00D60CC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0B1FE" w14:textId="77777777" w:rsidR="00064002" w:rsidRPr="00D60CC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74308189">
    <w:abstractNumId w:val="9"/>
  </w:num>
  <w:num w:numId="2" w16cid:durableId="124351984">
    <w:abstractNumId w:val="9"/>
  </w:num>
  <w:num w:numId="3" w16cid:durableId="341594433">
    <w:abstractNumId w:val="7"/>
  </w:num>
  <w:num w:numId="4" w16cid:durableId="1539050821">
    <w:abstractNumId w:val="7"/>
  </w:num>
  <w:num w:numId="5" w16cid:durableId="1117675634">
    <w:abstractNumId w:val="6"/>
  </w:num>
  <w:num w:numId="6" w16cid:durableId="129179834">
    <w:abstractNumId w:val="6"/>
  </w:num>
  <w:num w:numId="7" w16cid:durableId="520508497">
    <w:abstractNumId w:val="5"/>
  </w:num>
  <w:num w:numId="8" w16cid:durableId="146173765">
    <w:abstractNumId w:val="5"/>
  </w:num>
  <w:num w:numId="9" w16cid:durableId="690422551">
    <w:abstractNumId w:val="4"/>
  </w:num>
  <w:num w:numId="10" w16cid:durableId="631836795">
    <w:abstractNumId w:val="4"/>
  </w:num>
  <w:num w:numId="11" w16cid:durableId="1058699956">
    <w:abstractNumId w:val="8"/>
  </w:num>
  <w:num w:numId="12" w16cid:durableId="1266032723">
    <w:abstractNumId w:val="8"/>
  </w:num>
  <w:num w:numId="13" w16cid:durableId="405996518">
    <w:abstractNumId w:val="3"/>
  </w:num>
  <w:num w:numId="14" w16cid:durableId="808087934">
    <w:abstractNumId w:val="3"/>
  </w:num>
  <w:num w:numId="15" w16cid:durableId="822042473">
    <w:abstractNumId w:val="2"/>
  </w:num>
  <w:num w:numId="16" w16cid:durableId="1361278228">
    <w:abstractNumId w:val="2"/>
  </w:num>
  <w:num w:numId="17" w16cid:durableId="1804808412">
    <w:abstractNumId w:val="1"/>
  </w:num>
  <w:num w:numId="18" w16cid:durableId="825437048">
    <w:abstractNumId w:val="1"/>
  </w:num>
  <w:num w:numId="19" w16cid:durableId="1383287869">
    <w:abstractNumId w:val="0"/>
  </w:num>
  <w:num w:numId="20" w16cid:durableId="1362626316">
    <w:abstractNumId w:val="0"/>
  </w:num>
  <w:num w:numId="21" w16cid:durableId="1712993658">
    <w:abstractNumId w:val="9"/>
  </w:num>
  <w:num w:numId="22" w16cid:durableId="1218319032">
    <w:abstractNumId w:val="7"/>
  </w:num>
  <w:num w:numId="23" w16cid:durableId="125591700">
    <w:abstractNumId w:val="6"/>
  </w:num>
  <w:num w:numId="24" w16cid:durableId="2025133592">
    <w:abstractNumId w:val="5"/>
  </w:num>
  <w:num w:numId="25" w16cid:durableId="595023447">
    <w:abstractNumId w:val="4"/>
  </w:num>
  <w:num w:numId="26" w16cid:durableId="763115827">
    <w:abstractNumId w:val="8"/>
  </w:num>
  <w:num w:numId="27" w16cid:durableId="1014307409">
    <w:abstractNumId w:val="3"/>
  </w:num>
  <w:num w:numId="28" w16cid:durableId="1207059845">
    <w:abstractNumId w:val="2"/>
  </w:num>
  <w:num w:numId="29" w16cid:durableId="928121438">
    <w:abstractNumId w:val="1"/>
  </w:num>
  <w:num w:numId="30" w16cid:durableId="443229151">
    <w:abstractNumId w:val="0"/>
  </w:num>
  <w:num w:numId="31" w16cid:durableId="1214342925">
    <w:abstractNumId w:val="9"/>
  </w:num>
  <w:num w:numId="32" w16cid:durableId="1132673842">
    <w:abstractNumId w:val="7"/>
  </w:num>
  <w:num w:numId="33" w16cid:durableId="1866358131">
    <w:abstractNumId w:val="6"/>
  </w:num>
  <w:num w:numId="34" w16cid:durableId="843521435">
    <w:abstractNumId w:val="5"/>
  </w:num>
  <w:num w:numId="35" w16cid:durableId="1007631238">
    <w:abstractNumId w:val="4"/>
  </w:num>
  <w:num w:numId="36" w16cid:durableId="1625504204">
    <w:abstractNumId w:val="8"/>
  </w:num>
  <w:num w:numId="37" w16cid:durableId="1649093972">
    <w:abstractNumId w:val="3"/>
  </w:num>
  <w:num w:numId="38" w16cid:durableId="640110774">
    <w:abstractNumId w:val="2"/>
  </w:num>
  <w:num w:numId="39" w16cid:durableId="1121218286">
    <w:abstractNumId w:val="1"/>
  </w:num>
  <w:num w:numId="40" w16cid:durableId="1735666960">
    <w:abstractNumId w:val="0"/>
  </w:num>
  <w:num w:numId="41" w16cid:durableId="300160106">
    <w:abstractNumId w:val="10"/>
  </w:num>
  <w:num w:numId="42" w16cid:durableId="977298094">
    <w:abstractNumId w:val="10"/>
  </w:num>
  <w:num w:numId="43" w16cid:durableId="2062943366">
    <w:abstractNumId w:val="10"/>
  </w:num>
  <w:num w:numId="44" w16cid:durableId="14506665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6/2025"/>
    <w:docVar w:name="dvlangue" w:val="PL"/>
    <w:docVar w:name="dvnumam" w:val="0"/>
    <w:docVar w:name="dvpe" w:val="770.278"/>
    <w:docVar w:name="dvrapporteur" w:val="Sprawozdawca: "/>
    <w:docVar w:name="dvtitre" w:val="Rezolucja ustawodawcza Parlamentu Europejskiego z dnia  2025 r. Aspekty instytucjonalne raportu Draghiego na temat przyszłości europejskiej konkurencyjności (raport Draghiego)(2025/2013(INI))"/>
  </w:docVars>
  <w:rsids>
    <w:rsidRoot w:val="00E87892"/>
    <w:rsid w:val="00002272"/>
    <w:rsid w:val="00064002"/>
    <w:rsid w:val="000677B9"/>
    <w:rsid w:val="000831BA"/>
    <w:rsid w:val="000A42CC"/>
    <w:rsid w:val="000E7DD9"/>
    <w:rsid w:val="0010095E"/>
    <w:rsid w:val="00125B37"/>
    <w:rsid w:val="00157649"/>
    <w:rsid w:val="00187494"/>
    <w:rsid w:val="001B555E"/>
    <w:rsid w:val="001F32AE"/>
    <w:rsid w:val="002767FF"/>
    <w:rsid w:val="002B18FE"/>
    <w:rsid w:val="002B5493"/>
    <w:rsid w:val="00343214"/>
    <w:rsid w:val="00361C00"/>
    <w:rsid w:val="00395FA1"/>
    <w:rsid w:val="003E15D4"/>
    <w:rsid w:val="003E716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21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12EC"/>
    <w:rsid w:val="00A1687D"/>
    <w:rsid w:val="00A43E52"/>
    <w:rsid w:val="00A4678D"/>
    <w:rsid w:val="00A5445D"/>
    <w:rsid w:val="00A778C7"/>
    <w:rsid w:val="00A878E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5F71"/>
    <w:rsid w:val="00D53D76"/>
    <w:rsid w:val="00D56C11"/>
    <w:rsid w:val="00D60CC4"/>
    <w:rsid w:val="00D834A0"/>
    <w:rsid w:val="00D872DF"/>
    <w:rsid w:val="00D91E21"/>
    <w:rsid w:val="00DA7FCD"/>
    <w:rsid w:val="00E365E1"/>
    <w:rsid w:val="00E820A4"/>
    <w:rsid w:val="00E8789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BB669E"/>
  <w15:chartTrackingRefBased/>
  <w15:docId w15:val="{98C87C84-18F1-414C-A6FB-286BC95C8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B6212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5B6212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5B6212"/>
    <w:rPr>
      <w:b/>
      <w:i/>
      <w:u w:val="none"/>
    </w:rPr>
  </w:style>
  <w:style w:type="character" w:customStyle="1" w:styleId="Italic">
    <w:name w:val="Italic"/>
    <w:uiPriority w:val="1"/>
    <w:rsid w:val="005B6212"/>
    <w:rPr>
      <w:i/>
    </w:rPr>
  </w:style>
  <w:style w:type="paragraph" w:customStyle="1" w:styleId="Normal12a24b">
    <w:name w:val="Normal12a24b"/>
    <w:basedOn w:val="Normal"/>
    <w:rsid w:val="005B6212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5B62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151/oj" TargetMode="External"/><Relationship Id="rId2" Type="http://schemas.openxmlformats.org/officeDocument/2006/relationships/hyperlink" Target="http://data.europa.eu/eli/C/2024/3996/oj" TargetMode="External"/><Relationship Id="rId1" Type="http://schemas.openxmlformats.org/officeDocument/2006/relationships/hyperlink" Target="http://data.europa.eu/eli/C/2024/421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4108</Words>
  <Characters>27959</Characters>
  <Application>Microsoft Office Word</Application>
  <DocSecurity>0</DocSecurity>
  <Lines>232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2026-01-21T09:09:00Z</dcterms:created>
  <dcterms:modified xsi:type="dcterms:W3CDTF">2026-01-21T09:09:00Z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A10-0196/2025</vt:lpwstr>
  </property>
  <property fmtid="{D5CDD505-2E9C-101B-9397-08002B2CF9AE}" pid="4" name="&lt;Type&gt;">
    <vt:lpwstr>RR</vt:lpwstr>
  </property>
</Properties>
</file>