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27C6" w14:paraId="6D9050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C7957A" w14:textId="77777777" w:rsidR="00751A4A" w:rsidRPr="008527C6" w:rsidRDefault="00997FCE" w:rsidP="0010095E">
            <w:pPr>
              <w:pStyle w:val="EPName"/>
            </w:pPr>
            <w:r w:rsidRPr="008527C6">
              <w:t xml:space="preserve">Parlamento </w:t>
            </w:r>
            <w:proofErr w:type="gramStart"/>
            <w:r w:rsidRPr="008527C6">
              <w:t>Europeu</w:t>
            </w:r>
            <w:proofErr w:type="gramEnd"/>
          </w:p>
          <w:p w14:paraId="54BE1FCB" w14:textId="77777777" w:rsidR="00751A4A" w:rsidRPr="008527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27C6">
              <w:t>2024</w:t>
            </w:r>
            <w:r w:rsidR="00817416" w:rsidRPr="008527C6">
              <w:t>-202</w:t>
            </w:r>
            <w:r w:rsidRPr="008527C6">
              <w:t>9</w:t>
            </w:r>
          </w:p>
        </w:tc>
        <w:tc>
          <w:tcPr>
            <w:tcW w:w="2268" w:type="dxa"/>
            <w:shd w:val="clear" w:color="auto" w:fill="auto"/>
          </w:tcPr>
          <w:p w14:paraId="1CD68A9C" w14:textId="77777777" w:rsidR="00751A4A" w:rsidRPr="008527C6" w:rsidRDefault="00187494" w:rsidP="0010095E">
            <w:pPr>
              <w:pStyle w:val="EPLogo"/>
            </w:pPr>
            <w:r w:rsidRPr="008527C6">
              <w:rPr>
                <w:noProof/>
                <w:lang w:eastAsia="ja-JP"/>
              </w:rPr>
              <w:drawing>
                <wp:inline distT="0" distB="0" distL="0" distR="0" wp14:anchorId="1F58F0C0" wp14:editId="3218B1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73B3B2" w14:textId="77777777" w:rsidR="00D058B8" w:rsidRPr="008527C6" w:rsidRDefault="00D058B8" w:rsidP="004C5D52">
      <w:pPr>
        <w:pStyle w:val="LineTop"/>
      </w:pPr>
    </w:p>
    <w:p w14:paraId="75C18C00" w14:textId="77777777" w:rsidR="00680577" w:rsidRPr="008527C6" w:rsidRDefault="00997FCE" w:rsidP="00680577">
      <w:pPr>
        <w:pStyle w:val="EPBodyTA1"/>
      </w:pPr>
      <w:r w:rsidRPr="008527C6">
        <w:t>TEXTOS APROVADOS</w:t>
      </w:r>
    </w:p>
    <w:p w14:paraId="1D24E220" w14:textId="77777777" w:rsidR="00D058B8" w:rsidRPr="008527C6" w:rsidRDefault="00D058B8" w:rsidP="00D058B8">
      <w:pPr>
        <w:pStyle w:val="LineBottom"/>
      </w:pPr>
    </w:p>
    <w:p w14:paraId="2B039E7F" w14:textId="19AF9981" w:rsidR="00997FCE" w:rsidRPr="008527C6" w:rsidRDefault="00997FCE" w:rsidP="00997FCE">
      <w:pPr>
        <w:pStyle w:val="ATHeading1"/>
      </w:pPr>
      <w:bookmarkStart w:id="0" w:name="TANumber"/>
      <w:r w:rsidRPr="008527C6">
        <w:t>P10_TA(2025)0</w:t>
      </w:r>
      <w:r w:rsidR="008527C6" w:rsidRPr="008527C6">
        <w:t>285</w:t>
      </w:r>
      <w:bookmarkEnd w:id="0"/>
    </w:p>
    <w:p w14:paraId="44E442CE" w14:textId="77777777" w:rsidR="00997FCE" w:rsidRPr="008527C6" w:rsidRDefault="00997FCE" w:rsidP="00997FCE">
      <w:pPr>
        <w:pStyle w:val="ATHeading2"/>
      </w:pPr>
      <w:bookmarkStart w:id="1" w:name="title"/>
      <w:r w:rsidRPr="008527C6">
        <w:t xml:space="preserve">Aspetos institucionais do Relatório sobre o Futuro da Competitividade Europeia (Relatório </w:t>
      </w:r>
      <w:proofErr w:type="spellStart"/>
      <w:r w:rsidRPr="008527C6">
        <w:t>Draghi</w:t>
      </w:r>
      <w:proofErr w:type="spellEnd"/>
      <w:r w:rsidRPr="008527C6">
        <w:t>)</w:t>
      </w:r>
      <w:bookmarkEnd w:id="1"/>
    </w:p>
    <w:p w14:paraId="03E3BC6B" w14:textId="77777777" w:rsidR="00997FCE" w:rsidRPr="008527C6" w:rsidRDefault="00997FCE" w:rsidP="00997FCE">
      <w:pPr>
        <w:rPr>
          <w:i/>
          <w:vanish/>
        </w:rPr>
      </w:pPr>
      <w:r w:rsidRPr="008527C6">
        <w:rPr>
          <w:i/>
        </w:rPr>
        <w:fldChar w:fldCharType="begin"/>
      </w:r>
      <w:r w:rsidRPr="008527C6">
        <w:rPr>
          <w:i/>
        </w:rPr>
        <w:instrText xml:space="preserve"> TC"(</w:instrText>
      </w:r>
      <w:bookmarkStart w:id="2" w:name="DocNumber"/>
      <w:r w:rsidRPr="008527C6">
        <w:rPr>
          <w:i/>
        </w:rPr>
        <w:instrText>A10-0196/2025</w:instrText>
      </w:r>
      <w:bookmarkEnd w:id="2"/>
      <w:r w:rsidRPr="008527C6">
        <w:rPr>
          <w:i/>
        </w:rPr>
        <w:instrText xml:space="preserve"> - Relator: Brando </w:instrText>
      </w:r>
      <w:proofErr w:type="spellStart"/>
      <w:r w:rsidRPr="008527C6">
        <w:rPr>
          <w:i/>
        </w:rPr>
        <w:instrText>Benifei</w:instrText>
      </w:r>
      <w:proofErr w:type="spellEnd"/>
      <w:r w:rsidRPr="008527C6">
        <w:rPr>
          <w:i/>
        </w:rPr>
        <w:instrText xml:space="preserve">)"\l3 \n&gt; \* MERGEFORMAT </w:instrText>
      </w:r>
      <w:r w:rsidRPr="008527C6">
        <w:rPr>
          <w:i/>
        </w:rPr>
        <w:fldChar w:fldCharType="end"/>
      </w:r>
    </w:p>
    <w:p w14:paraId="52C017B5" w14:textId="77777777" w:rsidR="00997FCE" w:rsidRPr="008527C6" w:rsidRDefault="00997FCE" w:rsidP="00997FCE">
      <w:pPr>
        <w:rPr>
          <w:vanish/>
        </w:rPr>
      </w:pPr>
      <w:bookmarkStart w:id="3" w:name="Commission"/>
      <w:r w:rsidRPr="008527C6">
        <w:rPr>
          <w:vanish/>
        </w:rPr>
        <w:t>Comissão dos Assuntos Constitucionais</w:t>
      </w:r>
      <w:bookmarkEnd w:id="3"/>
    </w:p>
    <w:p w14:paraId="2E5A557E" w14:textId="77777777" w:rsidR="00997FCE" w:rsidRPr="008527C6" w:rsidRDefault="00997FCE" w:rsidP="00997FCE">
      <w:pPr>
        <w:rPr>
          <w:vanish/>
        </w:rPr>
      </w:pPr>
      <w:bookmarkStart w:id="4" w:name="PE"/>
      <w:r w:rsidRPr="008527C6">
        <w:rPr>
          <w:vanish/>
        </w:rPr>
        <w:t>PE770.278</w:t>
      </w:r>
      <w:bookmarkEnd w:id="4"/>
    </w:p>
    <w:p w14:paraId="2BEA26E8" w14:textId="21DBC017" w:rsidR="00997FCE" w:rsidRPr="008527C6" w:rsidRDefault="00997FCE" w:rsidP="00997FCE">
      <w:pPr>
        <w:pStyle w:val="ATHeading3"/>
      </w:pPr>
      <w:bookmarkStart w:id="5" w:name="Sujet"/>
      <w:r w:rsidRPr="008527C6">
        <w:t xml:space="preserve">Resolução do Parlamento Europeu, de </w:t>
      </w:r>
      <w:r w:rsidR="003F7526" w:rsidRPr="008527C6">
        <w:t xml:space="preserve">25 </w:t>
      </w:r>
      <w:r w:rsidRPr="008527C6">
        <w:t xml:space="preserve">de </w:t>
      </w:r>
      <w:r w:rsidR="003F7526" w:rsidRPr="008527C6">
        <w:t xml:space="preserve">novembro </w:t>
      </w:r>
      <w:r w:rsidRPr="008527C6">
        <w:t xml:space="preserve">de 2025, sobre os aspetos institucionais do Relatório sobre o Futuro da Competitividade Europeia (Relatório </w:t>
      </w:r>
      <w:proofErr w:type="spellStart"/>
      <w:r w:rsidRPr="008527C6">
        <w:t>Draghi</w:t>
      </w:r>
      <w:proofErr w:type="spellEnd"/>
      <w:r w:rsidRPr="008527C6">
        <w:t>)</w:t>
      </w:r>
      <w:bookmarkEnd w:id="5"/>
      <w:r w:rsidRPr="008527C6">
        <w:t xml:space="preserve"> </w:t>
      </w:r>
      <w:bookmarkStart w:id="6" w:name="References"/>
      <w:r w:rsidRPr="008527C6">
        <w:t>(2025/2013(INI))</w:t>
      </w:r>
      <w:bookmarkEnd w:id="6"/>
    </w:p>
    <w:p w14:paraId="71968A2F" w14:textId="77777777" w:rsidR="00D52DC3" w:rsidRPr="008527C6" w:rsidRDefault="00D52DC3" w:rsidP="00D52DC3">
      <w:pPr>
        <w:pStyle w:val="EPComma"/>
      </w:pPr>
      <w:r w:rsidRPr="008527C6">
        <w:rPr>
          <w:rStyle w:val="Italic"/>
        </w:rPr>
        <w:t>O Parlamento Europeu</w:t>
      </w:r>
      <w:r w:rsidRPr="008527C6">
        <w:t>,</w:t>
      </w:r>
    </w:p>
    <w:p w14:paraId="37401E71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 xml:space="preserve">Tendo em conta o relatório de </w:t>
      </w:r>
      <w:proofErr w:type="spellStart"/>
      <w:r w:rsidRPr="008527C6">
        <w:rPr>
          <w:szCs w:val="24"/>
        </w:rPr>
        <w:t>Mario</w:t>
      </w:r>
      <w:proofErr w:type="spellEnd"/>
      <w:r w:rsidRPr="008527C6">
        <w:rPr>
          <w:szCs w:val="24"/>
        </w:rPr>
        <w:t> 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>, de 9 de setembro de 2024, intitulado «</w:t>
      </w:r>
      <w:proofErr w:type="spellStart"/>
      <w:r w:rsidRPr="008527C6">
        <w:rPr>
          <w:szCs w:val="24"/>
        </w:rPr>
        <w:t>The</w:t>
      </w:r>
      <w:proofErr w:type="spellEnd"/>
      <w:r w:rsidRPr="008527C6">
        <w:rPr>
          <w:szCs w:val="24"/>
        </w:rPr>
        <w:t xml:space="preserve"> future </w:t>
      </w:r>
      <w:proofErr w:type="spellStart"/>
      <w:r w:rsidRPr="008527C6">
        <w:rPr>
          <w:szCs w:val="24"/>
        </w:rPr>
        <w:t>of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European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competitiveness</w:t>
      </w:r>
      <w:proofErr w:type="spellEnd"/>
      <w:r w:rsidRPr="008527C6">
        <w:rPr>
          <w:szCs w:val="24"/>
        </w:rPr>
        <w:t xml:space="preserve">» [O futuro da competitividade europeia] (Relatório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>),</w:t>
      </w:r>
    </w:p>
    <w:p w14:paraId="31DCA826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 xml:space="preserve">Tendo em conta o discurso de </w:t>
      </w:r>
      <w:proofErr w:type="spellStart"/>
      <w:r w:rsidRPr="008527C6">
        <w:rPr>
          <w:szCs w:val="24"/>
        </w:rPr>
        <w:t>Mario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sobre a apresentação do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ao Parlamento Europeu, em 17 de setembro de 2024,</w:t>
      </w:r>
    </w:p>
    <w:p w14:paraId="792B7E23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 xml:space="preserve">Tendo em conta o relatório de Enrico </w:t>
      </w:r>
      <w:proofErr w:type="spellStart"/>
      <w:r w:rsidRPr="008527C6">
        <w:rPr>
          <w:szCs w:val="24"/>
        </w:rPr>
        <w:t>Letta</w:t>
      </w:r>
      <w:proofErr w:type="spellEnd"/>
      <w:r w:rsidRPr="008527C6">
        <w:rPr>
          <w:szCs w:val="24"/>
        </w:rPr>
        <w:t>, de 17 de abril de 2024, intitulado «</w:t>
      </w:r>
      <w:proofErr w:type="spellStart"/>
      <w:r w:rsidRPr="008527C6">
        <w:rPr>
          <w:szCs w:val="24"/>
        </w:rPr>
        <w:t>Much</w:t>
      </w:r>
      <w:proofErr w:type="spellEnd"/>
      <w:r w:rsidRPr="008527C6">
        <w:rPr>
          <w:szCs w:val="24"/>
        </w:rPr>
        <w:t xml:space="preserve"> more </w:t>
      </w:r>
      <w:proofErr w:type="spellStart"/>
      <w:r w:rsidRPr="008527C6">
        <w:rPr>
          <w:szCs w:val="24"/>
        </w:rPr>
        <w:t>than</w:t>
      </w:r>
      <w:proofErr w:type="spellEnd"/>
      <w:r w:rsidRPr="008527C6">
        <w:rPr>
          <w:szCs w:val="24"/>
        </w:rPr>
        <w:t xml:space="preserve"> a </w:t>
      </w:r>
      <w:proofErr w:type="spellStart"/>
      <w:r w:rsidRPr="008527C6">
        <w:rPr>
          <w:szCs w:val="24"/>
        </w:rPr>
        <w:t>market</w:t>
      </w:r>
      <w:proofErr w:type="spellEnd"/>
      <w:r w:rsidRPr="008527C6">
        <w:rPr>
          <w:szCs w:val="24"/>
        </w:rPr>
        <w:t xml:space="preserve">» [Muito mais do que um mercado] (Relatório </w:t>
      </w:r>
      <w:proofErr w:type="spellStart"/>
      <w:r w:rsidRPr="008527C6">
        <w:rPr>
          <w:szCs w:val="24"/>
        </w:rPr>
        <w:t>Letta</w:t>
      </w:r>
      <w:proofErr w:type="spellEnd"/>
      <w:r w:rsidRPr="008527C6">
        <w:rPr>
          <w:szCs w:val="24"/>
        </w:rPr>
        <w:t>),</w:t>
      </w:r>
    </w:p>
    <w:p w14:paraId="1492F7BC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a Comunicação da Comissão, de 29 de janeiro de 2025, intitulada «Uma Bússola para a Competitividade da UE» (COM(2025)0030),</w:t>
      </w:r>
    </w:p>
    <w:p w14:paraId="653693E1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a Comunicação da Comissão, de 11 de fevereiro de 2025, intitulada «Roteiro para o próximo quadro financeiro plurianual» (COM(2025)0046),</w:t>
      </w:r>
    </w:p>
    <w:p w14:paraId="79D3FB7F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a Comunicação da Comissão, de 19 de março de 2025, intitulada «União da Poupança e do Investimento — Uma estratégia para fomentar a riqueza e a competitividade económica dos cidadãos na UE» (COM(2025)0124),</w:t>
      </w:r>
    </w:p>
    <w:p w14:paraId="54643265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 xml:space="preserve">Tendo em conta o relatório de </w:t>
      </w:r>
      <w:proofErr w:type="spellStart"/>
      <w:r w:rsidRPr="008527C6">
        <w:rPr>
          <w:szCs w:val="24"/>
        </w:rPr>
        <w:t>Sauli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Niinistö</w:t>
      </w:r>
      <w:proofErr w:type="spellEnd"/>
      <w:r w:rsidRPr="008527C6">
        <w:rPr>
          <w:szCs w:val="24"/>
        </w:rPr>
        <w:t>, de 30 de outubro de 2024, intitulado «</w:t>
      </w:r>
      <w:proofErr w:type="spellStart"/>
      <w:r w:rsidRPr="008527C6">
        <w:rPr>
          <w:szCs w:val="24"/>
        </w:rPr>
        <w:t>Safer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together</w:t>
      </w:r>
      <w:proofErr w:type="spellEnd"/>
      <w:r w:rsidRPr="008527C6">
        <w:rPr>
          <w:szCs w:val="24"/>
        </w:rPr>
        <w:t xml:space="preserve"> –– </w:t>
      </w:r>
      <w:proofErr w:type="spellStart"/>
      <w:r w:rsidRPr="008527C6">
        <w:rPr>
          <w:szCs w:val="24"/>
        </w:rPr>
        <w:t>strengthening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Europe’s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civilian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and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military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preparedness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and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readiness</w:t>
      </w:r>
      <w:proofErr w:type="spellEnd"/>
      <w:r w:rsidRPr="008527C6">
        <w:rPr>
          <w:szCs w:val="24"/>
        </w:rPr>
        <w:t xml:space="preserve">» [Mais seguros juntos: reforçar a prontidão e a preparação civil e militar da Europa] (Relatório </w:t>
      </w:r>
      <w:proofErr w:type="spellStart"/>
      <w:r w:rsidRPr="008527C6">
        <w:rPr>
          <w:szCs w:val="24"/>
        </w:rPr>
        <w:t>Niinistö</w:t>
      </w:r>
      <w:proofErr w:type="spellEnd"/>
      <w:r w:rsidRPr="008527C6">
        <w:rPr>
          <w:szCs w:val="24"/>
        </w:rPr>
        <w:t>),</w:t>
      </w:r>
    </w:p>
    <w:p w14:paraId="22EE1EE4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 xml:space="preserve">Tendo em conta o Relatório, de 9 de maio de 2022, sobre o </w:t>
      </w:r>
      <w:proofErr w:type="gramStart"/>
      <w:r w:rsidRPr="008527C6">
        <w:rPr>
          <w:szCs w:val="24"/>
        </w:rPr>
        <w:t>resultado final</w:t>
      </w:r>
      <w:proofErr w:type="gramEnd"/>
      <w:r w:rsidRPr="008527C6">
        <w:rPr>
          <w:szCs w:val="24"/>
        </w:rPr>
        <w:t xml:space="preserve"> da Conferência sobre o Futuro da Europa (</w:t>
      </w:r>
      <w:proofErr w:type="spellStart"/>
      <w:r w:rsidRPr="008527C6">
        <w:rPr>
          <w:szCs w:val="24"/>
        </w:rPr>
        <w:t>CoFE</w:t>
      </w:r>
      <w:proofErr w:type="spellEnd"/>
      <w:r w:rsidRPr="008527C6">
        <w:rPr>
          <w:szCs w:val="24"/>
        </w:rPr>
        <w:t>),</w:t>
      </w:r>
    </w:p>
    <w:p w14:paraId="2423CE45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lastRenderedPageBreak/>
        <w:t>–</w:t>
      </w:r>
      <w:r w:rsidRPr="008527C6">
        <w:rPr>
          <w:szCs w:val="24"/>
        </w:rPr>
        <w:tab/>
        <w:t>Tendo em conta a sua Resolução, de 4 de maio de 2022, sobre o seguimento das conclusões da Conferência sobre o Futuro da Europa</w:t>
      </w:r>
      <w:r w:rsidRPr="008527C6">
        <w:rPr>
          <w:rStyle w:val="FootnoteReference"/>
          <w:szCs w:val="24"/>
        </w:rPr>
        <w:footnoteReference w:id="1"/>
      </w:r>
      <w:r w:rsidRPr="008527C6">
        <w:rPr>
          <w:szCs w:val="24"/>
        </w:rPr>
        <w:t>,</w:t>
      </w:r>
    </w:p>
    <w:p w14:paraId="0CAD04D0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a sua Resolução, de 9 de junho de 2022, sobre a convocação de uma convenção para a revisão dos Tratados</w:t>
      </w:r>
      <w:r w:rsidRPr="008527C6">
        <w:rPr>
          <w:rStyle w:val="FootnoteReference"/>
          <w:szCs w:val="24"/>
        </w:rPr>
        <w:footnoteReference w:id="2"/>
      </w:r>
      <w:r w:rsidRPr="008527C6">
        <w:rPr>
          <w:szCs w:val="24"/>
        </w:rPr>
        <w:t>,</w:t>
      </w:r>
    </w:p>
    <w:p w14:paraId="649E4793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a sua Resolução, de 22 de novembro de 2023, sobre projetos do Parlamento Europeu de revisão dos Tratados</w:t>
      </w:r>
      <w:r w:rsidRPr="008527C6">
        <w:rPr>
          <w:rStyle w:val="FootnoteReference"/>
          <w:szCs w:val="24"/>
        </w:rPr>
        <w:footnoteReference w:id="3"/>
      </w:r>
      <w:r w:rsidRPr="008527C6">
        <w:rPr>
          <w:szCs w:val="24"/>
        </w:rPr>
        <w:t>,</w:t>
      </w:r>
    </w:p>
    <w:p w14:paraId="272CAC18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a sua Resolução, de 11 de julho de 2023, sobre a aplicação de cláusulas</w:t>
      </w:r>
      <w:r w:rsidRPr="008527C6">
        <w:rPr>
          <w:szCs w:val="24"/>
        </w:rPr>
        <w:noBreakHyphen/>
        <w:t>ponte nos Tratados da UE</w:t>
      </w:r>
      <w:r w:rsidRPr="008527C6">
        <w:rPr>
          <w:rStyle w:val="FootnoteReference"/>
          <w:szCs w:val="24"/>
        </w:rPr>
        <w:footnoteReference w:id="4"/>
      </w:r>
      <w:r w:rsidRPr="008527C6">
        <w:rPr>
          <w:szCs w:val="24"/>
        </w:rPr>
        <w:t>,</w:t>
      </w:r>
    </w:p>
    <w:p w14:paraId="77D2D873" w14:textId="77777777" w:rsidR="00D52DC3" w:rsidRPr="008527C6" w:rsidRDefault="00D52DC3" w:rsidP="005524E1">
      <w:pPr>
        <w:pStyle w:val="NormalHanging12a"/>
        <w:rPr>
          <w:bCs/>
          <w:iCs/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a sua Resolução, de 7 de maio de 2025, sobre um orçamento de longo prazo melhorado para a União num mundo em mudança</w:t>
      </w:r>
      <w:r w:rsidRPr="008527C6">
        <w:rPr>
          <w:rStyle w:val="FootnoteReference"/>
          <w:bCs/>
          <w:iCs/>
          <w:szCs w:val="24"/>
        </w:rPr>
        <w:footnoteReference w:id="5"/>
      </w:r>
      <w:r w:rsidRPr="008527C6">
        <w:rPr>
          <w:szCs w:val="24"/>
        </w:rPr>
        <w:t>,</w:t>
      </w:r>
    </w:p>
    <w:p w14:paraId="6EC6BBC5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a sua Resolução, de 12 de março de 2025, sobre o Livro Branco sobre o futuro da defesa europeia</w:t>
      </w:r>
      <w:r w:rsidRPr="008527C6">
        <w:rPr>
          <w:rStyle w:val="FootnoteReference"/>
          <w:szCs w:val="24"/>
        </w:rPr>
        <w:footnoteReference w:id="6"/>
      </w:r>
      <w:r w:rsidRPr="008527C6">
        <w:rPr>
          <w:szCs w:val="24"/>
        </w:rPr>
        <w:t>,</w:t>
      </w:r>
    </w:p>
    <w:p w14:paraId="591E687B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o artigo 48.º do Tratado da União Europeia (TUE),</w:t>
      </w:r>
    </w:p>
    <w:p w14:paraId="7E9B1085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as cláusulas</w:t>
      </w:r>
      <w:r w:rsidRPr="008527C6">
        <w:rPr>
          <w:szCs w:val="24"/>
        </w:rPr>
        <w:noBreakHyphen/>
        <w:t>ponte nos Tratados da UE,</w:t>
      </w:r>
    </w:p>
    <w:p w14:paraId="1DD5B65B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as disposições do Tratado em matéria de cooperação reforçada e de cooperação estruturada permanente,</w:t>
      </w:r>
    </w:p>
    <w:p w14:paraId="2AC1743C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o artigo 122.º do Tratado sobre o Funcionamento da União Europeia (TFUE),</w:t>
      </w:r>
    </w:p>
    <w:p w14:paraId="5A94FDF5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o artigo 55.º do seu Regimento,</w:t>
      </w:r>
    </w:p>
    <w:p w14:paraId="20DF89E1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–</w:t>
      </w:r>
      <w:r w:rsidRPr="008527C6">
        <w:rPr>
          <w:szCs w:val="24"/>
        </w:rPr>
        <w:tab/>
        <w:t>Tendo em conta o relatório da Comissão dos Assuntos Constitucionais (A10</w:t>
      </w:r>
      <w:r w:rsidRPr="008527C6">
        <w:rPr>
          <w:szCs w:val="24"/>
        </w:rPr>
        <w:noBreakHyphen/>
        <w:t>0196/2025),</w:t>
      </w:r>
    </w:p>
    <w:p w14:paraId="3AB94977" w14:textId="36654C4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A.</w:t>
      </w:r>
      <w:r w:rsidRPr="008527C6">
        <w:rPr>
          <w:szCs w:val="24"/>
        </w:rPr>
        <w:tab/>
        <w:t xml:space="preserve">Considerando que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, redigido por </w:t>
      </w:r>
      <w:proofErr w:type="spellStart"/>
      <w:r w:rsidRPr="008527C6">
        <w:rPr>
          <w:szCs w:val="24"/>
        </w:rPr>
        <w:t>Mario</w:t>
      </w:r>
      <w:proofErr w:type="spellEnd"/>
      <w:r w:rsidRPr="008527C6">
        <w:rPr>
          <w:szCs w:val="24"/>
        </w:rPr>
        <w:t xml:space="preserve">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e elaborado a pedido da presidente da Comissão Europeia, </w:t>
      </w:r>
      <w:proofErr w:type="spellStart"/>
      <w:r w:rsidRPr="008527C6">
        <w:rPr>
          <w:szCs w:val="24"/>
        </w:rPr>
        <w:t>Ursula</w:t>
      </w:r>
      <w:proofErr w:type="spellEnd"/>
      <w:r w:rsidRPr="008527C6">
        <w:rPr>
          <w:szCs w:val="24"/>
        </w:rPr>
        <w:t xml:space="preserve"> von der </w:t>
      </w:r>
      <w:proofErr w:type="spellStart"/>
      <w:r w:rsidRPr="008527C6">
        <w:rPr>
          <w:szCs w:val="24"/>
        </w:rPr>
        <w:t>Leyen</w:t>
      </w:r>
      <w:proofErr w:type="spellEnd"/>
      <w:r w:rsidRPr="008527C6">
        <w:rPr>
          <w:szCs w:val="24"/>
        </w:rPr>
        <w:t>, faz um diagnóstico completo dos desafios estruturais enfrentados pela UE e alerta para o risco de a UE ter um crescimento económico lento prolongado, que, em última instância, pode ameaçar a prosperidade e o bem</w:t>
      </w:r>
      <w:r w:rsidRPr="008527C6">
        <w:rPr>
          <w:szCs w:val="24"/>
        </w:rPr>
        <w:noBreakHyphen/>
        <w:t>estar social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demonstra que a Europa já não se pode apoiar em muitos dos fatores que sustentaram o crescimento no passado;</w:t>
      </w:r>
    </w:p>
    <w:p w14:paraId="71443411" w14:textId="672C0D5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B.</w:t>
      </w:r>
      <w:r w:rsidRPr="008527C6">
        <w:rPr>
          <w:szCs w:val="24"/>
        </w:rPr>
        <w:tab/>
        <w:t>Considerando que se abriu um grande fosso no PIB entre a UE e os Estados Unidos, que aumentou de mais de 15 % em 2002 para aproximadamente 30 % em 2023, calculado a preços de 2015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 tal se deve principalmente a um abrandamento mais significativo da produtividade na Europa e à incapacidade da UE de tirar partido da </w:t>
      </w:r>
      <w:r w:rsidRPr="008527C6">
        <w:rPr>
          <w:szCs w:val="24"/>
        </w:rPr>
        <w:lastRenderedPageBreak/>
        <w:t>revolução digital impulsionada pela Internet e dos ganhos de produtividade potenciais associados, em parte devido à fragmentação do mercado único europeu;</w:t>
      </w:r>
    </w:p>
    <w:p w14:paraId="608E6836" w14:textId="2008C2BC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C.</w:t>
      </w:r>
      <w:r w:rsidRPr="008527C6">
        <w:rPr>
          <w:szCs w:val="24"/>
        </w:rPr>
        <w:tab/>
        <w:t xml:space="preserve">Considerando que, segundo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>, as bases fundamentais para o crescimento futuro da Europa passam por colmatar o défice de inovação, por um plano conjunto para a descarbonização e competitividade, pelo aumento da segurança e pela redução das dependências, e por atingir os objetivos da UE em matéria económica, ambiental e social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avalia que isto vai exigir um aumento dos níveis de investimento de cerca de 5 % do PIB total da UE, o que corresponde a um mínimo de investimento anual adicional entre 750 e 800 mil milhões de EUR;</w:t>
      </w:r>
    </w:p>
    <w:p w14:paraId="5240B928" w14:textId="0B237101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D.</w:t>
      </w:r>
      <w:r w:rsidRPr="008527C6">
        <w:rPr>
          <w:szCs w:val="24"/>
        </w:rPr>
        <w:tab/>
        <w:t>Considerando que a procura global de matérias</w:t>
      </w:r>
      <w:r w:rsidRPr="008527C6">
        <w:rPr>
          <w:szCs w:val="24"/>
        </w:rPr>
        <w:noBreakHyphen/>
        <w:t>primas essenciais está a aumentar rapidamente devido à transição para as energias limpas, enquanto a Europa está também bastante dependente das importações de tecnologia digital, nomeadamente para a produção de circuitos integrados, uma vez que 75 % a 80 % da capacidade global de fabrico de placas semicondutoras se encontra na Ásia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 deve ser desenvolvida uma verdadeira «política económica externa» da UE para que esta mantenha a sua autonomia e a sua competitividade neste domínio crucial e noutros setores estratégicos;</w:t>
      </w:r>
    </w:p>
    <w:p w14:paraId="180C0FB2" w14:textId="69B2EA82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E.</w:t>
      </w:r>
      <w:r w:rsidRPr="008527C6">
        <w:rPr>
          <w:szCs w:val="24"/>
        </w:rPr>
        <w:tab/>
        <w:t xml:space="preserve">Considerando que tanto o Relatório </w:t>
      </w:r>
      <w:proofErr w:type="spellStart"/>
      <w:r w:rsidRPr="008527C6">
        <w:rPr>
          <w:szCs w:val="24"/>
        </w:rPr>
        <w:t>Letta</w:t>
      </w:r>
      <w:proofErr w:type="spellEnd"/>
      <w:r w:rsidRPr="008527C6">
        <w:rPr>
          <w:szCs w:val="24"/>
        </w:rPr>
        <w:t xml:space="preserve">, redigido por Enrico </w:t>
      </w:r>
      <w:proofErr w:type="spellStart"/>
      <w:r w:rsidRPr="008527C6">
        <w:rPr>
          <w:szCs w:val="24"/>
        </w:rPr>
        <w:t>Letta</w:t>
      </w:r>
      <w:proofErr w:type="spellEnd"/>
      <w:r w:rsidRPr="008527C6">
        <w:rPr>
          <w:szCs w:val="24"/>
        </w:rPr>
        <w:t xml:space="preserve"> e encomendado pelo Conselho Europeu, como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salientam que o mercado único revelou, desde o início, ser um extraordinário incentivo para a economia da UE e um elemento poderoso da sua atratividade, continuando a ser uma pedra angular da integração e dos valores europeus, servindo assim de forte catalisador do crescimento, da prosperidade e da solidariedade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>, no entanto, o cenário internacional sofreu alterações profundas, o que realça a necessidade de aprofundar e completar o mercado único, a fim de realizar todo o seu potencial;</w:t>
      </w:r>
    </w:p>
    <w:p w14:paraId="21C2E32D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F.</w:t>
      </w:r>
      <w:r w:rsidRPr="008527C6">
        <w:rPr>
          <w:szCs w:val="24"/>
        </w:rPr>
        <w:tab/>
        <w:t xml:space="preserve">Considerando que, de acordo com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>, para restaurar a produtividade da UE e alcançar os objetivos ambientais e sociais da UE, é necessário um investimento anual adicional de, no mínimo, 750 a 800 mil milhões de EUR;</w:t>
      </w:r>
    </w:p>
    <w:p w14:paraId="4C920213" w14:textId="0FDB7172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G.</w:t>
      </w:r>
      <w:r w:rsidRPr="008527C6">
        <w:rPr>
          <w:szCs w:val="24"/>
        </w:rPr>
        <w:tab/>
        <w:t>Considerando que o apoio da UE ao investimento público e privado é limitado pela dimensão do orçamento da UE, pela sua falta de foco, pelo seu quadro regulamentar complexo e por uma atitude excessivamente cautelosa em relação ao risco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 os investimentos comuns da UE, nomeadamente as iniciativas baseadas no mercado e financiadas conjuntamente, são essenciais para fazer face aos desafios que ultrapassam as fronteiras nacionais, por permitirem economias de escala, promoverem a autonomia estratégica, e simultaneamente protegerem e promoverem a coesão em toda a União, atraírem capital privado, reforçarem a competitividade global da UE em setores críticos, bem como financiarem e fornecerem outros bens públicos europeus;</w:t>
      </w:r>
    </w:p>
    <w:p w14:paraId="18666CBE" w14:textId="709BCB53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H.</w:t>
      </w:r>
      <w:r w:rsidRPr="008527C6">
        <w:rPr>
          <w:szCs w:val="24"/>
        </w:rPr>
        <w:tab/>
        <w:t xml:space="preserve">Considerando que a tentativa de criar a União dos Mercados de Capitais (UMC), identificada pela presidente da Comissão, </w:t>
      </w:r>
      <w:proofErr w:type="spellStart"/>
      <w:r w:rsidRPr="008527C6">
        <w:rPr>
          <w:szCs w:val="24"/>
        </w:rPr>
        <w:t>Ursula</w:t>
      </w:r>
      <w:proofErr w:type="spellEnd"/>
      <w:r w:rsidRPr="008527C6">
        <w:rPr>
          <w:szCs w:val="24"/>
        </w:rPr>
        <w:t xml:space="preserve"> von der </w:t>
      </w:r>
      <w:proofErr w:type="spellStart"/>
      <w:r w:rsidRPr="008527C6">
        <w:rPr>
          <w:szCs w:val="24"/>
        </w:rPr>
        <w:t>Leyen</w:t>
      </w:r>
      <w:proofErr w:type="spellEnd"/>
      <w:r w:rsidRPr="008527C6">
        <w:rPr>
          <w:szCs w:val="24"/>
        </w:rPr>
        <w:t>, como uma prioridade estratégica, ainda não conseguiu alcançar os seus objetivos ao longo da última década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 os trabalhos realizados até à data no âmbito da UMC evidenciam que a plena integração dos serviços financeiros no mercado único é essencial para a realização dos objetivos estratégicos da política económica da UE;</w:t>
      </w:r>
    </w:p>
    <w:p w14:paraId="2C6686B2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lastRenderedPageBreak/>
        <w:t>I.</w:t>
      </w:r>
      <w:r w:rsidRPr="008527C6">
        <w:rPr>
          <w:szCs w:val="24"/>
        </w:rPr>
        <w:tab/>
        <w:t xml:space="preserve">Considerando que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fornece uma análise exaustiva da governação económica e da competitividade da UE; </w:t>
      </w:r>
    </w:p>
    <w:p w14:paraId="744A340D" w14:textId="72393C55" w:rsidR="00D52DC3" w:rsidRPr="008527C6" w:rsidRDefault="00D52DC3" w:rsidP="005524E1">
      <w:pPr>
        <w:pStyle w:val="NormalHanging12a"/>
        <w:rPr>
          <w:bCs/>
          <w:iCs/>
          <w:szCs w:val="24"/>
        </w:rPr>
      </w:pPr>
      <w:r w:rsidRPr="008527C6">
        <w:rPr>
          <w:szCs w:val="24"/>
        </w:rPr>
        <w:t>J.</w:t>
      </w:r>
      <w:r w:rsidRPr="008527C6">
        <w:rPr>
          <w:szCs w:val="24"/>
        </w:rPr>
        <w:tab/>
        <w:t>Considerando que os processos de adesão de vários países ganharam um novo impulso desde a guerra de agressão da Rússia contra a Ucrânia, dando origem a uma situação em que a UE tem de se preparar para as próximas rondas de alargamento e melhorar os seus processos de tomada de decisão, a fim de garantir que é capaz de funcionar de forma eficiente com um maior número de Estados</w:t>
      </w:r>
      <w:r w:rsidRPr="008527C6">
        <w:rPr>
          <w:szCs w:val="24"/>
        </w:rPr>
        <w:noBreakHyphen/>
        <w:t>Membros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indica que a atividade legislativa da Comissão tem crescido e que a UE deve ser rigorosa na aplicação do princípio da subsidiariedade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salienta igualmente que as regras de tomada de decisão da UE não evoluíram substancialmente com o alargamento da UE e que precisam de ser reforçadas e simplificadas, tendo em vista futuros alargamentos e a complexa conjuntura global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 o alargamento do mercado único tem um potencial considerável para desenvolver a economia da UE e reforçar a sua posição geoeconómica;</w:t>
      </w:r>
    </w:p>
    <w:p w14:paraId="5DBBCB4F" w14:textId="547E0CF9" w:rsidR="00D52DC3" w:rsidRPr="008527C6" w:rsidRDefault="00D52DC3" w:rsidP="005524E1">
      <w:pPr>
        <w:pStyle w:val="NormalHanging12a"/>
        <w:rPr>
          <w:bCs/>
          <w:iCs/>
          <w:szCs w:val="24"/>
        </w:rPr>
      </w:pPr>
      <w:r w:rsidRPr="008527C6">
        <w:rPr>
          <w:szCs w:val="24"/>
        </w:rPr>
        <w:t>K.</w:t>
      </w:r>
      <w:r w:rsidRPr="008527C6">
        <w:rPr>
          <w:szCs w:val="24"/>
        </w:rPr>
        <w:tab/>
        <w:t xml:space="preserve">Considerando que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também conclui que o veto nacional é utilizado por vários governos para atrasar ou dificultar a aprovação de medidas através do processo de tomada de decisões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>, no entanto, o relatório também sublinha que, embora o reforço da UE exija alterações aos Tratados, muito pode ser feito através de ajustamentos específicos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, por conseguinte, o relatório afirma que uma nova estratégia industrial para a Europa precisa de ser acompanhada de melhorias paralelas ao quadro institucional e ao funcionamento da UE; </w:t>
      </w:r>
    </w:p>
    <w:p w14:paraId="087387D2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L.</w:t>
      </w:r>
      <w:r w:rsidRPr="008527C6">
        <w:rPr>
          <w:szCs w:val="24"/>
        </w:rPr>
        <w:tab/>
        <w:t xml:space="preserve">Considerando que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sublinha a necessidade de simplificar o processo europeu de tomada de decisão com vista a facilitar a adoção de medidas para reforçar a competitividade e o crescimento económico da UE, bem como a garantir que as decisões são tomadas de forma atempada e eficiente;</w:t>
      </w:r>
    </w:p>
    <w:p w14:paraId="532E28E7" w14:textId="02C483E7" w:rsidR="00D52DC3" w:rsidRPr="008527C6" w:rsidRDefault="00D52DC3" w:rsidP="005524E1">
      <w:pPr>
        <w:pStyle w:val="NormalHanging12a"/>
        <w:rPr>
          <w:bCs/>
          <w:iCs/>
          <w:szCs w:val="24"/>
        </w:rPr>
      </w:pPr>
      <w:r w:rsidRPr="008527C6">
        <w:rPr>
          <w:szCs w:val="24"/>
        </w:rPr>
        <w:t>M.</w:t>
      </w:r>
      <w:r w:rsidRPr="008527C6">
        <w:rPr>
          <w:szCs w:val="24"/>
        </w:rPr>
        <w:tab/>
        <w:t xml:space="preserve">Considerando que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esclarece que é possível fortalecer o modelo político e institucional da UE no atual quadro jurídico, recorrendo a medidas de racionalização direcionada, sem necessidade de alterar os Tratados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 o relatório defende que tais medidas devem concentrar</w:t>
      </w:r>
      <w:r w:rsidRPr="008527C6">
        <w:rPr>
          <w:szCs w:val="24"/>
        </w:rPr>
        <w:noBreakHyphen/>
        <w:t>se na desregulação, em vez de num número crescente de normas e procedimentos da UE;</w:t>
      </w:r>
    </w:p>
    <w:p w14:paraId="2CE406CD" w14:textId="4804E76B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N.</w:t>
      </w:r>
      <w:r w:rsidRPr="008527C6">
        <w:rPr>
          <w:szCs w:val="24"/>
        </w:rPr>
        <w:tab/>
        <w:t xml:space="preserve">Considerando que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identifica a transformação digital e o desenvolvimento da inteligência artificial (IA) como motores fundamentais da futura competitividade europeia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>, até hoje, a UE já perdeu oportunidades críticas na revolução digital e continua a ficar aquém dos líderes mundiais no campo das capacidades de IA, das infraestruturas de dados e da expansão das tecnologias profundas;</w:t>
      </w:r>
    </w:p>
    <w:p w14:paraId="42E5BAFE" w14:textId="44094B99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O.</w:t>
      </w:r>
      <w:r w:rsidRPr="008527C6">
        <w:rPr>
          <w:szCs w:val="24"/>
        </w:rPr>
        <w:tab/>
        <w:t xml:space="preserve">Considerando que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sublinha que a UE deve reforçar a sua autonomia estratégica e a sua capacidade de defesa, superando a fragmentação do mercado, reforçando a interoperabilidade e consolidando a indústria europeia da defesa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 o Relatório </w:t>
      </w:r>
      <w:proofErr w:type="spellStart"/>
      <w:r w:rsidRPr="008527C6">
        <w:rPr>
          <w:szCs w:val="24"/>
        </w:rPr>
        <w:t>Niinistö</w:t>
      </w:r>
      <w:proofErr w:type="spellEnd"/>
      <w:r w:rsidRPr="008527C6">
        <w:rPr>
          <w:szCs w:val="24"/>
        </w:rPr>
        <w:t xml:space="preserve"> complementa esta visão, sublinhando a necessidade de melhorar a preparação para os riscos, a resposta a situações de crise e a resiliência das infraestruturas críticas e das cadeias de abastecimento</w:t>
      </w:r>
      <w:r w:rsidR="00264F57" w:rsidRPr="008527C6">
        <w:rPr>
          <w:szCs w:val="24"/>
        </w:rPr>
        <w:t>; considerando que</w:t>
      </w:r>
      <w:r w:rsidRPr="008527C6">
        <w:rPr>
          <w:szCs w:val="24"/>
        </w:rPr>
        <w:t xml:space="preserve"> ambos os relatórios sublinham que uma União Europeia da Defesa credível exige um quadro de governação integrado e um investimento sustentado e coordenado a nível da UE;</w:t>
      </w:r>
    </w:p>
    <w:p w14:paraId="024377EC" w14:textId="77777777" w:rsidR="00D52DC3" w:rsidRPr="008527C6" w:rsidRDefault="00D52DC3" w:rsidP="008527C6">
      <w:pPr>
        <w:pStyle w:val="Normal12a24b"/>
        <w:spacing w:before="0"/>
        <w:rPr>
          <w:szCs w:val="24"/>
        </w:rPr>
      </w:pPr>
      <w:r w:rsidRPr="008527C6">
        <w:rPr>
          <w:rStyle w:val="BoldItalic"/>
          <w:szCs w:val="24"/>
        </w:rPr>
        <w:lastRenderedPageBreak/>
        <w:t xml:space="preserve">Considerações gerais </w:t>
      </w:r>
    </w:p>
    <w:p w14:paraId="715C3D72" w14:textId="33A6134F" w:rsidR="00D52DC3" w:rsidRPr="008527C6" w:rsidRDefault="00D52DC3" w:rsidP="005524E1">
      <w:pPr>
        <w:pStyle w:val="NormalHanging12a"/>
        <w:rPr>
          <w:bCs/>
          <w:iCs/>
          <w:szCs w:val="24"/>
        </w:rPr>
      </w:pPr>
      <w:r w:rsidRPr="008527C6">
        <w:rPr>
          <w:szCs w:val="24"/>
        </w:rPr>
        <w:t>1.</w:t>
      </w:r>
      <w:r w:rsidRPr="008527C6">
        <w:rPr>
          <w:szCs w:val="24"/>
        </w:rPr>
        <w:tab/>
        <w:t>Congratula</w:t>
      </w:r>
      <w:r w:rsidRPr="008527C6">
        <w:rPr>
          <w:szCs w:val="24"/>
        </w:rPr>
        <w:noBreakHyphen/>
        <w:t xml:space="preserve">se com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>, com as suas conclusões e com o apelo para a realização de ações que consta do mesmo; apoia a conclusão de que a Europa enfrenta um desafio existencial que exige um esforço institucional sem precedentes para se manter competitiva e conseguir crescer no atual contexto geopolítico em rápida mutação; afirma que essa resposta deve assentar na governação democrática da União, no equilíbrio de poderes entre as instituições e no respeito pelos Tratados; apela para uma estratégia europeia renovada que permita à União tomar decisões atempadas e eficazes para garantir a sua competitividade e sustentabilidade;</w:t>
      </w:r>
    </w:p>
    <w:p w14:paraId="7AAE3EC4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2.</w:t>
      </w:r>
      <w:r w:rsidRPr="008527C6">
        <w:rPr>
          <w:szCs w:val="24"/>
        </w:rPr>
        <w:tab/>
        <w:t xml:space="preserve">Salienta que, tal como referido no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>, a UE necessita urgentemente de melhorar a sua governação institucional; frisa que estas melhorias devem ser acompanhadas de uma estratégia de comunicação clara e inclusiva destinada a manter os cidadãos envolvidos e informados sobre os benefícios deles decorrentes, a fim de assegurar o pleno apoio do público e promover um sentimento de pertença e de responsabilidade comum; sublinha que tal, juntamente com a necessidade de abandonar abordagens nacionais fragmentadas e de reforçar um processo decisório reorientado, acelerado e simplificado a nível da UE, permitirá à União agir de forma mais eficiente e eficaz onde mais importa, enquanto verdadeiro interveniente a nível mundial; reconhece a importância de combater os bloqueios no Conselho em vários domínios; apoia todas as iniciativas destinadas a desenvolver um processo decisório mais eficaz, que é fundamental para reforçar a competitividade da UE, respeitando plenamente os princípios da subsidiariedade e da proporcionalidade, conforme estabelecidos no artigo 5.º, n.</w:t>
      </w:r>
      <w:r w:rsidRPr="008527C6">
        <w:rPr>
          <w:szCs w:val="24"/>
          <w:vertAlign w:val="superscript"/>
        </w:rPr>
        <w:t>os</w:t>
      </w:r>
      <w:r w:rsidRPr="008527C6">
        <w:rPr>
          <w:szCs w:val="24"/>
        </w:rPr>
        <w:t> 3 e 4, do TUE;</w:t>
      </w:r>
    </w:p>
    <w:p w14:paraId="09AADBD1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3.</w:t>
      </w:r>
      <w:r w:rsidRPr="008527C6">
        <w:rPr>
          <w:szCs w:val="24"/>
        </w:rPr>
        <w:tab/>
        <w:t>Frisa que os domínios fundamentais que necessitam de uma reforma política estratégica para impulsionar a competitividade da UE são a conclusão do mercado único europeu, a criação da União da Poupança e dos Investimentos, a melhoria da eficiência do orçamento da UE e da sua execução, a manutenção de níveis elevados de proteção social e de direitos sociais e laborais, o aprofundamento de um modelo europeu de IA e transformação digital e o desenvolvimento de uma União Europeia da Energia e de uma União Europeia da Defesa;</w:t>
      </w:r>
    </w:p>
    <w:p w14:paraId="7ABFA914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4.</w:t>
      </w:r>
      <w:r w:rsidRPr="008527C6">
        <w:rPr>
          <w:szCs w:val="24"/>
        </w:rPr>
        <w:tab/>
        <w:t>Sublinha que as reformas estratégicas e as alterações propostas à arquitetura institucional da UE devem ser encaradas como aspetos inextricavelmente ligados, que devem ser aplicados em conjunto, com vista a promover uma UE mais competitiva;</w:t>
      </w:r>
    </w:p>
    <w:p w14:paraId="25C66166" w14:textId="77777777" w:rsidR="00D52DC3" w:rsidRPr="008527C6" w:rsidRDefault="00D52DC3" w:rsidP="005524E1">
      <w:pPr>
        <w:pStyle w:val="NormalHanging12a"/>
        <w:rPr>
          <w:b/>
          <w:i/>
          <w:iCs/>
          <w:szCs w:val="24"/>
        </w:rPr>
      </w:pPr>
      <w:r w:rsidRPr="008527C6">
        <w:rPr>
          <w:b/>
          <w:i/>
          <w:szCs w:val="24"/>
        </w:rPr>
        <w:t>Reorientar, acelerar e simplificar a governação da UE</w:t>
      </w:r>
    </w:p>
    <w:p w14:paraId="469346B8" w14:textId="053F98AB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5.</w:t>
      </w:r>
      <w:r w:rsidRPr="008527C6">
        <w:rPr>
          <w:szCs w:val="24"/>
        </w:rPr>
        <w:tab/>
        <w:t>Congratula</w:t>
      </w:r>
      <w:r w:rsidRPr="008527C6">
        <w:rPr>
          <w:szCs w:val="24"/>
        </w:rPr>
        <w:noBreakHyphen/>
        <w:t>se com os esforços para reorientar e simplificar o trabalho da UE através da definição de prioridades estratégicas e da eficiência institucional; apela a um reforço da capacidade de ação da UE sempre que a mesma represente um claro valor acrescentado, assente nos princípios da subsidiariedade e da proporcionalidade; sublinha que a simplificação, a subsidiariedade e a proporcionalidade devem conduzir a uma legislação mais inteligente e eficaz e não ao abandono de domínios que necessitam de ação ao nível da UE; salienta que intervenções eficazes em domínios políticos que conduzam a uma maior competitividade económica exigem a adaptação das competências conferidas à União nos Tratados; salienta que esta simplificação e uma ênfase renovada devem também refletir</w:t>
      </w:r>
      <w:r w:rsidRPr="008527C6">
        <w:rPr>
          <w:szCs w:val="24"/>
        </w:rPr>
        <w:noBreakHyphen/>
        <w:t xml:space="preserve">se num quadro institucional mais eficiente e mais simples, incluindo uma reorganização da Comissão e do Colégio de Comissários, a fim de reforçar a </w:t>
      </w:r>
      <w:r w:rsidRPr="008527C6">
        <w:rPr>
          <w:szCs w:val="24"/>
        </w:rPr>
        <w:lastRenderedPageBreak/>
        <w:t>eficácia e a capacidade da UE para enfrentar os desafios em evolução e reforçar o seu papel na cena mundial;</w:t>
      </w:r>
    </w:p>
    <w:p w14:paraId="1B0CD152" w14:textId="73D078DD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6.</w:t>
      </w:r>
      <w:r w:rsidRPr="008527C6">
        <w:rPr>
          <w:szCs w:val="24"/>
        </w:rPr>
        <w:tab/>
        <w:t xml:space="preserve">Toma nota da Bússola para a Competitividade da Comissão, assente nas ideias constantes do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>, e da ênfase que a mesma coloca na necessidade de uma maior autonomia estratégica e de uma maior resiliência, bem como na urgência de reforçar a competitividade da UE com base na sustentabilidade, na inovação e na segurança energética e na coesão social, económica e territorial; reconhece que a ênfase dada pela Bússola para a Competitividade à eficiência regulamentar é essencial para impulsionar a inovação, atrair investimento e permitir um crescimento sustentável; apoia a introdução de ferramentas para avaliar o impacto das novas propostas nas pequenas e médias empresas e na competitividade, e recomenda o acompanhamento regular dos progressos e a promoção de soluções digitais para facilitar os procedimentos administrativos; salienta a necessidade de encarar o problema da escassez de mão de obra e de competências como um desafio estrutural para a competitividade nos Estados</w:t>
      </w:r>
      <w:r w:rsidRPr="008527C6">
        <w:rPr>
          <w:szCs w:val="24"/>
        </w:rPr>
        <w:noBreakHyphen/>
        <w:t xml:space="preserve">Membros; frisa, no entanto, que a Bússola para a Competitividade deve ser melhorada através do reforço do quadro institucional da UE; </w:t>
      </w:r>
    </w:p>
    <w:p w14:paraId="55C6ED69" w14:textId="1FB99E96" w:rsidR="00D52DC3" w:rsidRPr="008527C6" w:rsidRDefault="00D52DC3" w:rsidP="005524E1">
      <w:pPr>
        <w:pStyle w:val="NormalHanging12a"/>
        <w:rPr>
          <w:bCs/>
          <w:iCs/>
          <w:szCs w:val="24"/>
        </w:rPr>
      </w:pPr>
      <w:r w:rsidRPr="008527C6">
        <w:rPr>
          <w:szCs w:val="24"/>
        </w:rPr>
        <w:t>7.</w:t>
      </w:r>
      <w:r w:rsidRPr="008527C6">
        <w:rPr>
          <w:szCs w:val="24"/>
        </w:rPr>
        <w:tab/>
        <w:t>Congratula</w:t>
      </w:r>
      <w:r w:rsidRPr="008527C6">
        <w:rPr>
          <w:szCs w:val="24"/>
        </w:rPr>
        <w:noBreakHyphen/>
        <w:t>se com a ideia de reforçar a tomada de decisões da UE sobre prioridades estratégicas e orientadas para a competitividade; considera que qualquer instrumento de coordenação da competitividade deve servir de quadro institucional abrangente, permitindo à UE não só coordenar as políticas nacionais e da UE, mas também atuar como uma entidade única; salienta que esse instrumento deve ser liderado pela Comissão, supervisionado pelo Parlamento e pelo Conselho, e sujeito a uma avaliação independente baseada na sua eficácia e transparência e na consecução dos seus objetivos; assinala que a cooperação com os parlamentos nacionais e as autoridades reguladoras é necessária para garantir a legitimidade democrática; sublinha que a participação dos parceiros sociais e das partes interessadas deve ser integrada na governação da UE, a fim de assegurar a inclusão e a responsabilização;</w:t>
      </w:r>
    </w:p>
    <w:p w14:paraId="4B8EBEF1" w14:textId="2F05B45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8.</w:t>
      </w:r>
      <w:r w:rsidRPr="008527C6">
        <w:rPr>
          <w:szCs w:val="24"/>
        </w:rPr>
        <w:tab/>
        <w:t>Regozija</w:t>
      </w:r>
      <w:r w:rsidRPr="008527C6">
        <w:rPr>
          <w:szCs w:val="24"/>
        </w:rPr>
        <w:noBreakHyphen/>
        <w:t>se com o objetivo de acelerar o trabalho da UE e reitera o seu apelo no sentido de se avançar para uma maior eficiência na tomada de decisões, incluindo a transição para a votação por maioria qualificada e o processo legislativo ordinário, quando necessário, em domínios políticos essenciais; observa que devem ser previstos limiares de votação mais elevados em alguns domínios de importância primordial; assinala que, no passado, foram encontradas soluções que tornaram os processos de tomada de decisão mais determinantes; salienta, por exemplo, que o Tratado de Amesterdão introduziu a votação por maioria qualificada, incluindo simultaneamente a possibilidade de abstenção construtiva em certos domínios políticos;</w:t>
      </w:r>
    </w:p>
    <w:p w14:paraId="3E400FAC" w14:textId="08E42AE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9.</w:t>
      </w:r>
      <w:r w:rsidRPr="008527C6">
        <w:rPr>
          <w:szCs w:val="24"/>
        </w:rPr>
        <w:tab/>
        <w:t>Insta o Conselho Europeu a debater as propostas apresentadas nas resoluções do Parlamento, de 9 de junho de 2022 e 22 de novembro de 2023, relativas à convocação de uma convenção em conformidade com o processo de revisão ordinário previsto no artigo 48.º do TUE, e a considerar, sempre que possível, a introdução de alterações específicas aos Tratados através do processo simplificado estabelecido no artigo 48.º, n.º 6, do TUE, a fim de acelerar reformas essenciais e urgentes; recorda as conclusões da Conferência sobre o Futuro da Europa e insta a Comissão e o Conselho a tomarem medidas concretas e atempadas para dar seguimento a estas recomendações; considera que o período que antecede um compromisso sobre o próximo quadro financeiro plurianual constitui uma importante janela de oportunidade para intensificar os trabalhos sobre o reforço do quadro institucional da UE;</w:t>
      </w:r>
    </w:p>
    <w:p w14:paraId="3AA61772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lastRenderedPageBreak/>
        <w:t>10.</w:t>
      </w:r>
      <w:r w:rsidRPr="008527C6">
        <w:rPr>
          <w:szCs w:val="24"/>
        </w:rPr>
        <w:tab/>
        <w:t>Recorda as conclusões da Conferência sobre o Futuro da Europa, em particular a necessidade de uma reforma dos Tratados, e insta a Comissão e o Conselho a tomarem medidas concretas e atempadas para dar seguimento a estas recomendações;</w:t>
      </w:r>
    </w:p>
    <w:p w14:paraId="10DE41B7" w14:textId="344E835C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11.</w:t>
      </w:r>
      <w:r w:rsidRPr="008527C6">
        <w:rPr>
          <w:b/>
          <w:i/>
          <w:szCs w:val="24"/>
        </w:rPr>
        <w:tab/>
      </w:r>
      <w:r w:rsidRPr="008527C6">
        <w:rPr>
          <w:szCs w:val="24"/>
        </w:rPr>
        <w:t>Reitera o seu compromisso de reforçar a capacidade da UE para agir rápida e eficazmente e de melhorar a eficiência da tomada de decisões em domínios políticos fundamentais; reitera o seu apelo ao alargamento da votação por maioria qualificada e do processo legislativo ordinário a domínios políticos fundamentais, quando necessário, utilizando as cláusulas</w:t>
      </w:r>
      <w:r w:rsidRPr="008527C6">
        <w:rPr>
          <w:szCs w:val="24"/>
        </w:rPr>
        <w:noBreakHyphen/>
        <w:t>ponte, tal como previsto nos Tratados, a fim de melhorar a capacidade da UE para agir rápida e eficazmente;</w:t>
      </w:r>
    </w:p>
    <w:p w14:paraId="398BC007" w14:textId="4312370A" w:rsidR="00D52DC3" w:rsidRPr="008527C6" w:rsidRDefault="00D52DC3" w:rsidP="005524E1">
      <w:pPr>
        <w:pStyle w:val="NormalHanging12a"/>
        <w:rPr>
          <w:bCs/>
          <w:szCs w:val="24"/>
        </w:rPr>
      </w:pPr>
      <w:r w:rsidRPr="008527C6">
        <w:rPr>
          <w:szCs w:val="24"/>
        </w:rPr>
        <w:t>12.</w:t>
      </w:r>
      <w:r w:rsidRPr="008527C6">
        <w:rPr>
          <w:szCs w:val="24"/>
        </w:rPr>
        <w:tab/>
        <w:t>Insta o Conselho a ponderar o recurso à cooperação reforçada nos termos do artigo 20.º do TUE nos casos em que a votação por unanimidade não permita a tomada de decisões importantes para a UE no seu conjunto em domínios de intervenção fundamentais; sublinha que a cooperação reforçada se baseia nas necessidades legítimas dos Estados</w:t>
      </w:r>
      <w:r w:rsidRPr="008527C6">
        <w:rPr>
          <w:szCs w:val="24"/>
        </w:rPr>
        <w:noBreakHyphen/>
        <w:t>Membros, quando os objetivos dessa cooperação não possam ser alcançados num prazo razoável pela União no seu conjunto; salienta que a cooperação reforçada oferece duas salvaguardas importantes, nomeadamente o consentimento do Parlamento e a fiscalização jurisdicional pelo Tribunal de Justiça da União Europeia (TJUE), e que as decisões tomadas no âmbito da cooperação reforçada se baseiam numa proposta da Comissão; sublinha que o principal objetivo da cooperação reforçada é a simplificação da tomada de decisões; aconselha os Estados</w:t>
      </w:r>
      <w:r w:rsidRPr="008527C6">
        <w:rPr>
          <w:szCs w:val="24"/>
        </w:rPr>
        <w:noBreakHyphen/>
        <w:t>Membros participantes a ativarem a cláusula</w:t>
      </w:r>
      <w:r w:rsidRPr="008527C6">
        <w:rPr>
          <w:szCs w:val="24"/>
        </w:rPr>
        <w:noBreakHyphen/>
        <w:t xml:space="preserve">ponte específica consagrada no artigo 333.º do TFUE para que se adote a votação por maioria qualificada e o processo legislativo ordinário no âmbito da cooperação reforçada; observa que 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 propõe que, nos casos em que não seja possível chegar a um acordo unânime para introduzir a votação por maioria qualificada, os Estados</w:t>
      </w:r>
      <w:r w:rsidRPr="008527C6">
        <w:rPr>
          <w:szCs w:val="24"/>
        </w:rPr>
        <w:noBreakHyphen/>
        <w:t>Membros interessados possam também considerar o recurso à cooperação intergovernamental;</w:t>
      </w:r>
    </w:p>
    <w:p w14:paraId="4152AF60" w14:textId="2CD65393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13.</w:t>
      </w:r>
      <w:r w:rsidRPr="008527C6">
        <w:rPr>
          <w:szCs w:val="24"/>
        </w:rPr>
        <w:tab/>
        <w:t>Salienta que a melhoria do processo de tomada de decisões da UE exige a capacitação do Parlamento, colocando</w:t>
      </w:r>
      <w:r w:rsidRPr="008527C6">
        <w:rPr>
          <w:szCs w:val="24"/>
        </w:rPr>
        <w:noBreakHyphen/>
        <w:t xml:space="preserve">o em pé de igualdade com o Conselho, e insta ao reforço do papel do Parlamento no processo legislativo; solicita, mais uma vez, que seja concedido ao Parlamento o direito pleno de iniciativa legislativa; realça a importância de modernizar o direito de inquérito do Parlamento para reforçar o controlo democrático sobre o executivo da UE; </w:t>
      </w:r>
    </w:p>
    <w:p w14:paraId="1C1EBFC2" w14:textId="3550F92F" w:rsidR="00D52DC3" w:rsidRPr="008527C6" w:rsidRDefault="00D52DC3" w:rsidP="008527C6">
      <w:pPr>
        <w:pStyle w:val="Normal12a24b"/>
        <w:tabs>
          <w:tab w:val="left" w:pos="567"/>
        </w:tabs>
        <w:spacing w:before="0"/>
        <w:ind w:left="567" w:hanging="567"/>
        <w:rPr>
          <w:bCs/>
          <w:iCs/>
          <w:szCs w:val="24"/>
        </w:rPr>
      </w:pPr>
      <w:r w:rsidRPr="008527C6">
        <w:rPr>
          <w:szCs w:val="24"/>
        </w:rPr>
        <w:t>14.</w:t>
      </w:r>
      <w:r w:rsidRPr="008527C6">
        <w:rPr>
          <w:szCs w:val="24"/>
        </w:rPr>
        <w:tab/>
        <w:t>Considera que o artigo 122.º do TFUE constitui um instrumento que permite uma ação rápida da UE estritamente em situações de crise, mas salienta que a sua utilização exige uma supervisão rigorosa, não só pelo TJUE, mas também pelo Parlamento; realça a necessidade de garantir uma estreita cooperação entre a Comissão, o Parlamento e outras instituições e órgãos pertinentes da UE; solicita que os procedimentos de ativação do artigo 122.º do TFUE sejam clarificados e tornados mais sistemáticos, nomeadamente habilitando ambos os colegisladores a decidir sobre a sua ativação;</w:t>
      </w:r>
    </w:p>
    <w:p w14:paraId="62AF2CB2" w14:textId="77777777" w:rsidR="00D52DC3" w:rsidRPr="008527C6" w:rsidRDefault="00D52DC3" w:rsidP="008527C6">
      <w:pPr>
        <w:pStyle w:val="Normal12a24b"/>
        <w:tabs>
          <w:tab w:val="left" w:pos="567"/>
        </w:tabs>
        <w:spacing w:before="0"/>
        <w:ind w:left="567" w:hanging="567"/>
        <w:rPr>
          <w:bCs/>
          <w:iCs/>
          <w:szCs w:val="24"/>
        </w:rPr>
      </w:pPr>
      <w:r w:rsidRPr="008527C6">
        <w:rPr>
          <w:szCs w:val="24"/>
        </w:rPr>
        <w:t>15.</w:t>
      </w:r>
      <w:r w:rsidRPr="008527C6">
        <w:rPr>
          <w:szCs w:val="24"/>
        </w:rPr>
        <w:tab/>
        <w:t>Salienta a necessidade urgente de melhorar o quadro institucional e financeiro da UE, a fim de garantir que este se mantenha funcional, democrático e competitivo e que seja capaz de absorver novos membros e promover a sua integração bem</w:t>
      </w:r>
      <w:r w:rsidRPr="008527C6">
        <w:rPr>
          <w:szCs w:val="24"/>
        </w:rPr>
        <w:noBreakHyphen/>
        <w:t xml:space="preserve">sucedida, tendo em vista futuros alargamentos; reafirma, por conseguinte, que o alargamento deve ser acompanhado do reforço da governação da UE; incentiva o diálogo entre a UE e os governos, parlamentos e sociedade civil dos países candidatos sobre quaisquer propostas de alteração do quadro institucional da UE previstas; reconhece a importância </w:t>
      </w:r>
      <w:r w:rsidRPr="008527C6">
        <w:rPr>
          <w:szCs w:val="24"/>
        </w:rPr>
        <w:lastRenderedPageBreak/>
        <w:t xml:space="preserve">de iniciativas como a Comunidade Política Europeia, que permitem a cooperação política e contribuem para os diálogos regionais e que podem facilitar a integração gradual dos países candidatos na União e nas suas políticas, sem constituírem alternativas à adesão à UE; salienta que o Parlamento deve ser regularmente informado e consultado sobre os desenvolvimentos no âmbito da Comunidade Política Europeia, a fim de garantir a responsabilidade democrática e a coerência com o quadro institucional da UE; </w:t>
      </w:r>
    </w:p>
    <w:p w14:paraId="7552A3D8" w14:textId="77777777" w:rsidR="00D52DC3" w:rsidRPr="008527C6" w:rsidRDefault="00D52DC3" w:rsidP="005524E1">
      <w:pPr>
        <w:pStyle w:val="NormalHanging12a"/>
        <w:rPr>
          <w:b/>
          <w:szCs w:val="24"/>
          <w:u w:val="single"/>
        </w:rPr>
      </w:pPr>
      <w:r w:rsidRPr="008527C6">
        <w:rPr>
          <w:b/>
          <w:i/>
          <w:szCs w:val="24"/>
        </w:rPr>
        <w:t>Governação da UE eficiente em domínios políticos fundamentais</w:t>
      </w:r>
    </w:p>
    <w:p w14:paraId="7E6486FB" w14:textId="7E743E30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16.</w:t>
      </w:r>
      <w:r w:rsidRPr="008527C6">
        <w:rPr>
          <w:szCs w:val="24"/>
        </w:rPr>
        <w:tab/>
        <w:t xml:space="preserve">Solicita a conclusão do mercado único europeu, tal como consagrado nos artigos 26.º e 114.º do TFUE e no artigo 3.º, n.º 3, do TUE, a fim de utilizar todo o seu potencial e superar os obstáculos remanescentes, incluindo a concorrência internacional desleal, com vista a contrariar os elevados preços da energia, a escassez de competências e de mão de obra, as dificuldades de acesso ao capital, a aplicação fragmentada das normas da UE, o apoio insuficiente para as transições verde e digital e os elevados encargos administrativos para os cidadãos e as empresas, bem como a promover o crescimento económico, a coesão social, económica e territorial e o intercâmbio cultural na UE; defende o desenvolvimento de um mercado de capitais europeu integrado, tal como previsto nos artigos 26.º e 63.º do TFUE, através de uma nova União da Poupança e dos Investimentos e com base na União dos Mercados de Capitais incompleta; preconiza o reforço da Autoridade Europeia dos Valores Mobiliários e dos Mercados, nos termos da base jurídica do artigo 114.º do TFUE, para melhorar a convergência no domínio da supervisão e a coordenação transfronteiriça no âmbito da União da Poupança e dos Investimentos; observa que o Relatório </w:t>
      </w:r>
      <w:proofErr w:type="spellStart"/>
      <w:r w:rsidRPr="008527C6">
        <w:rPr>
          <w:szCs w:val="24"/>
        </w:rPr>
        <w:t>Letta</w:t>
      </w:r>
      <w:proofErr w:type="spellEnd"/>
      <w:r w:rsidRPr="008527C6">
        <w:rPr>
          <w:szCs w:val="24"/>
        </w:rPr>
        <w:t xml:space="preserve"> também reconheceu a importância do poder económico do mercado único para as ambições globais e comerciais da UE, incluindo nas relações económicas com parceiros estratégicos;</w:t>
      </w:r>
    </w:p>
    <w:p w14:paraId="719B5294" w14:textId="7777777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17.</w:t>
      </w:r>
      <w:r w:rsidRPr="008527C6">
        <w:rPr>
          <w:szCs w:val="24"/>
        </w:rPr>
        <w:tab/>
        <w:t xml:space="preserve">Apoia o aditamento de uma «quinta liberdade» às quatro existentes, tal como sugerido no Relatório </w:t>
      </w:r>
      <w:proofErr w:type="spellStart"/>
      <w:r w:rsidRPr="008527C6">
        <w:rPr>
          <w:szCs w:val="24"/>
        </w:rPr>
        <w:t>Letta</w:t>
      </w:r>
      <w:proofErr w:type="spellEnd"/>
      <w:r w:rsidRPr="008527C6">
        <w:rPr>
          <w:szCs w:val="24"/>
        </w:rPr>
        <w:t>, para reforçar a investigação, a inovação, o conhecimento e a educação dos investigadores, das pessoas inovadoras e dos trabalhadores no mercado único;</w:t>
      </w:r>
    </w:p>
    <w:p w14:paraId="6EBBDA4B" w14:textId="4C82A788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18.</w:t>
      </w:r>
      <w:r w:rsidRPr="008527C6">
        <w:rPr>
          <w:szCs w:val="24"/>
        </w:rPr>
        <w:tab/>
        <w:t>Exorta a Comissão a garantir que as futuras iniciativas que visem fortalecer a competitividade da UE e aprofundar o mercado único sejam ancoradas em medidas que melhorem a coesão económica, social e territorial, tal como consagrado nos tratados; salienta que os mecanismos institucionais que garantem a igualdade de oportunidades, a solidariedade e a redução das desigualdades devem ser plenamente integrados no sistema de governação da UE; pede novamente o reforço da aplicação e da monitorização do Pilar Europeu dos Direitos Sociais através das estruturas de governação da UE, incorporando o progresso social como um dos elementos centrais da governação da UE;</w:t>
      </w:r>
    </w:p>
    <w:p w14:paraId="37B26A0E" w14:textId="4B61DC0E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19.</w:t>
      </w:r>
      <w:r w:rsidRPr="008527C6">
        <w:rPr>
          <w:szCs w:val="24"/>
        </w:rPr>
        <w:tab/>
        <w:t xml:space="preserve">Reafirma que os objetivos do mercado único devem estar alinhados não só com o direito à livre circulação mas também com a «liberdade de permanência», tal como descrita no Relatório </w:t>
      </w:r>
      <w:proofErr w:type="spellStart"/>
      <w:r w:rsidRPr="008527C6">
        <w:rPr>
          <w:szCs w:val="24"/>
        </w:rPr>
        <w:t>Letta</w:t>
      </w:r>
      <w:proofErr w:type="spellEnd"/>
      <w:r w:rsidRPr="008527C6">
        <w:rPr>
          <w:szCs w:val="24"/>
        </w:rPr>
        <w:t>; convida, por conseguinte, a Comissão a atribuir a responsabilidade pela «liberdade de permanência» a um dos comissários, com uma pasta que inclua a política de coesão e os serviços de interesse geral, e a estabelecer um diálogo estruturado e contínuo entre o comissário e as autoridades regionais dos Estados</w:t>
      </w:r>
      <w:r w:rsidRPr="008527C6">
        <w:rPr>
          <w:szCs w:val="24"/>
        </w:rPr>
        <w:noBreakHyphen/>
        <w:t xml:space="preserve">Membros com o intuito de garantir que as políticas relacionadas com a «liberdade de permanência» sejam cuidadosamente adaptadas às especificidades </w:t>
      </w:r>
      <w:r w:rsidRPr="008527C6">
        <w:rPr>
          <w:szCs w:val="24"/>
        </w:rPr>
        <w:lastRenderedPageBreak/>
        <w:t xml:space="preserve">territoriais e de respeitar a diversidade socioeconómica e cultural das diversas regiões da UE; reconhece que a promoção do desenvolvimento das infraestruturas, da criação de comunidades, da criação de emprego, do acesso aos serviços públicos e de um ambiente adequado para as indústrias e o investimento é essencial para respeitar o direito das pessoas a permanecerem nas suas regiões e contribui para o desenvolvimento económico e a competitividade da UE; salienta a importância de manter a política de coesão como uma componente forte do orçamento da UE, assegurando que responde mais efetivamente às necessidades específicas das regiões e das cidades, inclusive através de um acesso mais direito aos fundos da UE;  sublinha a necessidade de os projetos da política de coesão serem realizados de forma mais eficiente e com maior visibilidade no terreno, para obter resultados concretos que reforcem o sentimento de pertença dos cidadãos e o seu apoio à integração na UE; </w:t>
      </w:r>
    </w:p>
    <w:p w14:paraId="529B69D6" w14:textId="77777777" w:rsidR="00D52DC3" w:rsidRPr="008527C6" w:rsidRDefault="00D52DC3" w:rsidP="008527C6">
      <w:pPr>
        <w:pStyle w:val="Normal12a24b"/>
        <w:spacing w:before="0"/>
        <w:ind w:left="567" w:hanging="567"/>
        <w:rPr>
          <w:bCs/>
          <w:iCs/>
          <w:szCs w:val="24"/>
        </w:rPr>
      </w:pPr>
      <w:r w:rsidRPr="008527C6">
        <w:rPr>
          <w:szCs w:val="24"/>
        </w:rPr>
        <w:t>20.</w:t>
      </w:r>
      <w:r w:rsidRPr="008527C6">
        <w:rPr>
          <w:szCs w:val="24"/>
        </w:rPr>
        <w:tab/>
        <w:t>Salienta que a UE deve agir de forma mais eficaz em domínios estratégicos, complementando os esforços nacionais e apoiando</w:t>
      </w:r>
      <w:r w:rsidRPr="008527C6">
        <w:rPr>
          <w:szCs w:val="24"/>
        </w:rPr>
        <w:noBreakHyphen/>
        <w:t xml:space="preserve">os com uma combinação de recursos próprios da UE e contribuições coordenadas, e realça que tal reforçaria a competitividade, a inovação, a resiliência económica, a coesão social e territorial, a sustentabilidade ambiental e energética e a segurança coletiva da Europa; sublinha, à luz das conclusões do Relatório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, que é necessário manter um debate aberto e prospetivo, tendo em mente os ensinamentos retirados da experiência adquirida com o </w:t>
      </w:r>
      <w:proofErr w:type="spellStart"/>
      <w:r w:rsidRPr="008527C6">
        <w:rPr>
          <w:szCs w:val="24"/>
        </w:rPr>
        <w:t>NextGenerationEU</w:t>
      </w:r>
      <w:proofErr w:type="spellEnd"/>
      <w:r w:rsidRPr="008527C6">
        <w:rPr>
          <w:szCs w:val="24"/>
        </w:rPr>
        <w:t>; releva a importância de criar instrumentos e ferramentas de investimento ao nível da UE para financiar investimentos estratégicos conjuntos em bens e serviços públicos europeus e a importância do ajustamento dos programas de financiamento, de molde que tenham em conta a evolução da dinâmica do comércio e das inovações; realça que verdadeiros novos recursos próprios da UE são fundamentais para permitir ao Parlamento e ao Conselho adotar orçamentos flexíveis e, assim, habilitar a UE a agir de forma mais autónoma e reduzir a sua dependência das contribuições dos orçamentos nacionais; salienta, a título de exemplo, que o mecanismo de ajustamento carbónico fronteiriço poderia tornar</w:t>
      </w:r>
      <w:r w:rsidRPr="008527C6">
        <w:rPr>
          <w:szCs w:val="24"/>
        </w:rPr>
        <w:noBreakHyphen/>
        <w:t>se um novo recurso próprio da UE, visto contar com um elevado nível de apoio entre os Estados</w:t>
      </w:r>
      <w:r w:rsidRPr="008527C6">
        <w:rPr>
          <w:szCs w:val="24"/>
        </w:rPr>
        <w:noBreakHyphen/>
        <w:t>Membros; relembra a posição do Parlamento, expressa na sua proposta sobre o quadro financeiro plurianual para 2028</w:t>
      </w:r>
      <w:r w:rsidRPr="008527C6">
        <w:rPr>
          <w:szCs w:val="24"/>
        </w:rPr>
        <w:noBreakHyphen/>
        <w:t>2034, quanto à necessidade de ir além da regra autoimposta, segundo a qual a grandeza do orçamento de longo prazo da UE não deve exceder 1 % do PNB agregado;</w:t>
      </w:r>
    </w:p>
    <w:p w14:paraId="2F380CE9" w14:textId="77777777" w:rsidR="00D52DC3" w:rsidRPr="008527C6" w:rsidRDefault="00D52DC3" w:rsidP="008527C6">
      <w:pPr>
        <w:pStyle w:val="Normal12a24b"/>
        <w:spacing w:before="0"/>
        <w:ind w:left="567" w:hanging="567"/>
        <w:rPr>
          <w:szCs w:val="24"/>
        </w:rPr>
      </w:pPr>
      <w:r w:rsidRPr="008527C6">
        <w:rPr>
          <w:szCs w:val="24"/>
        </w:rPr>
        <w:t>21.</w:t>
      </w:r>
      <w:r w:rsidRPr="008527C6">
        <w:rPr>
          <w:szCs w:val="24"/>
        </w:rPr>
        <w:tab/>
        <w:t>Sublinha que, para manter e reforçar a competitividade global da UE, é necessário simplificar o orçamento da União, a fim de reduzir os encargos administrativos desnecessários, facilitar o acesso dos beneficiários aos fundos e melhor servir o objetivo de promover a coesão económica, social e territorial garantindo que o financiamento chega àqueles que dele mais necessitam, em particular as pequenas e médias empresas, as comunidades locais e os atores socioeconómicos, nomeadamente nas zonas rurais, periféricas ou economicamente desfavorecidas; recorda, no entanto, que os esforços de simplificação não devem prejudicar os princípios fundamentais subjacentes ao quadro financeiro plurianual e aos seus programas, nem enfraquecer o controlo democrático da sua execução; salienta que a simplificação deve ser acompanhada por fortes garantias de igualdade de acesso, não discriminação e responsabilização efetiva, e que o Parlamento deve garantir o controlo democrático através do ciclo de financiamento;</w:t>
      </w:r>
    </w:p>
    <w:p w14:paraId="14541C24" w14:textId="77777777" w:rsidR="00D52DC3" w:rsidRPr="008527C6" w:rsidRDefault="00D52DC3" w:rsidP="008527C6">
      <w:pPr>
        <w:pStyle w:val="Normal12a24b"/>
        <w:spacing w:before="0"/>
        <w:ind w:left="567" w:hanging="567"/>
        <w:rPr>
          <w:bCs/>
          <w:iCs/>
          <w:szCs w:val="24"/>
        </w:rPr>
      </w:pPr>
      <w:r w:rsidRPr="008527C6">
        <w:rPr>
          <w:szCs w:val="24"/>
        </w:rPr>
        <w:t>22.</w:t>
      </w:r>
      <w:r w:rsidRPr="008527C6">
        <w:rPr>
          <w:szCs w:val="24"/>
        </w:rPr>
        <w:tab/>
        <w:t xml:space="preserve">Sublinha que, para atingir os objetivos de competitividade da UE, importa integrar os objetivos da neutralidade climática e da sustentabilidade no quadro institucional e de governação da UE; insiste em que as reformas devem respeitar as disposições dos Tratados, incluindo o artigo 194.º do TFUE, e ser dotadas de plena legitimidade </w:t>
      </w:r>
      <w:r w:rsidRPr="008527C6">
        <w:rPr>
          <w:szCs w:val="24"/>
        </w:rPr>
        <w:lastRenderedPageBreak/>
        <w:t>democrática, através da participação do Parlamento na sua conceção, no seu financiamento e na sua supervisão; destaca a importância de reforçar a coordenação interinstitucional e de garantir que as decisões neste domínio sejam sujeitas a um controlo parlamentar efetivo, fortalecendo assim as bases democráticas da União;</w:t>
      </w:r>
    </w:p>
    <w:p w14:paraId="79C84E37" w14:textId="77777777" w:rsidR="00D52DC3" w:rsidRPr="008527C6" w:rsidRDefault="00D52DC3" w:rsidP="008527C6">
      <w:pPr>
        <w:pStyle w:val="Normal12a24b"/>
        <w:spacing w:before="0"/>
        <w:ind w:left="567" w:hanging="567"/>
        <w:rPr>
          <w:bCs/>
          <w:iCs/>
          <w:szCs w:val="24"/>
        </w:rPr>
      </w:pPr>
      <w:r w:rsidRPr="008527C6">
        <w:rPr>
          <w:szCs w:val="24"/>
        </w:rPr>
        <w:t>23.</w:t>
      </w:r>
      <w:r w:rsidRPr="008527C6">
        <w:rPr>
          <w:szCs w:val="24"/>
        </w:rPr>
        <w:tab/>
        <w:t>Solicita à Comissão e aos Estados</w:t>
      </w:r>
      <w:r w:rsidRPr="008527C6">
        <w:rPr>
          <w:szCs w:val="24"/>
        </w:rPr>
        <w:noBreakHyphen/>
        <w:t>Membros, face aos problemas geopolíticos atuais, que criem uma verdadeira União Europeia da Defesa e impulsionem o investimento industrial na defesa europeia, em particular recorrendo a instrumentos verdadeiramente europeus, com novos financiamentos e acompanhados de um programa completo para a defesa, designadamente contra ataques híbridos, que preveja a execução conjunta do planeamento, da investigação, do desenvolvimento, da aquisição e da gestão de capacidades por grupos de Estados</w:t>
      </w:r>
      <w:r w:rsidRPr="008527C6">
        <w:rPr>
          <w:szCs w:val="24"/>
        </w:rPr>
        <w:noBreakHyphen/>
        <w:t xml:space="preserve">Membros em número significativo; insta a Comissão a melhorar a coerência entre os instrumentos existentes e futuros, nomeadamente a nível da governação, a fim de assegurar um controlo democrático efetivo da nova União da Defesa; insta a UE a ultrapassar a fragmentação do mercado, em consonância com as recomendações expressas nos relatórios </w:t>
      </w:r>
      <w:proofErr w:type="spellStart"/>
      <w:r w:rsidRPr="008527C6">
        <w:rPr>
          <w:szCs w:val="24"/>
        </w:rPr>
        <w:t>Draghi</w:t>
      </w:r>
      <w:proofErr w:type="spellEnd"/>
      <w:r w:rsidRPr="008527C6">
        <w:rPr>
          <w:szCs w:val="24"/>
        </w:rPr>
        <w:t xml:space="preserve">, </w:t>
      </w:r>
      <w:proofErr w:type="spellStart"/>
      <w:r w:rsidRPr="008527C6">
        <w:rPr>
          <w:szCs w:val="24"/>
        </w:rPr>
        <w:t>Letta</w:t>
      </w:r>
      <w:proofErr w:type="spellEnd"/>
      <w:r w:rsidRPr="008527C6">
        <w:rPr>
          <w:szCs w:val="24"/>
        </w:rPr>
        <w:t xml:space="preserve"> e </w:t>
      </w:r>
      <w:proofErr w:type="spellStart"/>
      <w:r w:rsidRPr="008527C6">
        <w:rPr>
          <w:szCs w:val="24"/>
        </w:rPr>
        <w:t>Niiniströ</w:t>
      </w:r>
      <w:proofErr w:type="spellEnd"/>
      <w:r w:rsidRPr="008527C6">
        <w:rPr>
          <w:szCs w:val="24"/>
        </w:rPr>
        <w:t>, através da criação de um mercado único da defesa, no qual se apliquem regras comuns vinculativas; observa que estas regras comuns permitiriam assegurar uma concorrência leal e facilitar a certificação cruzada dos produtos de defesa –– garantindo ao mesmo tempo a plena interoperabilidade e permutabilidade –– gerar economias de escala e reforçar as capacidades e os recursos; pede à Comissão e aos Estados</w:t>
      </w:r>
      <w:r w:rsidRPr="008527C6">
        <w:rPr>
          <w:szCs w:val="24"/>
        </w:rPr>
        <w:noBreakHyphen/>
        <w:t>Membros que integrem os investimentos na defesa num conceito de segurança mais amplo que inclua também iniciativas europeias comuns, a saber, os projetos europeus de interesse comum no domínio da defesa, o reforço das infraestruturas críticas e a evolução de projetos de I&amp;D, velando assim pela criação e manutenção de empregos de qualidade; insta o Conselho Europeu a chegar a acordo sobre a ativação do artigo 42.º, n.º 2, do TUE, tendo em vista a criação de uma política de defesa comum da UE; sublinha que a nova União da Defesa deve complementar e não substituir a NATO; toma nota de que os Estados</w:t>
      </w:r>
      <w:r w:rsidRPr="008527C6">
        <w:rPr>
          <w:szCs w:val="24"/>
        </w:rPr>
        <w:noBreakHyphen/>
        <w:t>Membros deram início à definição gradual da política de defesa europeia, tendo criado a Agência Europeia de Defesa (AED) e estabelecido uma cooperação estruturada permanente (CEP); insta os Estados</w:t>
      </w:r>
      <w:r w:rsidRPr="008527C6">
        <w:rPr>
          <w:szCs w:val="24"/>
        </w:rPr>
        <w:noBreakHyphen/>
        <w:t>Membros a continuar a trabalhar na definição gradual de uma União da Defesa europeia que conduza ao estabelecimento de uma defesa comum; relembra que o estabelecimento do fundo de arranque, da AED e da PESCP, assim como a utilização do orçamento da UE, são regidos pela votação por maioria qualificada; recorda que, em conformidade com o disposto no artigo 44.º do TUE, um grupo de Estados</w:t>
      </w:r>
      <w:r w:rsidRPr="008527C6">
        <w:rPr>
          <w:szCs w:val="24"/>
        </w:rPr>
        <w:noBreakHyphen/>
        <w:t>Membros pode também decidir usar a votação por maioria qualificada;</w:t>
      </w:r>
    </w:p>
    <w:p w14:paraId="146D9C94" w14:textId="0443E227" w:rsidR="00D52DC3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24.</w:t>
      </w:r>
      <w:r w:rsidRPr="008527C6">
        <w:rPr>
          <w:szCs w:val="24"/>
        </w:rPr>
        <w:tab/>
        <w:t>Salienta que o reforço da governação da IA deve basear</w:t>
      </w:r>
      <w:r w:rsidRPr="008527C6">
        <w:rPr>
          <w:szCs w:val="24"/>
        </w:rPr>
        <w:noBreakHyphen/>
        <w:t>se na transparência, na proteção dos direitos fundamentais e na salvaguarda do interesse público, em consonância com a abordagem da UE assente em regras; insta a Comissão a reforçar o papel do atual Serviço Europeu para a Inteligência Artificial; congratula</w:t>
      </w:r>
      <w:r w:rsidRPr="008527C6">
        <w:rPr>
          <w:szCs w:val="24"/>
        </w:rPr>
        <w:noBreakHyphen/>
        <w:t xml:space="preserve">se com o plano de ação para o desenvolvimento de um «modelo de IA» da UE, baseado na cooperação entre intervenientes públicos e privados; </w:t>
      </w:r>
    </w:p>
    <w:p w14:paraId="25EA3B90" w14:textId="25FBD0A4" w:rsidR="005B50FC" w:rsidRPr="008527C6" w:rsidRDefault="005B50FC" w:rsidP="005524E1">
      <w:pPr>
        <w:pStyle w:val="NormalHanging12a"/>
        <w:ind w:left="0" w:firstLine="0"/>
        <w:jc w:val="center"/>
        <w:rPr>
          <w:szCs w:val="24"/>
        </w:rPr>
      </w:pPr>
      <w:r w:rsidRPr="008527C6">
        <w:rPr>
          <w:szCs w:val="24"/>
        </w:rPr>
        <w:t>°</w:t>
      </w:r>
    </w:p>
    <w:p w14:paraId="6E04E7C0" w14:textId="4D3BB380" w:rsidR="005B50FC" w:rsidRPr="008527C6" w:rsidRDefault="005B50FC" w:rsidP="005524E1">
      <w:pPr>
        <w:pStyle w:val="NormalHanging12a"/>
        <w:ind w:left="0" w:firstLine="0"/>
        <w:jc w:val="center"/>
        <w:rPr>
          <w:szCs w:val="24"/>
        </w:rPr>
      </w:pPr>
      <w:r w:rsidRPr="008527C6">
        <w:rPr>
          <w:szCs w:val="24"/>
        </w:rPr>
        <w:t>°     °</w:t>
      </w:r>
    </w:p>
    <w:p w14:paraId="1937089A" w14:textId="45197AFB" w:rsidR="00E365E1" w:rsidRPr="008527C6" w:rsidRDefault="00D52DC3" w:rsidP="005524E1">
      <w:pPr>
        <w:pStyle w:val="NormalHanging12a"/>
        <w:rPr>
          <w:szCs w:val="24"/>
        </w:rPr>
      </w:pPr>
      <w:r w:rsidRPr="008527C6">
        <w:rPr>
          <w:szCs w:val="24"/>
        </w:rPr>
        <w:t>25.</w:t>
      </w:r>
      <w:r w:rsidRPr="008527C6">
        <w:rPr>
          <w:szCs w:val="24"/>
        </w:rPr>
        <w:tab/>
        <w:t>Encarrega a sua Presidente de transmitir a presente resolução ao Conselho, à Comissão, ao Conselho Europeu e aos governos e parlamentos dos Estados</w:t>
      </w:r>
      <w:r w:rsidRPr="008527C6">
        <w:rPr>
          <w:szCs w:val="24"/>
        </w:rPr>
        <w:noBreakHyphen/>
        <w:t>Membros.</w:t>
      </w:r>
    </w:p>
    <w:sectPr w:rsidR="00E365E1" w:rsidRPr="008527C6" w:rsidSect="00AE37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01109" w14:textId="77777777" w:rsidR="00997FCE" w:rsidRPr="00AE375E" w:rsidRDefault="00997FCE">
      <w:r w:rsidRPr="00AE375E">
        <w:separator/>
      </w:r>
    </w:p>
  </w:endnote>
  <w:endnote w:type="continuationSeparator" w:id="0">
    <w:p w14:paraId="6BFE855A" w14:textId="77777777" w:rsidR="00997FCE" w:rsidRPr="00AE375E" w:rsidRDefault="00997FCE">
      <w:r w:rsidRPr="00AE37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C89D6" w14:textId="77777777" w:rsidR="00064002" w:rsidRPr="00AE37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26383" w14:textId="77777777" w:rsidR="00064002" w:rsidRPr="00AE37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B26DE" w14:textId="77777777" w:rsidR="00064002" w:rsidRPr="00AE37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F38BB" w14:textId="77777777" w:rsidR="00997FCE" w:rsidRPr="00AE375E" w:rsidRDefault="00997FCE">
      <w:r w:rsidRPr="00AE375E">
        <w:separator/>
      </w:r>
    </w:p>
  </w:footnote>
  <w:footnote w:type="continuationSeparator" w:id="0">
    <w:p w14:paraId="27B143BA" w14:textId="77777777" w:rsidR="00997FCE" w:rsidRPr="00AE375E" w:rsidRDefault="00997FCE">
      <w:r w:rsidRPr="00AE375E">
        <w:continuationSeparator/>
      </w:r>
    </w:p>
  </w:footnote>
  <w:footnote w:id="1">
    <w:p w14:paraId="0E7C591F" w14:textId="60DF7869" w:rsidR="00D52DC3" w:rsidRPr="008527C6" w:rsidRDefault="00D52DC3" w:rsidP="00AE375E">
      <w:pPr>
        <w:pStyle w:val="FootnoteText"/>
        <w:ind w:left="567" w:hanging="567"/>
        <w:rPr>
          <w:sz w:val="24"/>
          <w:lang w:val="da-DK"/>
        </w:rPr>
      </w:pPr>
      <w:r w:rsidRPr="00AE375E">
        <w:rPr>
          <w:rStyle w:val="FootnoteReference"/>
          <w:sz w:val="24"/>
          <w:lang w:val="pt-PT"/>
        </w:rPr>
        <w:footnoteRef/>
      </w:r>
      <w:r w:rsidR="00AE375E" w:rsidRPr="008527C6">
        <w:rPr>
          <w:sz w:val="24"/>
          <w:lang w:val="da-DK"/>
        </w:rPr>
        <w:t xml:space="preserve"> </w:t>
      </w:r>
      <w:r w:rsidR="00AE375E" w:rsidRPr="008527C6">
        <w:rPr>
          <w:sz w:val="24"/>
          <w:lang w:val="da-DK"/>
        </w:rPr>
        <w:tab/>
      </w:r>
      <w:r w:rsidRPr="008527C6">
        <w:rPr>
          <w:sz w:val="24"/>
          <w:lang w:val="da-DK"/>
        </w:rPr>
        <w:t>JO C 465 de 6.12.2022, p. 109.</w:t>
      </w:r>
    </w:p>
  </w:footnote>
  <w:footnote w:id="2">
    <w:p w14:paraId="5373BBAC" w14:textId="487D4EAA" w:rsidR="00D52DC3" w:rsidRPr="008527C6" w:rsidRDefault="00D52DC3" w:rsidP="00AE375E">
      <w:pPr>
        <w:pStyle w:val="FootnoteText"/>
        <w:ind w:left="567" w:hanging="567"/>
        <w:rPr>
          <w:sz w:val="24"/>
          <w:lang w:val="da-DK"/>
        </w:rPr>
      </w:pPr>
      <w:r w:rsidRPr="00AE375E">
        <w:rPr>
          <w:rStyle w:val="FootnoteReference"/>
          <w:sz w:val="24"/>
          <w:lang w:val="pt-PT"/>
        </w:rPr>
        <w:footnoteRef/>
      </w:r>
      <w:r w:rsidR="00AE375E" w:rsidRPr="008527C6">
        <w:rPr>
          <w:sz w:val="24"/>
          <w:lang w:val="da-DK"/>
        </w:rPr>
        <w:t xml:space="preserve"> </w:t>
      </w:r>
      <w:r w:rsidR="00AE375E" w:rsidRPr="008527C6">
        <w:rPr>
          <w:sz w:val="24"/>
          <w:lang w:val="da-DK"/>
        </w:rPr>
        <w:tab/>
      </w:r>
      <w:r w:rsidRPr="008527C6">
        <w:rPr>
          <w:sz w:val="24"/>
          <w:lang w:val="da-DK"/>
        </w:rPr>
        <w:t>JO C 493 de 27.12.2022, p. 130.</w:t>
      </w:r>
    </w:p>
  </w:footnote>
  <w:footnote w:id="3">
    <w:p w14:paraId="19F3A548" w14:textId="461832BD" w:rsidR="00D52DC3" w:rsidRPr="008527C6" w:rsidRDefault="00D52DC3" w:rsidP="00AE375E">
      <w:pPr>
        <w:pStyle w:val="FootnoteText"/>
        <w:ind w:left="567" w:hanging="567"/>
        <w:rPr>
          <w:sz w:val="24"/>
          <w:lang w:val="fi-FI"/>
        </w:rPr>
      </w:pPr>
      <w:r w:rsidRPr="00AE375E">
        <w:rPr>
          <w:rStyle w:val="FootnoteReference"/>
          <w:sz w:val="24"/>
          <w:lang w:val="pt-PT"/>
        </w:rPr>
        <w:footnoteRef/>
      </w:r>
      <w:r w:rsidR="00AE375E" w:rsidRPr="008527C6">
        <w:rPr>
          <w:sz w:val="24"/>
          <w:lang w:val="fi-FI"/>
        </w:rPr>
        <w:t xml:space="preserve"> </w:t>
      </w:r>
      <w:r w:rsidR="00AE375E" w:rsidRPr="008527C6">
        <w:rPr>
          <w:sz w:val="24"/>
          <w:lang w:val="fi-FI"/>
        </w:rPr>
        <w:tab/>
      </w:r>
      <w:r w:rsidRPr="008527C6">
        <w:rPr>
          <w:sz w:val="24"/>
          <w:lang w:val="fi-FI"/>
        </w:rPr>
        <w:t xml:space="preserve">JO C, C/2024/4216, 24.7.2024, ELI: </w:t>
      </w:r>
      <w:hyperlink r:id="rId1" w:history="1">
        <w:r w:rsidRPr="008527C6">
          <w:rPr>
            <w:rStyle w:val="Hyperlink"/>
            <w:sz w:val="24"/>
            <w:lang w:val="fi-FI"/>
          </w:rPr>
          <w:t>http://data.europa.eu/eli/C/2024/4216/oj</w:t>
        </w:r>
      </w:hyperlink>
      <w:r w:rsidRPr="008527C6">
        <w:rPr>
          <w:sz w:val="24"/>
          <w:lang w:val="fi-FI"/>
        </w:rPr>
        <w:t>.</w:t>
      </w:r>
    </w:p>
  </w:footnote>
  <w:footnote w:id="4">
    <w:p w14:paraId="33186EEF" w14:textId="49A2FCE1" w:rsidR="00D52DC3" w:rsidRPr="008527C6" w:rsidRDefault="00D52DC3" w:rsidP="00AE375E">
      <w:pPr>
        <w:pStyle w:val="FootnoteText"/>
        <w:ind w:left="567" w:hanging="567"/>
        <w:rPr>
          <w:sz w:val="24"/>
          <w:lang w:val="fi-FI"/>
        </w:rPr>
      </w:pPr>
      <w:r w:rsidRPr="00AE375E">
        <w:rPr>
          <w:rStyle w:val="FootnoteReference"/>
          <w:sz w:val="24"/>
          <w:lang w:val="pt-PT"/>
        </w:rPr>
        <w:footnoteRef/>
      </w:r>
      <w:r w:rsidR="00AE375E" w:rsidRPr="008527C6">
        <w:rPr>
          <w:sz w:val="24"/>
          <w:lang w:val="fi-FI"/>
        </w:rPr>
        <w:t xml:space="preserve"> </w:t>
      </w:r>
      <w:r w:rsidR="00AE375E" w:rsidRPr="008527C6">
        <w:rPr>
          <w:sz w:val="24"/>
          <w:lang w:val="fi-FI"/>
        </w:rPr>
        <w:tab/>
      </w:r>
      <w:r w:rsidRPr="008527C6">
        <w:rPr>
          <w:sz w:val="24"/>
          <w:lang w:val="fi-FI"/>
        </w:rPr>
        <w:t xml:space="preserve">JO C, C/2024/3996, 17.7.2024, ELI: </w:t>
      </w:r>
      <w:hyperlink r:id="rId2" w:history="1">
        <w:r w:rsidRPr="008527C6">
          <w:rPr>
            <w:rStyle w:val="Hyperlink"/>
            <w:sz w:val="24"/>
            <w:lang w:val="fi-FI"/>
          </w:rPr>
          <w:t>http://data.europa.eu/eli/C/2024/3996/oj</w:t>
        </w:r>
      </w:hyperlink>
      <w:r w:rsidRPr="008527C6">
        <w:rPr>
          <w:sz w:val="24"/>
          <w:lang w:val="fi-FI"/>
        </w:rPr>
        <w:t>.</w:t>
      </w:r>
    </w:p>
  </w:footnote>
  <w:footnote w:id="5">
    <w:p w14:paraId="4B648E01" w14:textId="0D190E22" w:rsidR="00D52DC3" w:rsidRPr="00AE375E" w:rsidRDefault="00D52DC3" w:rsidP="00AE375E">
      <w:pPr>
        <w:pStyle w:val="FootnoteText"/>
        <w:ind w:left="567" w:hanging="567"/>
        <w:rPr>
          <w:sz w:val="24"/>
          <w:lang w:val="pt-PT"/>
        </w:rPr>
      </w:pPr>
      <w:r w:rsidRPr="00AE375E">
        <w:rPr>
          <w:rStyle w:val="FootnoteReference"/>
          <w:sz w:val="24"/>
          <w:lang w:val="pt-PT"/>
        </w:rPr>
        <w:footnoteRef/>
      </w:r>
      <w:r w:rsidR="00AE375E" w:rsidRPr="00AE375E">
        <w:rPr>
          <w:sz w:val="24"/>
          <w:lang w:val="pt-PT"/>
        </w:rPr>
        <w:t xml:space="preserve"> </w:t>
      </w:r>
      <w:r w:rsidR="00AE375E" w:rsidRPr="00AE375E">
        <w:rPr>
          <w:sz w:val="24"/>
          <w:lang w:val="pt-PT"/>
        </w:rPr>
        <w:tab/>
      </w:r>
      <w:r w:rsidRPr="00AE375E">
        <w:rPr>
          <w:sz w:val="24"/>
          <w:lang w:val="pt-PT"/>
        </w:rPr>
        <w:t>Textos Aprovados, P10_TA(2025)0090.</w:t>
      </w:r>
    </w:p>
  </w:footnote>
  <w:footnote w:id="6">
    <w:p w14:paraId="6BA8ABA1" w14:textId="4D23A692" w:rsidR="00D52DC3" w:rsidRPr="008527C6" w:rsidRDefault="00D52DC3" w:rsidP="00AE375E">
      <w:pPr>
        <w:pStyle w:val="FootnoteText"/>
        <w:ind w:left="567" w:hanging="567"/>
        <w:rPr>
          <w:sz w:val="24"/>
          <w:lang w:val="pt-PT"/>
        </w:rPr>
      </w:pPr>
      <w:r w:rsidRPr="00AE375E">
        <w:rPr>
          <w:rStyle w:val="FootnoteReference"/>
          <w:sz w:val="24"/>
          <w:lang w:val="pt-PT"/>
        </w:rPr>
        <w:footnoteRef/>
      </w:r>
      <w:r w:rsidR="00AE375E" w:rsidRPr="008527C6">
        <w:rPr>
          <w:sz w:val="24"/>
          <w:lang w:val="pt-PT"/>
        </w:rPr>
        <w:t xml:space="preserve"> </w:t>
      </w:r>
      <w:r w:rsidR="00AE375E" w:rsidRPr="008527C6">
        <w:rPr>
          <w:sz w:val="24"/>
          <w:lang w:val="pt-PT"/>
        </w:rPr>
        <w:tab/>
      </w:r>
      <w:r w:rsidRPr="008527C6">
        <w:rPr>
          <w:sz w:val="24"/>
          <w:lang w:val="pt-PT"/>
        </w:rPr>
        <w:t xml:space="preserve">JO C, C/2025/3151, 20.6.2025, ELI: </w:t>
      </w:r>
      <w:hyperlink r:id="rId3" w:history="1">
        <w:r w:rsidRPr="008527C6">
          <w:rPr>
            <w:rStyle w:val="Hyperlink"/>
            <w:sz w:val="24"/>
            <w:lang w:val="pt-PT"/>
          </w:rPr>
          <w:t>http://data.europa.eu/eli/C/2025/3151/oj</w:t>
        </w:r>
      </w:hyperlink>
      <w:r w:rsidRPr="008527C6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6DA43" w14:textId="77777777" w:rsidR="00064002" w:rsidRPr="00AE37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36BE8" w14:textId="77777777" w:rsidR="00064002" w:rsidRPr="00AE37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AE105" w14:textId="77777777" w:rsidR="00064002" w:rsidRPr="00AE37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0834684">
    <w:abstractNumId w:val="9"/>
  </w:num>
  <w:num w:numId="2" w16cid:durableId="1355110863">
    <w:abstractNumId w:val="9"/>
  </w:num>
  <w:num w:numId="3" w16cid:durableId="285086364">
    <w:abstractNumId w:val="7"/>
  </w:num>
  <w:num w:numId="4" w16cid:durableId="2059933890">
    <w:abstractNumId w:val="7"/>
  </w:num>
  <w:num w:numId="5" w16cid:durableId="2056082465">
    <w:abstractNumId w:val="6"/>
  </w:num>
  <w:num w:numId="6" w16cid:durableId="127288781">
    <w:abstractNumId w:val="6"/>
  </w:num>
  <w:num w:numId="7" w16cid:durableId="1103302005">
    <w:abstractNumId w:val="5"/>
  </w:num>
  <w:num w:numId="8" w16cid:durableId="138304427">
    <w:abstractNumId w:val="5"/>
  </w:num>
  <w:num w:numId="9" w16cid:durableId="841432272">
    <w:abstractNumId w:val="4"/>
  </w:num>
  <w:num w:numId="10" w16cid:durableId="1141188865">
    <w:abstractNumId w:val="4"/>
  </w:num>
  <w:num w:numId="11" w16cid:durableId="1303269150">
    <w:abstractNumId w:val="8"/>
  </w:num>
  <w:num w:numId="12" w16cid:durableId="884216861">
    <w:abstractNumId w:val="8"/>
  </w:num>
  <w:num w:numId="13" w16cid:durableId="1236890586">
    <w:abstractNumId w:val="3"/>
  </w:num>
  <w:num w:numId="14" w16cid:durableId="1615286213">
    <w:abstractNumId w:val="3"/>
  </w:num>
  <w:num w:numId="15" w16cid:durableId="846560076">
    <w:abstractNumId w:val="2"/>
  </w:num>
  <w:num w:numId="16" w16cid:durableId="2021925067">
    <w:abstractNumId w:val="2"/>
  </w:num>
  <w:num w:numId="17" w16cid:durableId="24718337">
    <w:abstractNumId w:val="1"/>
  </w:num>
  <w:num w:numId="18" w16cid:durableId="2015916263">
    <w:abstractNumId w:val="1"/>
  </w:num>
  <w:num w:numId="19" w16cid:durableId="964577850">
    <w:abstractNumId w:val="0"/>
  </w:num>
  <w:num w:numId="20" w16cid:durableId="1009517">
    <w:abstractNumId w:val="0"/>
  </w:num>
  <w:num w:numId="21" w16cid:durableId="1895769134">
    <w:abstractNumId w:val="9"/>
  </w:num>
  <w:num w:numId="22" w16cid:durableId="1294598870">
    <w:abstractNumId w:val="7"/>
  </w:num>
  <w:num w:numId="23" w16cid:durableId="1948737288">
    <w:abstractNumId w:val="6"/>
  </w:num>
  <w:num w:numId="24" w16cid:durableId="756369570">
    <w:abstractNumId w:val="5"/>
  </w:num>
  <w:num w:numId="25" w16cid:durableId="1075400877">
    <w:abstractNumId w:val="4"/>
  </w:num>
  <w:num w:numId="26" w16cid:durableId="396628841">
    <w:abstractNumId w:val="8"/>
  </w:num>
  <w:num w:numId="27" w16cid:durableId="1223520791">
    <w:abstractNumId w:val="3"/>
  </w:num>
  <w:num w:numId="28" w16cid:durableId="1738355697">
    <w:abstractNumId w:val="2"/>
  </w:num>
  <w:num w:numId="29" w16cid:durableId="356083658">
    <w:abstractNumId w:val="1"/>
  </w:num>
  <w:num w:numId="30" w16cid:durableId="1672677899">
    <w:abstractNumId w:val="0"/>
  </w:num>
  <w:num w:numId="31" w16cid:durableId="200368227">
    <w:abstractNumId w:val="9"/>
  </w:num>
  <w:num w:numId="32" w16cid:durableId="173040156">
    <w:abstractNumId w:val="7"/>
  </w:num>
  <w:num w:numId="33" w16cid:durableId="390808465">
    <w:abstractNumId w:val="6"/>
  </w:num>
  <w:num w:numId="34" w16cid:durableId="1404252978">
    <w:abstractNumId w:val="5"/>
  </w:num>
  <w:num w:numId="35" w16cid:durableId="426776672">
    <w:abstractNumId w:val="4"/>
  </w:num>
  <w:num w:numId="36" w16cid:durableId="1902716053">
    <w:abstractNumId w:val="8"/>
  </w:num>
  <w:num w:numId="37" w16cid:durableId="1328896711">
    <w:abstractNumId w:val="3"/>
  </w:num>
  <w:num w:numId="38" w16cid:durableId="1578245526">
    <w:abstractNumId w:val="2"/>
  </w:num>
  <w:num w:numId="39" w16cid:durableId="442844417">
    <w:abstractNumId w:val="1"/>
  </w:num>
  <w:num w:numId="40" w16cid:durableId="2137143105">
    <w:abstractNumId w:val="0"/>
  </w:num>
  <w:num w:numId="41" w16cid:durableId="807433932">
    <w:abstractNumId w:val="10"/>
  </w:num>
  <w:num w:numId="42" w16cid:durableId="42101081">
    <w:abstractNumId w:val="10"/>
  </w:num>
  <w:num w:numId="43" w16cid:durableId="670066016">
    <w:abstractNumId w:val="10"/>
  </w:num>
  <w:num w:numId="44" w16cid:durableId="20053552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6/2025"/>
    <w:docVar w:name="dvlangue" w:val="PT"/>
    <w:docVar w:name="dvnumam" w:val="0"/>
    <w:docVar w:name="dvpe" w:val="770.278"/>
    <w:docVar w:name="dvrapporteur" w:val="Relator: "/>
    <w:docVar w:name="dvtitre" w:val="Resolução do Parlamento Europeu, de ... de ... de 2025,_x000d__x000a_ sobre os aspetos institucionais do Relatório sobre o Futuro da Competitividade Europeia (Relatório Draghi)(2025/2013(INI))"/>
  </w:docVars>
  <w:rsids>
    <w:rsidRoot w:val="00997FCE"/>
    <w:rsid w:val="00002272"/>
    <w:rsid w:val="000030A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4F57"/>
    <w:rsid w:val="002767FF"/>
    <w:rsid w:val="002B18FE"/>
    <w:rsid w:val="002B5493"/>
    <w:rsid w:val="00343214"/>
    <w:rsid w:val="00361C00"/>
    <w:rsid w:val="00395FA1"/>
    <w:rsid w:val="003E15D4"/>
    <w:rsid w:val="003F752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4E1"/>
    <w:rsid w:val="00560270"/>
    <w:rsid w:val="005B50F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7C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FCE"/>
    <w:rsid w:val="00A1687D"/>
    <w:rsid w:val="00A43E52"/>
    <w:rsid w:val="00A4678D"/>
    <w:rsid w:val="00A778C7"/>
    <w:rsid w:val="00AB441E"/>
    <w:rsid w:val="00AB6293"/>
    <w:rsid w:val="00AE0928"/>
    <w:rsid w:val="00AE375E"/>
    <w:rsid w:val="00AF3B82"/>
    <w:rsid w:val="00B12E95"/>
    <w:rsid w:val="00B22876"/>
    <w:rsid w:val="00B53F8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DC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F48BC"/>
  <w15:chartTrackingRefBased/>
  <w15:docId w15:val="{F1702938-8A66-495E-B378-D748E835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2DC3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D52DC3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D52DC3"/>
    <w:rPr>
      <w:b/>
      <w:i/>
      <w:u w:val="none"/>
    </w:rPr>
  </w:style>
  <w:style w:type="character" w:customStyle="1" w:styleId="Italic">
    <w:name w:val="Italic"/>
    <w:uiPriority w:val="1"/>
    <w:rsid w:val="00D52DC3"/>
    <w:rPr>
      <w:i/>
    </w:rPr>
  </w:style>
  <w:style w:type="paragraph" w:customStyle="1" w:styleId="Normal12a24b">
    <w:name w:val="Normal12a24b"/>
    <w:basedOn w:val="Normal"/>
    <w:rsid w:val="00D52DC3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D52DC3"/>
    <w:rPr>
      <w:color w:val="0000FF"/>
      <w:u w:val="single"/>
    </w:rPr>
  </w:style>
  <w:style w:type="paragraph" w:styleId="Revision">
    <w:name w:val="Revision"/>
    <w:hidden/>
    <w:uiPriority w:val="99"/>
    <w:semiHidden/>
    <w:rsid w:val="003F7526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151/oj" TargetMode="External"/><Relationship Id="rId2" Type="http://schemas.openxmlformats.org/officeDocument/2006/relationships/hyperlink" Target="http://data.europa.eu/eli/C/2024/3996/oj" TargetMode="External"/><Relationship Id="rId1" Type="http://schemas.openxmlformats.org/officeDocument/2006/relationships/hyperlink" Target="http://data.europa.eu/eli/C/2024/421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5065</Words>
  <Characters>27771</Characters>
  <Application>Microsoft Office Word</Application>
  <DocSecurity>0</DocSecurity>
  <Lines>440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2025-11-25T16:08:00Z</dcterms:created>
  <dcterms:modified xsi:type="dcterms:W3CDTF">2025-11-25T16:08:00Z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A10-0196/2025</vt:lpwstr>
  </property>
  <property fmtid="{D5CDD505-2E9C-101B-9397-08002B2CF9AE}" pid="4" name="&lt;Type&gt;">
    <vt:lpwstr>RR</vt:lpwstr>
  </property>
</Properties>
</file>