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6B31" w14:paraId="6A1B1E1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867972" w14:textId="45011672" w:rsidR="00751A4A" w:rsidRPr="00CC6B31" w:rsidRDefault="00061237" w:rsidP="0010095E">
            <w:pPr>
              <w:pStyle w:val="EPName"/>
            </w:pPr>
            <w:r w:rsidRPr="00CC6B31">
              <w:t>Evropský parlament</w:t>
            </w:r>
          </w:p>
          <w:p w14:paraId="3CEDCAC7" w14:textId="77777777" w:rsidR="00751A4A" w:rsidRPr="00CC6B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6B31">
              <w:t>2024</w:t>
            </w:r>
            <w:r w:rsidR="00817416" w:rsidRPr="00CC6B31">
              <w:t>-202</w:t>
            </w:r>
            <w:r w:rsidRPr="00CC6B31">
              <w:t>9</w:t>
            </w:r>
          </w:p>
        </w:tc>
        <w:tc>
          <w:tcPr>
            <w:tcW w:w="2268" w:type="dxa"/>
            <w:shd w:val="clear" w:color="auto" w:fill="auto"/>
          </w:tcPr>
          <w:p w14:paraId="09890F42" w14:textId="77777777" w:rsidR="00751A4A" w:rsidRPr="00CC6B31" w:rsidRDefault="00187494" w:rsidP="0010095E">
            <w:pPr>
              <w:pStyle w:val="EPLogo"/>
            </w:pPr>
            <w:r w:rsidRPr="00CC6B31">
              <w:rPr>
                <w:noProof/>
                <w:lang w:eastAsia="ja-JP"/>
              </w:rPr>
              <w:drawing>
                <wp:inline distT="0" distB="0" distL="0" distR="0" wp14:anchorId="4ED52AC6" wp14:editId="62D6D4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5DF3EE" w14:textId="77777777" w:rsidR="00D058B8" w:rsidRPr="00CC6B31" w:rsidRDefault="00D058B8" w:rsidP="004C5D52">
      <w:pPr>
        <w:pStyle w:val="LineTop"/>
      </w:pPr>
    </w:p>
    <w:p w14:paraId="0863C54F" w14:textId="4988FF4E" w:rsidR="00680577" w:rsidRPr="00CC6B31" w:rsidRDefault="00061237" w:rsidP="00680577">
      <w:pPr>
        <w:pStyle w:val="EPBodyTA1"/>
      </w:pPr>
      <w:r w:rsidRPr="00CC6B31">
        <w:t>PŘIJATÉ TEXTY</w:t>
      </w:r>
    </w:p>
    <w:p w14:paraId="769524FD" w14:textId="77777777" w:rsidR="00D058B8" w:rsidRPr="00CC6B31" w:rsidRDefault="00D058B8" w:rsidP="00D058B8">
      <w:pPr>
        <w:pStyle w:val="LineBottom"/>
      </w:pPr>
    </w:p>
    <w:p w14:paraId="2BD62032" w14:textId="14D9E499" w:rsidR="00061237" w:rsidRPr="00CC6B31" w:rsidRDefault="00061237" w:rsidP="00061237">
      <w:pPr>
        <w:pStyle w:val="ATHeading1"/>
      </w:pPr>
      <w:bookmarkStart w:id="0" w:name="TANumber"/>
      <w:r w:rsidRPr="00CC6B31">
        <w:t>P10_TA(2025)0</w:t>
      </w:r>
      <w:bookmarkEnd w:id="0"/>
      <w:r w:rsidR="004568E2" w:rsidRPr="00CC6B31">
        <w:t>286</w:t>
      </w:r>
    </w:p>
    <w:p w14:paraId="30AA301B" w14:textId="77777777" w:rsidR="00061237" w:rsidRPr="00CC6B31" w:rsidRDefault="00061237" w:rsidP="00061237">
      <w:pPr>
        <w:pStyle w:val="ATHeading2"/>
      </w:pPr>
      <w:bookmarkStart w:id="1" w:name="title"/>
      <w:r w:rsidRPr="00CC6B31">
        <w:t>Dopad umělé inteligence na finanční sektor</w:t>
      </w:r>
      <w:bookmarkEnd w:id="1"/>
    </w:p>
    <w:p w14:paraId="5EE845CC" w14:textId="77777777" w:rsidR="00061237" w:rsidRPr="00CC6B31" w:rsidRDefault="00061237" w:rsidP="00061237">
      <w:pPr>
        <w:rPr>
          <w:i/>
          <w:vanish/>
        </w:rPr>
      </w:pPr>
      <w:r w:rsidRPr="00CC6B31">
        <w:rPr>
          <w:i/>
        </w:rPr>
        <w:fldChar w:fldCharType="begin"/>
      </w:r>
      <w:r w:rsidRPr="00CC6B31">
        <w:rPr>
          <w:i/>
        </w:rPr>
        <w:instrText xml:space="preserve"> TC"(</w:instrText>
      </w:r>
      <w:bookmarkStart w:id="2" w:name="DocNumber"/>
      <w:r w:rsidRPr="00CC6B31">
        <w:rPr>
          <w:i/>
        </w:rPr>
        <w:instrText>A10-0225/2025</w:instrText>
      </w:r>
      <w:bookmarkEnd w:id="2"/>
      <w:r w:rsidRPr="00CC6B31">
        <w:rPr>
          <w:i/>
        </w:rPr>
        <w:instrText xml:space="preserve"> - Zpravodajka: Arba Kokalari)"\l3 \n&gt; \* MERGEFORMAT </w:instrText>
      </w:r>
      <w:r w:rsidRPr="00CC6B31">
        <w:rPr>
          <w:i/>
        </w:rPr>
        <w:fldChar w:fldCharType="end"/>
      </w:r>
    </w:p>
    <w:p w14:paraId="49AC33DC" w14:textId="77777777" w:rsidR="00061237" w:rsidRPr="00CC6B31" w:rsidRDefault="00061237" w:rsidP="00061237">
      <w:pPr>
        <w:rPr>
          <w:vanish/>
        </w:rPr>
      </w:pPr>
      <w:bookmarkStart w:id="3" w:name="Commission"/>
      <w:r w:rsidRPr="00CC6B31">
        <w:rPr>
          <w:vanish/>
        </w:rPr>
        <w:t>Hospodářský a měnový výbor</w:t>
      </w:r>
      <w:bookmarkEnd w:id="3"/>
    </w:p>
    <w:p w14:paraId="747309F3" w14:textId="77777777" w:rsidR="00061237" w:rsidRPr="00CC6B31" w:rsidRDefault="00061237" w:rsidP="00061237">
      <w:pPr>
        <w:rPr>
          <w:vanish/>
        </w:rPr>
      </w:pPr>
      <w:bookmarkStart w:id="4" w:name="PE"/>
      <w:r w:rsidRPr="00CC6B31">
        <w:rPr>
          <w:vanish/>
        </w:rPr>
        <w:t>PE773.328</w:t>
      </w:r>
      <w:bookmarkEnd w:id="4"/>
    </w:p>
    <w:p w14:paraId="04584DEB" w14:textId="07BCE711" w:rsidR="00061237" w:rsidRPr="00CC6B31" w:rsidRDefault="00061237" w:rsidP="00061237">
      <w:pPr>
        <w:pStyle w:val="ATHeading3"/>
      </w:pPr>
      <w:bookmarkStart w:id="5" w:name="Sujet"/>
      <w:r w:rsidRPr="00CC6B31">
        <w:t>Usnesení Evropského parlamentu ze dne</w:t>
      </w:r>
      <w:r w:rsidR="00B37D0B" w:rsidRPr="00CC6B31">
        <w:t xml:space="preserve"> </w:t>
      </w:r>
      <w:r w:rsidR="004568E2" w:rsidRPr="00CC6B31">
        <w:t>25</w:t>
      </w:r>
      <w:r w:rsidR="00B37D0B" w:rsidRPr="00CC6B31">
        <w:t>. listopadu</w:t>
      </w:r>
      <w:r w:rsidRPr="00CC6B31">
        <w:t xml:space="preserve"> 2025 o dopadu umělé inteligence na finanční sektor</w:t>
      </w:r>
      <w:bookmarkEnd w:id="5"/>
      <w:r w:rsidRPr="00CC6B31">
        <w:t xml:space="preserve"> </w:t>
      </w:r>
      <w:bookmarkStart w:id="6" w:name="References"/>
      <w:r w:rsidRPr="00CC6B31">
        <w:t>(2025/2056(INI))</w:t>
      </w:r>
      <w:bookmarkEnd w:id="6"/>
    </w:p>
    <w:p w14:paraId="0D28C0AE" w14:textId="77777777" w:rsidR="00F12A7C" w:rsidRPr="00CC6B31" w:rsidRDefault="00F12A7C" w:rsidP="00F12A7C">
      <w:pPr>
        <w:pStyle w:val="Normal12"/>
      </w:pPr>
      <w:r w:rsidRPr="00CC6B31">
        <w:rPr>
          <w:i/>
        </w:rPr>
        <w:t xml:space="preserve">Evropský </w:t>
      </w:r>
      <w:r w:rsidRPr="00CC6B31">
        <w:t>parlament,</w:t>
      </w:r>
    </w:p>
    <w:p w14:paraId="6F74784C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sdělení Komise ze dne 9. dubna 2025 s názvem „Akční plán pro kontinent umělé inteligence“ (COM(2025)0165),</w:t>
      </w:r>
    </w:p>
    <w:p w14:paraId="6237F870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 ohledem na sdělení Komise ze dne 24. září 2020 o strategii EU v oblasti digitálních financí (COM(2020)0591),</w:t>
      </w:r>
    </w:p>
    <w:p w14:paraId="1842D235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zprávu Evropského orgánu pro cenné papíry a trhy (ESMA) ze dne 25. února 2025 s názvem „Artificial intelligence in EU investment funds: adoption, strategies and portfolio exposures“ („Umělá inteligence v investičních fondech v EU: zavádění, strategie a expozice portfolií“),</w:t>
      </w:r>
    </w:p>
    <w:p w14:paraId="5686F5D9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veřejné prohlášení orgánu ESMA ze dne 30. května 2024 o využívání umělé inteligence při poskytování retailových investičních služeb,</w:t>
      </w:r>
    </w:p>
    <w:p w14:paraId="12926153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zprávu Evropského orgánu pro pojišťovnictví a zaměstnanecké penzijní pojištění (EIOPA) ze dne 10. února 2025 nazvanou „Impact Assessment of EIOPA’s Opinion on AI governance and risk management“ („Posouzení dopadů stanoviska orgánu EIOPA ke správě a řízení rizik umělé inteligence“),</w:t>
      </w:r>
    </w:p>
    <w:p w14:paraId="14AC5850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zprávu orgánu EIOPA ze dne 30. dubna 2024 nazvanou „Report on the digitalisation of the European insurance sector“ („Zpráva o digitalizaci evropského odvětví pojišťovnictví“),</w:t>
      </w:r>
    </w:p>
    <w:p w14:paraId="32C4C084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zprávu Evropského orgánu pro bankovnictví (EBA) ze dne 29. listopadu 2024 nazvanou „Dotazník pro posouzení rizik – podzim 2024“,</w:t>
      </w:r>
    </w:p>
    <w:p w14:paraId="411A5E6C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zprávu orgánu EBA ze dne 4. srpna 2023 nazvanou „Machine learning for internal rating-based models“ (Strojové učení pro interní modely založené na hodnocení),</w:t>
      </w:r>
    </w:p>
    <w:p w14:paraId="2BA5203D" w14:textId="77777777" w:rsidR="00F12A7C" w:rsidRPr="00CC6B31" w:rsidRDefault="00F12A7C" w:rsidP="00F12A7C">
      <w:pPr>
        <w:pStyle w:val="NormalHanging"/>
      </w:pPr>
      <w:r w:rsidRPr="00CC6B31">
        <w:lastRenderedPageBreak/>
        <w:t>–</w:t>
      </w:r>
      <w:r w:rsidRPr="00CC6B31">
        <w:tab/>
        <w:t>s ohledem na článek Elizabeth McCaulové, členky Rady dohledu Evropské centrální banky (ECB), ze dne 26. února 2024 nazvaný „From data to decisions: AI and supervision“ (Od dat k rozhodnutím: umělá inteligence a dohled),</w:t>
      </w:r>
    </w:p>
    <w:p w14:paraId="78D2972D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publikaci ECB ze dne 7. května 2024 nazvanou „The rise of artificial intelligence: benefits and risks for financial stability“ (Rozvoj umělé inteligence: přínosy a rizika pro finanční stabilitu),</w:t>
      </w:r>
    </w:p>
    <w:p w14:paraId="41FEA371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pracovní dokument Organizace pro hospodářskou spolupráci a rozvoj ze dne 15. prosince 2023 nazvaný „Generativní umělá inteligence ve finančním sektoru“,</w:t>
      </w:r>
    </w:p>
    <w:p w14:paraId="60D0F6E6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zprávu Banky pro mezinárodní platby ze dne 12. prosince 2024 nazvanou „Regulace umělé inteligence ve finančním sektoru: nejnovější vývoj a hlavní výzvy“,</w:t>
      </w:r>
    </w:p>
    <w:p w14:paraId="4B9CAF05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zprávu Banky pro mezinárodní platby ze dne 13. června 2024 nazvanou „Inteligentní finanční systém: jak umělá inteligence transformuje finance“,</w:t>
      </w:r>
    </w:p>
    <w:p w14:paraId="54F32802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zprávu skupiny odborníků na vysoké úrovni pro skupinu G7 ze dne 19. prosince 2024 nazvanou „Umělá inteligence a tvorba hospodářské a finanční politiky“,</w:t>
      </w:r>
    </w:p>
    <w:p w14:paraId="0F52C2B9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zprávu Rady pro finanční stabilitu ze dne 14. listopadu 2024 nazvanou „Dopady umělé inteligence pro finanční stabilitu“,</w:t>
      </w:r>
    </w:p>
    <w:p w14:paraId="7504FF8E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nařízení Evropského parlamentu a Rady (EU) (EU) 2024/1624 ze dne 31. května 2024 o předcházení využívání finančního systému k praní peněz nebo financování terorismu</w:t>
      </w:r>
      <w:r w:rsidRPr="00CC6B31">
        <w:rPr>
          <w:rStyle w:val="FootnoteReference"/>
        </w:rPr>
        <w:footnoteReference w:customMarkFollows="1" w:id="1"/>
        <w:t>1</w:t>
      </w:r>
      <w:r w:rsidRPr="00CC6B31">
        <w:t>,</w:t>
      </w:r>
    </w:p>
    <w:p w14:paraId="5BCCEE4F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nařízení Evropského parlamentu a Rady (EU) 2024/1689 ze dne 13. června 2024, kterým se stanoví harmonizovaná pravidla pro umělou inteligenci a mění nařízení (ES) č. 300/2008, (EU) č. 167/2013, (EU) č. 168/2013, (EU) 2018/858, (EU) 2018/1139 a (EU) 2019/2144 a směrnice 2014/90/EU, (EU) 2016/797 a (EU) 2020/1828 (akt o umělé inteligenci)</w:t>
      </w:r>
      <w:r w:rsidRPr="00CC6B31">
        <w:rPr>
          <w:rStyle w:val="FootnoteReference"/>
        </w:rPr>
        <w:footnoteReference w:customMarkFollows="1" w:id="2"/>
        <w:t>2</w:t>
      </w:r>
      <w:r w:rsidRPr="00CC6B31">
        <w:t>,</w:t>
      </w:r>
    </w:p>
    <w:p w14:paraId="5FDF3320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nařízení Evropského parlamentu a Rady (EU) 2022/2554 ze dne 14. prosince 2022 o digitální provozní odolnosti finančního sektoru a o změně nařízení (ES) č. 1060/2009, (EU) č. 648/2012, (EU) č. 600/2014, (EU) č. 909/2014 a (EU) 2016/1011</w:t>
      </w:r>
      <w:r w:rsidRPr="00CC6B31">
        <w:rPr>
          <w:rStyle w:val="FootnoteReference"/>
        </w:rPr>
        <w:footnoteReference w:customMarkFollows="1" w:id="3"/>
        <w:t>3</w:t>
      </w:r>
      <w:r w:rsidRPr="00CC6B31">
        <w:t xml:space="preserve"> (nařízení o digitální provozní odolnosti),</w:t>
      </w:r>
    </w:p>
    <w:p w14:paraId="10B93815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 ohledem na nařízení Evropského parlamentu a Rady (EU) 2016/679 ze dne 27. dubna 2016 o ochraně fyzických osob v souvislosti se zpracováním osobních údajů a o volném pohybu těchto údajů a o zrušení směrnice 95/46/ES (obecné nařízení o ochraně osobních údajů)</w:t>
      </w:r>
      <w:r w:rsidRPr="00CC6B31">
        <w:rPr>
          <w:rStyle w:val="FootnoteReference"/>
        </w:rPr>
        <w:footnoteReference w:customMarkFollows="1" w:id="4"/>
        <w:t>4</w:t>
      </w:r>
      <w:r w:rsidRPr="00CC6B31">
        <w:t>,</w:t>
      </w:r>
    </w:p>
    <w:p w14:paraId="2CA92EDC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 ohledem na směrnici Evropského parlamentu a Rady (EU) 2016/97 ze dne 20. ledna 2016 o distribuci pojištění</w:t>
      </w:r>
      <w:r w:rsidRPr="00CC6B31">
        <w:rPr>
          <w:rStyle w:val="FootnoteReference"/>
        </w:rPr>
        <w:footnoteReference w:customMarkFollows="1" w:id="5"/>
        <w:t>5</w:t>
      </w:r>
      <w:r w:rsidRPr="00CC6B31">
        <w:t xml:space="preserve"> (směrnice o distribuci pojištění),</w:t>
      </w:r>
    </w:p>
    <w:p w14:paraId="71776E5C" w14:textId="77777777" w:rsidR="00F12A7C" w:rsidRPr="00CC6B31" w:rsidRDefault="00F12A7C" w:rsidP="00F12A7C">
      <w:pPr>
        <w:pStyle w:val="NormalHanging"/>
      </w:pPr>
      <w:r w:rsidRPr="00CC6B31">
        <w:lastRenderedPageBreak/>
        <w:t>–</w:t>
      </w:r>
      <w:r w:rsidRPr="00CC6B31">
        <w:tab/>
        <w:t>s ohledem na nařízení Evropského parlamentu a Rady (EU) č. 600/2014 ze dne 15. května 2014 o trzích finančních nástrojů a o změně nařízení (EU) č. 648/2012</w:t>
      </w:r>
      <w:r w:rsidRPr="00CC6B31">
        <w:rPr>
          <w:rStyle w:val="FootnoteReference"/>
        </w:rPr>
        <w:footnoteReference w:customMarkFollows="1" w:id="6"/>
        <w:t>6</w:t>
      </w:r>
      <w:r w:rsidRPr="00CC6B31">
        <w:t>,</w:t>
      </w:r>
    </w:p>
    <w:p w14:paraId="0DD1A15B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směrnici Evropského parlamentu a Rady 2014/65/EU</w:t>
      </w:r>
      <w:r w:rsidRPr="00CC6B31">
        <w:rPr>
          <w:rStyle w:val="FootnoteReference"/>
        </w:rPr>
        <w:footnoteReference w:customMarkFollows="1" w:id="7"/>
        <w:t>7</w:t>
      </w:r>
      <w:r w:rsidRPr="00CC6B31">
        <w:t xml:space="preserve"> ze dne 15. května 2014 o trzích finančních nástrojů a o změně směrnic 2002/92/ES a 2011/61/EU,</w:t>
      </w:r>
    </w:p>
    <w:p w14:paraId="3E27E31F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 ohledem na nařízení Evropského parlamentu a Rady (EU) č. 575/2013 ze dne 26. června 2013 o obezřetnostních požadavcích na úvěrové instituce a investiční podniky a o změně nařízení (EU) č. 648/2012</w:t>
      </w:r>
      <w:r w:rsidRPr="00CC6B31">
        <w:rPr>
          <w:rStyle w:val="FootnoteReference"/>
        </w:rPr>
        <w:footnoteReference w:customMarkFollows="1" w:id="8"/>
        <w:t>8</w:t>
      </w:r>
      <w:r w:rsidRPr="00CC6B31">
        <w:t>,</w:t>
      </w:r>
    </w:p>
    <w:p w14:paraId="1B40E58B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 ohledem na směrnici Evropského parlamentu a Rady 2013/36/EU ze dne 26. června 2013 o přístupu k činnosti úvěrových institucí a o obezřetnostním dohledu nad úvěrovými institucemi a investičními podniky, o změně směrnice 2002/87/ES a zrušení směrnic 2006/48/ES a 2006/49/ES</w:t>
      </w:r>
      <w:r w:rsidRPr="00CC6B31">
        <w:rPr>
          <w:rStyle w:val="FootnoteReference"/>
        </w:rPr>
        <w:footnoteReference w:customMarkFollows="1" w:id="9"/>
        <w:t>9</w:t>
      </w:r>
      <w:r w:rsidRPr="00CC6B31">
        <w:t>,</w:t>
      </w:r>
    </w:p>
    <w:p w14:paraId="23B2D1B3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 ohledem na směrnici Evropského parlamentu a Rady 2011/61/EU ze dne 8. června 2011 o správcích alternativních investičních fondů a o změně směrnic 2003/41/ES a 2009/65/ES, nařízení (ES) č. 1060/2009 a nařízení (EU) č. 1095/2010</w:t>
      </w:r>
      <w:r w:rsidRPr="00CC6B31">
        <w:rPr>
          <w:rStyle w:val="FootnoteReference"/>
        </w:rPr>
        <w:footnoteReference w:customMarkFollows="1" w:id="10"/>
        <w:t>10</w:t>
      </w:r>
      <w:r w:rsidRPr="00CC6B31">
        <w:t>,</w:t>
      </w:r>
    </w:p>
    <w:p w14:paraId="1E238F74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 ohledem na směrnici Evropského parlamentu a Rady 2009/138/ES ze dne 25. listopadu 2009 o přístupu k pojišťovací a zajišťovací činnosti a jejím výkonu (Solventnost II)</w:t>
      </w:r>
      <w:r w:rsidRPr="00CC6B31">
        <w:rPr>
          <w:rStyle w:val="FootnoteReference"/>
        </w:rPr>
        <w:footnoteReference w:customMarkFollows="1" w:id="11"/>
        <w:t>11</w:t>
      </w:r>
      <w:r w:rsidRPr="00CC6B31">
        <w:t>,</w:t>
      </w:r>
    </w:p>
    <w:p w14:paraId="55431D4C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 ohledem na směrnici Evropského parlamentu a Rady 2009/65/ES ze dne 13. července 2009 o koordinaci právních a správních předpisů týkajících se subjektů kolektivního investování do převoditelných cenných papírů (SKIPCP)</w:t>
      </w:r>
      <w:r w:rsidRPr="00CC6B31">
        <w:rPr>
          <w:rStyle w:val="FootnoteReference"/>
        </w:rPr>
        <w:footnoteReference w:customMarkFollows="1" w:id="12"/>
        <w:t>12</w:t>
      </w:r>
      <w:r w:rsidRPr="00CC6B31">
        <w:t>,</w:t>
      </w:r>
    </w:p>
    <w:p w14:paraId="0AC7C361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směrnici Evropského parlamentu a Rady (EU) 2015/2366 ze dne 25. listopadu 2015 o platebních službách na vnitřním trhu, kterou se mění směrnice 2002/65/ES, 2009/110/ES a 2013/36/EU a nařízení (EU) č. 1093/2010 a zrušuje směrnice 2007/64/ES</w:t>
      </w:r>
      <w:r w:rsidRPr="00CC6B31">
        <w:rPr>
          <w:rStyle w:val="FootnoteReference"/>
        </w:rPr>
        <w:footnoteReference w:customMarkFollows="1" w:id="13"/>
        <w:t>13</w:t>
      </w:r>
      <w:r w:rsidRPr="00CC6B31">
        <w:t>,</w:t>
      </w:r>
    </w:p>
    <w:p w14:paraId="2C9F20C1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své usnesení ze dne 3. května 2022 o umělé inteligenci v digitálním věku</w:t>
      </w:r>
      <w:r w:rsidRPr="00CC6B31">
        <w:rPr>
          <w:rStyle w:val="FootnoteReference"/>
        </w:rPr>
        <w:footnoteReference w:customMarkFollows="1" w:id="14"/>
        <w:t>14</w:t>
      </w:r>
      <w:r w:rsidRPr="00CC6B31">
        <w:t>,</w:t>
      </w:r>
    </w:p>
    <w:p w14:paraId="6FB84EA6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článek 55 jednacího řádu,</w:t>
      </w:r>
    </w:p>
    <w:p w14:paraId="0CAE1B89" w14:textId="77777777" w:rsidR="00F12A7C" w:rsidRPr="00CC6B31" w:rsidRDefault="00F12A7C" w:rsidP="00F12A7C">
      <w:pPr>
        <w:pStyle w:val="NormalHanging"/>
      </w:pPr>
      <w:r w:rsidRPr="00CC6B31">
        <w:t>–</w:t>
      </w:r>
      <w:r w:rsidRPr="00CC6B31">
        <w:tab/>
        <w:t>s ohledem na zprávu Hospodářského a měnového výboru (A10-0225/2025),</w:t>
      </w:r>
    </w:p>
    <w:p w14:paraId="0E631989" w14:textId="77777777" w:rsidR="00F12A7C" w:rsidRPr="00CC6B31" w:rsidRDefault="00F12A7C" w:rsidP="00F12A7C">
      <w:pPr>
        <w:pStyle w:val="NormalHanging"/>
      </w:pPr>
      <w:r w:rsidRPr="00CC6B31">
        <w:t>A.</w:t>
      </w:r>
      <w:r w:rsidRPr="00CC6B31">
        <w:tab/>
        <w:t>vzhledem k tomu, že akt EU o umělé inteligenci zavádí první komplexní regulační rámec pro umělou inteligenci na světě;</w:t>
      </w:r>
    </w:p>
    <w:p w14:paraId="0AD74A2E" w14:textId="77777777" w:rsidR="00F12A7C" w:rsidRPr="00CC6B31" w:rsidRDefault="00F12A7C" w:rsidP="00F12A7C">
      <w:pPr>
        <w:pStyle w:val="NormalHanging"/>
      </w:pPr>
      <w:r w:rsidRPr="00CC6B31">
        <w:lastRenderedPageBreak/>
        <w:t>B.</w:t>
      </w:r>
      <w:r w:rsidRPr="00CC6B31">
        <w:tab/>
        <w:t>vzhledem k tomu, že akt o umělé inteligenci definuje dva vysoce rizikové případy použití systémů umělé inteligence (AI) v odvětví finančních služeb, a to jejich používání pro bodování spotřebitelských úvěrů a hodnocení úvěruschopnosti a jejich použití při posuzování rizik a stanovování cen životního a zdravotního pojištění;</w:t>
      </w:r>
    </w:p>
    <w:p w14:paraId="00457D0A" w14:textId="77777777" w:rsidR="00F12A7C" w:rsidRPr="00CC6B31" w:rsidRDefault="00F12A7C" w:rsidP="00F12A7C">
      <w:pPr>
        <w:pStyle w:val="NormalHanging"/>
      </w:pPr>
      <w:r w:rsidRPr="00CC6B31">
        <w:t>C.</w:t>
      </w:r>
      <w:r w:rsidRPr="00CC6B31">
        <w:tab/>
        <w:t>vzhledem k tomu, že „systém AI“ je v aktu o umělé inteligenci definován jako strojový systém navržený tak, aby po zavedení fungoval s různými úrovněmi autonomie a který po zavedení může vykazovat adaptabilitu a který za explicitními nebo implicitními účely z obdržených vstupů odvozuje, jak generovat výstupy, jako jsou predikce, obsah, doporučení nebo rozhodnutí, které mohou ovlivnit fyzická nebo virtuální prostředí;</w:t>
      </w:r>
    </w:p>
    <w:p w14:paraId="04DA9033" w14:textId="77777777" w:rsidR="00F12A7C" w:rsidRPr="00CC6B31" w:rsidRDefault="00F12A7C" w:rsidP="00F12A7C">
      <w:pPr>
        <w:pStyle w:val="NormalHanging"/>
      </w:pPr>
      <w:r w:rsidRPr="00CC6B31">
        <w:t>D.</w:t>
      </w:r>
      <w:r w:rsidRPr="00CC6B31">
        <w:tab/>
        <w:t>vzhledem k tomu, že „obecný model AI“ (model GPAI) je definován jako model AI, včetně modelů AI trénovaných velkým množstvím dat s využitím vlastního dohledu ve velkém měřítku, který vykazuje významnou obecnost a je schopen kompetentně plnit širokou škálu různých úkolů bez ohledu na způsob, jakým je daný model uveden na trh, a který lze začlenit do různých navazujících systémů nebo aplikací, s výjimkou modelů AI, které se používají pro činnosti výzkumu, vývoje nebo činnosti zaměřené na tvorbu prototypů před jejich uvedením na trh;</w:t>
      </w:r>
    </w:p>
    <w:p w14:paraId="4FDAA468" w14:textId="77777777" w:rsidR="00F12A7C" w:rsidRPr="00CC6B31" w:rsidRDefault="00F12A7C" w:rsidP="00F12A7C">
      <w:pPr>
        <w:pStyle w:val="NormalHanging"/>
      </w:pPr>
      <w:r w:rsidRPr="00CC6B31">
        <w:t>E.</w:t>
      </w:r>
      <w:r w:rsidRPr="00CC6B31">
        <w:tab/>
        <w:t>vzhledem k tomu, že systémy používané ke zlepšení matematické optimalizace nebo k urychlení a sblížení tradičních zavedených optimalizačních metod, jako jsou lineární nebo logistické regresní metody, nespadají do oblasti působnosti definice systému UI;</w:t>
      </w:r>
    </w:p>
    <w:p w14:paraId="11E2149E" w14:textId="77777777" w:rsidR="00F12A7C" w:rsidRPr="00CC6B31" w:rsidRDefault="00F12A7C" w:rsidP="00F12A7C">
      <w:pPr>
        <w:pStyle w:val="Normal12a"/>
      </w:pPr>
      <w:r w:rsidRPr="00CC6B31">
        <w:rPr>
          <w:b/>
          <w:i/>
        </w:rPr>
        <w:t>Stav zavádění umělé inteligence do finančních služeb</w:t>
      </w:r>
    </w:p>
    <w:p w14:paraId="293DB523" w14:textId="77777777" w:rsidR="00F12A7C" w:rsidRPr="00CC6B31" w:rsidRDefault="00F12A7C" w:rsidP="00F12A7C">
      <w:pPr>
        <w:pStyle w:val="NormalHanging12a"/>
      </w:pPr>
      <w:r w:rsidRPr="00CC6B31">
        <w:t>1.</w:t>
      </w:r>
      <w:r w:rsidRPr="00CC6B31">
        <w:tab/>
        <w:t>bere na vědomí široké a rozmanité zavádění umělé inteligence v celém odvětví finančních služeb EU, když finanční instituce, které již delší dobu využívají klasické strojové učení, nyní postupně experimentují s používáním generativní umělé inteligence, včetně velkých jazykových modelů a dalších základních modelů, jako podpůrného nástroje; zdůrazňuje, že ve většině případů používání umělé inteligence je cílem zefektivnit procesy „back-office“, když většina využití představuje snadno dostupné možnosti, a nikoli vysoce rizikové inovace“; konstatuje však, že využívání umělé inteligence k hodnocení úvěruschopnosti fyzických osob nebo ke stanovení jejich úvěrového hodnocení, které je v současnosti v aktu o umělé inteligenci definováno jako vysoce rizikové, se rozšířilo a dále narůstá; zdůrazňuje, že zavádění plně autonomních systémů umělé inteligence ve finančním sektoru by mělo podléhat lidskému dohledu</w:t>
      </w:r>
      <w:r w:rsidRPr="00CC6B31">
        <w:rPr>
          <w:rStyle w:val="FootnoteReference"/>
        </w:rPr>
        <w:footnoteReference w:customMarkFollows="1" w:id="15"/>
        <w:t>15</w:t>
      </w:r>
      <w:r w:rsidRPr="00CC6B31">
        <w:t>; konstatuje, že finanční instituce dále zkoumají případy použití zahrnující modely GPAI, jejichž větší složitost s sebou nese vyšší provozní rizika a riziko nedodržení předpisů, ale také konstatuje, že tyto aplikace zůstávají z velké části ve fázi testování;</w:t>
      </w:r>
    </w:p>
    <w:p w14:paraId="3F5ABAFC" w14:textId="77777777" w:rsidR="00F12A7C" w:rsidRPr="00CC6B31" w:rsidRDefault="00F12A7C" w:rsidP="00F12A7C">
      <w:pPr>
        <w:pStyle w:val="NormalHanging12a"/>
      </w:pPr>
      <w:r w:rsidRPr="00CC6B31">
        <w:t>2.</w:t>
      </w:r>
      <w:r w:rsidRPr="00CC6B31">
        <w:tab/>
        <w:t xml:space="preserve">vzhledem k tomu, že umělá inteligence je pro finanční instituce EU významnou příležitostí k tomu, aby vyvíjely inovativnější produkty, zefektivnily operace a zlepšily konkurenceschopnost v celosvětovém měřítku; zdůrazňuje, že využívání umělé inteligence ve finančních službách má potenciál přinést společenský prospěch, včetně účinnějšího odhalování a prevence podvodů, kontrol v oblasti boje proti praní peněz a kontrol sankcí, podpory klientů, monitorování transakcí, individuálního finančního poradenství, shromažďování, analýzy a podávání zpráv o životním prostředí, sociálních </w:t>
      </w:r>
      <w:r w:rsidRPr="00CC6B31">
        <w:lastRenderedPageBreak/>
        <w:t>a správních údajích, obchodních modelů a strategií, pomoci při dodržování právních předpisů, dozoru nad trhem a monitorování zneužívání; domnívá se, že využívání umělé inteligence ve finančním sektoru by mělo zajistit rovnováhu mezi inovacemi a konkurenceschopností na jedné straně a řízením rizik, ochranou spotřebitele a finanční stabilitou na straně druhé; zdůrazňuje, že přínosy používání umělé inteligence ve finančních službách by měly být přeneseny především na koncové zákazníky, například prostřednictvím nižších cen, lepšího pokrytí, lepšího finančního poradenství, většího finančního začlenění a lepšího přístupu a lepší finanční gramotnosti;</w:t>
      </w:r>
    </w:p>
    <w:p w14:paraId="16C42307" w14:textId="77777777" w:rsidR="00F12A7C" w:rsidRPr="00CC6B31" w:rsidRDefault="00F12A7C" w:rsidP="00F12A7C">
      <w:pPr>
        <w:pStyle w:val="NormalHanging12a"/>
      </w:pPr>
      <w:r w:rsidRPr="00CC6B31">
        <w:t>3.</w:t>
      </w:r>
      <w:r w:rsidRPr="00CC6B31">
        <w:tab/>
        <w:t>Konstatuje, že existují rovněž rizika plynoucí z používání umělé inteligence ve finančních službách; zdůrazňuje, že před nedávným průlomem v oblasti LLM tato rizika vyplývala z kvality, přesnosti a reprezentativnosti údajů, na nichž byly modely trénovány, neboť výstupy umělé inteligence jiné než LLM jsou pouze stejně spolehlivé jako vstupní údaje; zdůrazňuje, že špatná kvalita údajů by mohla vést mimo jiné k diskriminačním výsledkům, nesprávnému prodeji a zesíleným systémovým předsudkům, zatímco neprůhledné a složité modely by mohly vést k narušení soukromí a vyloučení zranitelných spotřebitelů, například prostřednictvím cenové diskriminace, čímž by se zhoršila stávající rizika nebo vznikla rizika nová; zdůrazňuje, že LLM přinášejí významná dodatečná rizika, která mohou být obtížně měřitelná, včetně modelových halucinací, a to i v případech, kdy jsou údaje z odborné přípravy vysoce kvalitní; zdůrazňuje, že tato rizika a výsledky musí být účinně zmírněny; bere na vědomí výzvy související se zranitelnostmi v oblasti kybernetické bezpečnosti a s vysvětlitelností systémů umělé inteligence; zdůrazňuje proto, že je třeba zajistit důkladnou správu dat, přísné testování a dokumentaci modelů umělé inteligence spolu s udržením člověka v kruhu a dodržováním vysokého standardu pro používání systémů umělé inteligence v aplikacích zaměřených na spotřebitele;</w:t>
      </w:r>
    </w:p>
    <w:p w14:paraId="7D806FF9" w14:textId="77777777" w:rsidR="00F12A7C" w:rsidRPr="00CC6B31" w:rsidRDefault="00F12A7C" w:rsidP="00F12A7C">
      <w:pPr>
        <w:pStyle w:val="NormalHanging12a"/>
      </w:pPr>
      <w:r w:rsidRPr="00CC6B31">
        <w:t>4.</w:t>
      </w:r>
      <w:r w:rsidRPr="00CC6B31">
        <w:tab/>
        <w:t>chápe, že finanční instituce přijaly k vývoji a zavádění systémů UI selektivní přístup s cílem zajistit dodržování stávajících průřezových a odvětvových právních předpisů; zdůrazňuje, že tento obezřetný přístup může být motivován rovněž neprokázanou poptávkou zákazníků, jejich vyvíjejícími se očekáváními a zvažováním rizik;</w:t>
      </w:r>
    </w:p>
    <w:p w14:paraId="435498A5" w14:textId="77777777" w:rsidR="00F12A7C" w:rsidRPr="00CC6B31" w:rsidRDefault="00F12A7C" w:rsidP="00F12A7C">
      <w:pPr>
        <w:pStyle w:val="NormalHanging12a"/>
      </w:pPr>
      <w:r w:rsidRPr="00CC6B31">
        <w:t>5.</w:t>
      </w:r>
      <w:r w:rsidRPr="00CC6B31">
        <w:tab/>
        <w:t>zdůrazňuje, že rozvoj umělé inteligence představuje výzvu také pro orgány dohledu, zejména kvůli nedostatku odborných znalostí specificky zaměřených na umělou inteligenci a nástrojů dohledové technologie, které by umožnily plně posoudit pokročilé modely strojového učení a generativní umělé inteligence; vyzývá evropské a vnitrostátní orgány dohledu, aby se přizpůsobily rostoucímu využívání umělé inteligence ve finančních službách a aby sledovaly, posuzovaly a zmírňovaly rizika pro spotřebitele a finanční stabilitu, přičemž je třeba mít na paměti, že neodrazují od inovací prostřednictvím nepřiměřené zátěže spojené s dodržováním předpisů nebo příliš normativních regulačních přístupů;</w:t>
      </w:r>
    </w:p>
    <w:p w14:paraId="1F70CF14" w14:textId="77777777" w:rsidR="00F12A7C" w:rsidRPr="00CC6B31" w:rsidRDefault="00F12A7C" w:rsidP="00F12A7C">
      <w:pPr>
        <w:pStyle w:val="NormalHanging12a"/>
      </w:pPr>
      <w:r w:rsidRPr="00CC6B31">
        <w:t>6.</w:t>
      </w:r>
      <w:r w:rsidRPr="00CC6B31">
        <w:tab/>
        <w:t>Konstatuje, že koncentrace poskytovatelů služeb umělé inteligence, kteří nabízejí investiční poradenství, může vést k chování stáda, které se řídí podobnými modely a omezenými zdroji údajů; naléhavě vyzývá evropské a vnitrostátní orgány dohledu, aby tato rizika a finanční instituce sledovaly s cílem zohlednit je při vývoji nástrojů umělé inteligence;</w:t>
      </w:r>
    </w:p>
    <w:p w14:paraId="45C503A3" w14:textId="77777777" w:rsidR="00F12A7C" w:rsidRPr="00CC6B31" w:rsidRDefault="00F12A7C" w:rsidP="00F12A7C">
      <w:pPr>
        <w:pStyle w:val="NormalHanging12a"/>
      </w:pPr>
      <w:r w:rsidRPr="00CC6B31">
        <w:t>7.</w:t>
      </w:r>
      <w:r w:rsidRPr="00CC6B31">
        <w:tab/>
        <w:t xml:space="preserve">konstatuje závislost finančních subjektů EU na třetích stranách poskytujících technologie (TPP) při hostování a vývoji jejich modelů umělé inteligence a zdůrazňuje, že většina finančních společností je v případě těchto služeb závislá pouze na několika </w:t>
      </w:r>
      <w:r w:rsidRPr="00CC6B31">
        <w:lastRenderedPageBreak/>
        <w:t>TPP, což může vést k riziku koncentrace a obavám z existence subjektů, které jsou příliš velké na to, aby mohly zkrachovat; je znepokojen tím, že závislost na malém počtu poskytovatelů určité služby by mohla vést k systémovým rizikům v případě narušení týkajících se těchto poskytovatelů, zejména pokud není možné rychle přejít k alternativním poskytovatelům.</w:t>
      </w:r>
    </w:p>
    <w:p w14:paraId="32296818" w14:textId="0F359DE7" w:rsidR="00F12A7C" w:rsidRPr="00CC6B31" w:rsidRDefault="00F12A7C" w:rsidP="00F12A7C">
      <w:pPr>
        <w:pStyle w:val="NormalHanging12a"/>
      </w:pPr>
      <w:r w:rsidRPr="00CC6B31">
        <w:t>8.</w:t>
      </w:r>
      <w:r w:rsidRPr="00CC6B31">
        <w:tab/>
        <w:t xml:space="preserve">bere na vědomí, že </w:t>
      </w:r>
      <w:r w:rsidR="008A25B5" w:rsidRPr="00CC6B31">
        <w:t>akt</w:t>
      </w:r>
      <w:r w:rsidRPr="00CC6B31">
        <w:t xml:space="preserve"> o digitální provozní odolnosti finančního sektoru (DORA)</w:t>
      </w:r>
      <w:r w:rsidR="008A25B5" w:rsidRPr="00CC6B31">
        <w:t>, který nedávno nabyl účinnosti,</w:t>
      </w:r>
      <w:r w:rsidRPr="00CC6B31">
        <w:t xml:space="preserve"> vyžaduje, aby finanční instituce zavedly opatření ke zmírnění rizika koncentrace spojených s poskytovateli služeb IKT, včetně pohotovostních plánů a opatření k zajištění kontinuity činnosti; žádá Komisi a evropské orgány pro dohled, aby posoudily zejména proveditelnost uplatnění strategií pro ukončení činnosti a přechodných ustanovení stanovených v nařízení DORA na modely umělé inteligence hostované infrastrukturou třetích zemí;</w:t>
      </w:r>
    </w:p>
    <w:p w14:paraId="798B3F6D" w14:textId="77777777" w:rsidR="00F12A7C" w:rsidRPr="00CC6B31" w:rsidRDefault="00F12A7C" w:rsidP="00F12A7C">
      <w:pPr>
        <w:pStyle w:val="NormalHanging12a"/>
      </w:pPr>
      <w:r w:rsidRPr="00CC6B31">
        <w:t>9.</w:t>
      </w:r>
      <w:r w:rsidRPr="00CC6B31">
        <w:tab/>
        <w:t>zdůrazňuje, že společnosti v EU musí mít možnost využívat stávající cloudovou infrastrukturu pro vývoj a zavádění umělé inteligence; vyzývá k aktivnímu prozkoumání možností, jak posílit kompatibilitu a interoperabilitu modelů umělé inteligence a rámců pro soulad s modely a rámci pro dodržování pravidel podobně smýšlejících mezinárodních partnerů, zejména těch, kteří chtějí poskytnout stejně spolehlivé regulační záruky, s cílem zajistit, aby finanční instituce EU měly přístup k nástrojům a dodavatelům umělé inteligence, a s cílem vytvořit vyvážené globální normy a zároveň zajistit právní jistotu pro evropské podniky;</w:t>
      </w:r>
    </w:p>
    <w:p w14:paraId="6E0D2936" w14:textId="77777777" w:rsidR="00F12A7C" w:rsidRPr="00CC6B31" w:rsidRDefault="00F12A7C" w:rsidP="00F12A7C">
      <w:pPr>
        <w:pStyle w:val="NormalHanging12a"/>
      </w:pPr>
      <w:r w:rsidRPr="00CC6B31">
        <w:t>10.</w:t>
      </w:r>
      <w:r w:rsidRPr="00CC6B31">
        <w:tab/>
        <w:t>Podporuje iniciativy na podporu rozvoje umělé inteligence a cloud computingu v EU, zejména s cílem rozvíjet služby umělé inteligence, které jsou plně v souladu s rámci EU pro ochranu údajů a základní práva, a zároveň posilovat strategickou autonomii a odolnost;</w:t>
      </w:r>
    </w:p>
    <w:p w14:paraId="09F2FD1F" w14:textId="4E0A0FC1" w:rsidR="00F12A7C" w:rsidRPr="00CC6B31" w:rsidRDefault="00F12A7C" w:rsidP="00F12A7C">
      <w:pPr>
        <w:pStyle w:val="Normal12a"/>
      </w:pPr>
      <w:r w:rsidRPr="00CC6B31">
        <w:rPr>
          <w:b/>
          <w:i/>
        </w:rPr>
        <w:t>Regulační prostředí pro umělou inteligenci ve finančních službách</w:t>
      </w:r>
    </w:p>
    <w:p w14:paraId="49E55585" w14:textId="77777777" w:rsidR="00F12A7C" w:rsidRPr="00CC6B31" w:rsidRDefault="00F12A7C" w:rsidP="00F12A7C">
      <w:pPr>
        <w:pStyle w:val="NormalHanging12a"/>
      </w:pPr>
      <w:r w:rsidRPr="00CC6B31">
        <w:t>11.</w:t>
      </w:r>
      <w:r w:rsidRPr="00CC6B31">
        <w:tab/>
        <w:t>zdůrazňuje, že odvětví finančních služeb je vysoce regulované a podléhá řadě odvětvových právních předpisů na vnitrostátní úrovni i na úrovni EU, které vyžadují, aby finanční subjekty řídily rizika v různých oblastech včetně ochrany údajů, původu dat, kvality údajů, správy údajů, provozní odolnosti, outsourcingu, rizika modelů, diskriminačních výsledků a tržního a úvěrového rizika, které společně tvoří rámec pro zavádění a správu umělé inteligence v odvětví finančních služeb</w:t>
      </w:r>
      <w:r w:rsidRPr="00CC6B31">
        <w:rPr>
          <w:rStyle w:val="FootnoteReference"/>
        </w:rPr>
        <w:footnoteReference w:customMarkFollows="1" w:id="16"/>
        <w:t>16</w:t>
      </w:r>
      <w:r w:rsidRPr="00CC6B31">
        <w:t>; zdůrazňuje však, že je důležité průběžně sledovat mezery v právních předpisech a vyvíjející se případy využívání umělé inteligence ve finančním odvětví, zejména s ohledem na ochranu práv spotřebitelů a práva na soukromí;</w:t>
      </w:r>
    </w:p>
    <w:p w14:paraId="7E0E9F30" w14:textId="77777777" w:rsidR="00F12A7C" w:rsidRPr="00CC6B31" w:rsidRDefault="00F12A7C" w:rsidP="00F12A7C">
      <w:pPr>
        <w:pStyle w:val="NormalHanging12a"/>
      </w:pPr>
      <w:r w:rsidRPr="00CC6B31">
        <w:t>12.</w:t>
      </w:r>
      <w:r w:rsidRPr="00CC6B31">
        <w:tab/>
        <w:t xml:space="preserve">konstatuje, že EU zaujala k regulaci umělé inteligence oproti jiným jurisdikcím přísnější přístup; zdůrazňuje, že ačkoli to může vytvářet výzvy s ohledem na přijímání a vývoj umělé inteligence ve finančních službách, nabízí to rovněž příležitost k budování důvěry </w:t>
      </w:r>
      <w:r w:rsidRPr="00CC6B31">
        <w:lastRenderedPageBreak/>
        <w:t>a podpoře inovací, a to za předpokladu, že bude regulační rámec vyjasněn a bude prováděn způsobem, který bude posilovat právní jistotu, proporcionalitu a důvěru trhu; uznává, že akt o umělé inteligenci ještě nebyl plně proveden a že je třeba ještě posoudit jeho praktické dopady;</w:t>
      </w:r>
    </w:p>
    <w:p w14:paraId="11FDE668" w14:textId="77777777" w:rsidR="00F12A7C" w:rsidRPr="00CC6B31" w:rsidRDefault="00F12A7C" w:rsidP="00F12A7C">
      <w:pPr>
        <w:pStyle w:val="NormalHanging12a"/>
      </w:pPr>
      <w:r w:rsidRPr="00CC6B31">
        <w:t>13.</w:t>
      </w:r>
      <w:r w:rsidRPr="00CC6B31">
        <w:tab/>
        <w:t>připomíná, že akt o umělé inteligenci výslovně zohledňuje stávající acquis v oblasti finančních služeb a snaží se zabránit zdvojování požadavků, zejména pokud jde o vnitřní správu a procesy řízení kvality, tím, že umožňuje omezené výjimky pro finanční instituce do té míry, do níž jsou v právu EU v oblasti finančních služeb stanoveny rovnocenné požadavky; vyjadřuje znepokojení nad tím, že přesto dochází k překrývání právních předpisů a chybí dostatečné pokyny k výkladu tohoto překrývání a interakcí právních předpisů, což vytváří nepatřičnou složitost, zátěž spojenou s dodržováním předpisů a právní nejistotu, a to brání zavádění umělé inteligence v odvětví finančních služeb; zdůrazňuje význam zajištění právního, regulačního a správního rámce založeného na jistotě, předvídatelnosti a stabilitě; konstatuje, že extenzivní výklad aktu o umělé inteligenci místo jeho přiměřeného výkladu může vést k nepřiměřeným požadavkům na dodržování předpisů pro finanční instituce a způsobovat právní nejistotu; uznává problém, jenž vyplývá ze skutečnosti, že orgány dohledu mají, pokud jde o uplatňování acquis, různé právní výklady a očekávání, což vede k roztříštěnosti jednotného trhu; vyzývá Komisi a příslušné vnitrostátní orgány, aby zjistily a odstranily veškeré nesrovnalosti v průběhu provádění aktu o umělé inteligenci a v rámci nadcházejícího plánovaného souhrnného balíčku pro digitální oblast;</w:t>
      </w:r>
    </w:p>
    <w:p w14:paraId="547CE1E5" w14:textId="77777777" w:rsidR="00F12A7C" w:rsidRPr="00CC6B31" w:rsidRDefault="00F12A7C" w:rsidP="00F12A7C">
      <w:pPr>
        <w:pStyle w:val="NormalHanging12a"/>
      </w:pPr>
      <w:r w:rsidRPr="00CC6B31">
        <w:t>14.</w:t>
      </w:r>
      <w:r w:rsidRPr="00CC6B31">
        <w:tab/>
        <w:t>podporuje doporučení aktu o umělé inteligenci, aby byly finanční orgány příslušné pro finanční sektor určeny jako orgány dozoru nad trhem pro systémy umělé inteligence používané ve finančním sektoru, jež jsou považovány za vysoce rizikové; konstatuje však, že za dohled nad systémy umělé inteligence, které nejsou vysoce rizikové, budou odpovědné další příslušné vnitrostátní orgány; uznává problémy vyplývající z existence více agentur dohledu s pravomocemi v oblasti uplatňování acquis; uznává dále problémy vyplývající z rozdílných právních výkladů a očekávání různých orgánů dohledu, které by mohly vést k roztříštěnosti jednotného trhu;</w:t>
      </w:r>
    </w:p>
    <w:p w14:paraId="55F2FE48" w14:textId="77777777" w:rsidR="00F12A7C" w:rsidRPr="00CC6B31" w:rsidRDefault="00F12A7C" w:rsidP="00F12A7C">
      <w:pPr>
        <w:pStyle w:val="NormalHanging12a"/>
      </w:pPr>
      <w:r w:rsidRPr="00CC6B31">
        <w:t>15.</w:t>
      </w:r>
      <w:r w:rsidRPr="00CC6B31">
        <w:tab/>
        <w:t>Vybízí orgány dohledu, aby posílily koordinaci, spolupráci a výměnu informací s cílem zabránit překrývání nároků na soudní příslušnost; dále naléhavě vyzývá Komisi a orgány dohledu, aby posílily spolupráci s mezinárodními partnery na globálních fórech pro stanovování norem s cílem zajistit soulad a zabránit roztříštěnosti regulačních přístupů a zajistit, aby EU držela krok a sladila se s celosvětovým vývojem v oblasti regulace;</w:t>
      </w:r>
    </w:p>
    <w:p w14:paraId="6612062B" w14:textId="77777777" w:rsidR="00F12A7C" w:rsidRPr="00CC6B31" w:rsidRDefault="00F12A7C" w:rsidP="00F12A7C">
      <w:pPr>
        <w:pStyle w:val="NormalHanging12a"/>
      </w:pPr>
      <w:r w:rsidRPr="00CC6B31">
        <w:t>16.</w:t>
      </w:r>
      <w:r w:rsidRPr="00CC6B31">
        <w:tab/>
        <w:t>konstatuje, že obecné nařízení o ochraně osobních údajů a jeho požadavky na minimalizaci údajů, zásadu účelového omezení, souhlas zákazníků a zpracování osobních údajů finančními institucemi ukládají nutnost omezení používání umělé inteligence ve finančních službách; se domnívá, že je třeba najít správnou rovnováhu mezi využíváním výhod umělé inteligence ve finančních službách a ochranou údajů spotřebitelů;</w:t>
      </w:r>
    </w:p>
    <w:p w14:paraId="5C837CAE" w14:textId="77777777" w:rsidR="00F12A7C" w:rsidRPr="00CC6B31" w:rsidRDefault="00F12A7C" w:rsidP="00F12A7C">
      <w:pPr>
        <w:pStyle w:val="Normal12a"/>
        <w:rPr>
          <w:b/>
          <w:bCs/>
          <w:i/>
          <w:iCs/>
        </w:rPr>
      </w:pPr>
      <w:r w:rsidRPr="00CC6B31">
        <w:rPr>
          <w:b/>
          <w:bCs/>
          <w:i/>
          <w:iCs/>
        </w:rPr>
        <w:t>Doporučení k zajištění odpovědného využívání umělé inteligence ve finančních službách</w:t>
      </w:r>
    </w:p>
    <w:p w14:paraId="3B530FFB" w14:textId="77777777" w:rsidR="00F12A7C" w:rsidRPr="00CC6B31" w:rsidRDefault="00F12A7C" w:rsidP="00F12A7C">
      <w:pPr>
        <w:pStyle w:val="NormalHanging12a"/>
      </w:pPr>
      <w:r w:rsidRPr="00CC6B31">
        <w:t>17.</w:t>
      </w:r>
      <w:r w:rsidRPr="00CC6B31">
        <w:tab/>
        <w:t xml:space="preserve">Vyjadřuje politování nad tím, že EU zaostává, pokud jde o inovace a investice do umělé inteligence, o čemž svědčí 33 miliard EUR rizikového financování, které obdržely společnosti z EU vyvíjející základní modely v letech 2018 až 2023, ve srovnání s více </w:t>
      </w:r>
      <w:r w:rsidRPr="00CC6B31">
        <w:lastRenderedPageBreak/>
        <w:t>než 120 miliardami EUR, které obdržely jejich protějšci z USA</w:t>
      </w:r>
      <w:r w:rsidRPr="00CC6B31">
        <w:rPr>
          <w:rStyle w:val="FootnoteReference"/>
        </w:rPr>
        <w:footnoteReference w:customMarkFollows="1" w:id="17"/>
        <w:t>17</w:t>
      </w:r>
      <w:r w:rsidRPr="00CC6B31">
        <w:t>; domnívá se, že odvětví finančních služeb, jež na služby a produkty IKT vydává nejvíce prostředků, má potenciál působit při mobilizaci soukromých investic do umělé inteligence jako katalyzátor; vzhledem k tomu, že investice v EU jsou pomalé, vyzývá k předložení ambiciózního návrhu, který by podnítil vznik evropského rizikového kapitálu jako součásti unie úspor a investic;</w:t>
      </w:r>
    </w:p>
    <w:p w14:paraId="7C98D1D1" w14:textId="77777777" w:rsidR="00F12A7C" w:rsidRPr="00CC6B31" w:rsidRDefault="00F12A7C" w:rsidP="00F12A7C">
      <w:pPr>
        <w:pStyle w:val="NormalHanging12a"/>
      </w:pPr>
      <w:r w:rsidRPr="00CC6B31">
        <w:t>18.</w:t>
      </w:r>
      <w:r w:rsidRPr="00CC6B31">
        <w:tab/>
        <w:t>vyzývá Komisi, aby poskytla jasné a praktické pokyny vypracované po konzultaci s evropskými a vnitrostátními orgány dohledu a zúčastněnými stranami ohledně uplatňování stávajících právních předpisů v oblasti finančních služeb, pokud jde o využívání umělé inteligence; domnívá se, že cílem těchto pokynů by mělo být umožnit využívání umělé inteligence v odvětví finančních služeb, a to i etickým, odpovědným a transparentním způsobem; požaduje jednotné definice a zjednodušení regulačního rámce, aby se zabránilo duplicitním požadavkům, včetně požadavků na podávání zpráv o posouzení rizik, a varuje před univerzálním přístupem, který představuje nepřiměřenou zátěž pro menší a střední finanční instituce; zdůrazňuje, že je třeba zajistit náležitou rovnováhu mezi odpovědným využíváním umělé inteligence a poskytnutím dostatečného prostoru pro inovace;</w:t>
      </w:r>
    </w:p>
    <w:p w14:paraId="0DB643A1" w14:textId="77777777" w:rsidR="00F12A7C" w:rsidRPr="00CC6B31" w:rsidRDefault="00F12A7C" w:rsidP="00F12A7C">
      <w:pPr>
        <w:pStyle w:val="NormalHanging12a"/>
      </w:pPr>
      <w:r w:rsidRPr="00CC6B31">
        <w:t>19.</w:t>
      </w:r>
      <w:r w:rsidRPr="00CC6B31">
        <w:tab/>
        <w:t>vyzývá Komisi, aby prozkoumala, jak lze nástroje založené na umělé inteligenci využívat na finančních trzích, jako je zprostředkování, správa portfolia a automatizace dodržování předpisů, s cílem přispět k cílům unie úspor a investic, mimo jiné podporou retailových investorů při přijímání informovaných investičních rozhodnutí, posílením finančního vzdělávání, podporou inovací mezi společnostmi, snížením roztříštěnosti trhu a zajištěním bezpečného prostředí pro spotřebitele; zdůrazňuje, že dosažení těchto cílů vyžaduje technologicky neutrální regulační rámec;</w:t>
      </w:r>
    </w:p>
    <w:p w14:paraId="244D1EFA" w14:textId="77777777" w:rsidR="00F12A7C" w:rsidRPr="00CC6B31" w:rsidRDefault="00F12A7C" w:rsidP="00F12A7C">
      <w:pPr>
        <w:pStyle w:val="NormalHanging12a"/>
      </w:pPr>
      <w:r w:rsidRPr="00CC6B31">
        <w:t>20.</w:t>
      </w:r>
      <w:r w:rsidRPr="00CC6B31">
        <w:tab/>
        <w:t>domnívá se, že odvětvové právní předpisy upravující používání umělé inteligence ve finančních službách jsou dostatečné především k tomu, aby se vztahovaly na zavádění umělé inteligence v její současné podobě; zdůrazňuje, že by mělo být prováděno průběžné monitorování s cílem určit, zda ve stávajících právních předpisech v oblasti finančních služeb, které se vztahují na zavádění umělé inteligence, dochází ke zdvojování nebo nedostatkům; zdůrazňuje, že další právní předpisy by zvýšily složitost právního prostředí a nejistotu a v konečném důsledku by mohly toto odvětví připravit o výhody používání umělé inteligence; zdůrazňuje, že spoléhání se na stávající rámce vyžaduje trvalou pozornost orgánů dohledu, účinné prosazování předpisů a jasné rozdělení odpovědnosti za zajištění souladu, zejména v přeshraničních nebo externě zajišťovaných scénářích zavádění umělé inteligence, jakož i sledování a posuzování možných budoucích nedostatků způsobených novým vývojem umělé inteligence, pokud vytvářejí podstatná rizika pro spotřebitele a finanční stabilitu; důrazně doporučuje Komisi a členským státům, aby koordinovaly svou činnost s cílem zabránit „gold-platingu“ příslušných právních předpisů a zabránit vytváření nových překážek na přeshraničních trzích; konstatuje, že v souladu s aktem o umělé inteligenci může Komise posoudit seznam vysoce rizikových aplikací podle přílohy III aktu o umělé inteligenci;</w:t>
      </w:r>
    </w:p>
    <w:p w14:paraId="3DAA2C18" w14:textId="77777777" w:rsidR="00F12A7C" w:rsidRPr="00CC6B31" w:rsidRDefault="00F12A7C" w:rsidP="00F12A7C">
      <w:pPr>
        <w:pStyle w:val="NormalHanging12a"/>
      </w:pPr>
      <w:r w:rsidRPr="00CC6B31">
        <w:lastRenderedPageBreak/>
        <w:t>21.</w:t>
      </w:r>
      <w:r w:rsidRPr="00CC6B31">
        <w:tab/>
        <w:t>vyzývá evropské a vnitrostátní orgány dohledu, aby podporovaly odpovědné zavádění umělé inteligence prosazováním jednotného výkladu a přiměřeného uplatňování současné regulace; domnívá se, že přiměřená regulace zavádění umělé inteligence ve finančním sektoru podporuje zavádění umělé inteligence a společenskou důvěru v ni; zdůrazňuje, že postoj a přístup orgánů dohledu jsou stejně důležité jako samotná pravidla; doporučuje, aby úsilí v oblasti dohledu upřednostňovalo konkrétní provozní rizika tam, kde byla zjištěna, a nikoli abstraktní nebo teoretické obavy, a zároveň zachovalo aktivní a přiměřený přístup k dohledu, a to vyvážením inovací a ochrany spotřebitele, s cílem řídit nepředvídatelná rizika vyplývající z rozšíření využívání technologií umělé inteligence; zdůrazňuje úlohu účinného monitorování a řešení rizik souvisejících s umělou inteligencí, včetně rizik souvisejících s neprůhledností, koncentrací trhu a ztrátou odpovědnosti, což by mohlo mít dopad na finanční stabilitu;</w:t>
      </w:r>
    </w:p>
    <w:p w14:paraId="446A754D" w14:textId="77777777" w:rsidR="00F12A7C" w:rsidRPr="00CC6B31" w:rsidRDefault="00F12A7C" w:rsidP="00F12A7C">
      <w:pPr>
        <w:pStyle w:val="NormalHanging12a"/>
      </w:pPr>
      <w:r w:rsidRPr="00CC6B31">
        <w:t>22.</w:t>
      </w:r>
      <w:r w:rsidRPr="00CC6B31">
        <w:tab/>
        <w:t>vyzývá Komisi a členské státy, aby odstranily překážky vstupu pro inovativní finanční podniky založené na umělé inteligenci v EU, mimo jiné prostřednictvím zjednodušeného udělování licencí, přeshraničních rychle se rozvíjejících podniků a začlenění do center pro inovace v oblasti dohledu;</w:t>
      </w:r>
    </w:p>
    <w:p w14:paraId="4322E9FB" w14:textId="77777777" w:rsidR="00F12A7C" w:rsidRPr="00CC6B31" w:rsidRDefault="00F12A7C" w:rsidP="00F12A7C">
      <w:pPr>
        <w:pStyle w:val="NormalHanging12a"/>
      </w:pPr>
      <w:r w:rsidRPr="00CC6B31">
        <w:t>23.</w:t>
      </w:r>
      <w:r w:rsidRPr="00CC6B31">
        <w:tab/>
        <w:t>podporuje výzkum dopadu využívání umělé inteligence na životní prostředí se zaměřením na intenzitu zdrojů a dlouhodobou udržitelnost s cílem zvýšit transparentnost a pomáhat finančním institucím posuzovat tyto aspekty a jejich vlastní environmentální stopu;</w:t>
      </w:r>
    </w:p>
    <w:p w14:paraId="2D772850" w14:textId="77777777" w:rsidR="00F12A7C" w:rsidRPr="00CC6B31" w:rsidRDefault="00F12A7C" w:rsidP="00F12A7C">
      <w:pPr>
        <w:pStyle w:val="NormalHanging12a"/>
      </w:pPr>
      <w:r w:rsidRPr="00CC6B31">
        <w:t>24.</w:t>
      </w:r>
      <w:r w:rsidRPr="00CC6B31">
        <w:tab/>
        <w:t>domnívá se, že rostoucí využívání umělé inteligence, které může mít dopad na trh práce ve finančních službách, vyžaduje silnou gramotnost v oblasti umělé inteligence, digitální dovednosti a zapojení talentů, které budou podporovány jak iniciativami veřejného sektoru v oblasti prohlubování dovedností, tak tržními řešeními; podporuje úsilí příslušného odvětví a cílené iniciativy, včetně partnerství veřejného a soukromého sektoru a rekvalifikačních programů, s cílem vybudovat technické a etické kompetence v oblasti umělé inteligence ve finanční pracovní síle, zejména s ohledem na práva a rizika; zdůrazňuje, že je důležité rozvíjet strategie umělé inteligence, které zvyšují produktivitu a zároveň podporují přizpůsobování, prohlubování dovedností a přemisťování pracovníků, a to pod smysluplným lidským dohledem a kontrolou; požaduje větší jasnost, pokud jde o požadavky aktu o umělé inteligenci na to, aby finanční instituce splňovaly podmínky na gramotnost v oblasti umělé inteligence; dále zdůrazňuje, že je důležité zajistit a podporovat rovný přístup k nástrojům a službám umělé inteligence, a to i pro digitálně méně schopné skupiny obyvatelstva;</w:t>
      </w:r>
    </w:p>
    <w:p w14:paraId="4F524EA4" w14:textId="77777777" w:rsidR="00F12A7C" w:rsidRPr="00CC6B31" w:rsidRDefault="00F12A7C" w:rsidP="00F12A7C">
      <w:pPr>
        <w:pStyle w:val="NormalHanging12a"/>
      </w:pPr>
      <w:r w:rsidRPr="00CC6B31">
        <w:t>25.</w:t>
      </w:r>
      <w:r w:rsidRPr="00CC6B31">
        <w:tab/>
        <w:t xml:space="preserve">vyzývá Komisi a evropské a vnitrostátní orgány dohledu, aby posoudily přidanou hodnotu regulačních pískovišť pro umělou inteligenci, inovačních center a přeshraničních testovacích prostředí pro finanční služby, pokud jde o to, umožnit experimentování s finančními inovacemi založenými na umělé inteligenci, a to jak s cílem pomáhat začínajícím podnikům testovat jejich produkty, tak s cílem umožnit stávajícím institucím prozkoumat nové možnosti využití umělé inteligence v kontrolovaném prostředí a zároveň zajistit ochranu spotřebitelů a integritu trhu; domnívá se, že řádné využívání regulačních pískovišť pro umělou inteligenci by mohlo poskytnout strukturované testovací prostředí s dohledem, které je nezbytné k usnadnění inovací a odpovědného zavádění umělé inteligence v odvětví finančních služeb; vybízí evropské a vnitrostátní orgány dohledu, aby posílily nástroje a technologie v oblasti finančního dohledu prostřednictvím využívání umělé inteligence a začlenily je do </w:t>
      </w:r>
      <w:r w:rsidRPr="00CC6B31">
        <w:lastRenderedPageBreak/>
        <w:t>každodenních činností dohledu s cílem zlepšit účinnost a účelnost finančního dohledu; konstatuje, že tyto nástroje mají podporovat, a nikoli nahrazovat lidský dohled;</w:t>
      </w:r>
    </w:p>
    <w:p w14:paraId="239FD1A8" w14:textId="77777777" w:rsidR="00F12A7C" w:rsidRPr="00CC6B31" w:rsidRDefault="00F12A7C" w:rsidP="00F12A7C">
      <w:pPr>
        <w:pStyle w:val="NormalCenter12a"/>
      </w:pPr>
      <w:r w:rsidRPr="00CC6B31">
        <w:t>°</w:t>
      </w:r>
    </w:p>
    <w:p w14:paraId="453AD8F9" w14:textId="77777777" w:rsidR="00F12A7C" w:rsidRPr="00CC6B31" w:rsidRDefault="00F12A7C" w:rsidP="00F12A7C">
      <w:pPr>
        <w:pStyle w:val="NormalCenter12a"/>
      </w:pPr>
      <w:r w:rsidRPr="00CC6B31">
        <w:t>°</w:t>
      </w:r>
      <w:r w:rsidRPr="00CC6B31">
        <w:tab/>
        <w:t>°</w:t>
      </w:r>
    </w:p>
    <w:p w14:paraId="7DA2921C" w14:textId="69D71C5C" w:rsidR="008D2F8C" w:rsidRPr="008D2F8C" w:rsidRDefault="00F12A7C" w:rsidP="008D2F8C">
      <w:pPr>
        <w:pStyle w:val="NormalHanging12a"/>
      </w:pPr>
      <w:r w:rsidRPr="00CC6B31">
        <w:t>26.</w:t>
      </w:r>
      <w:r w:rsidRPr="00CC6B31">
        <w:tab/>
        <w:t>pověřuje svou předsedkyni, aby předala toto usnesení Radě, Komisi a vládám a parlamentům členských států.</w:t>
      </w:r>
    </w:p>
    <w:p w14:paraId="0ACA13FC" w14:textId="5EBD288E" w:rsidR="00E365E1" w:rsidRPr="008D2F8C" w:rsidRDefault="00E365E1" w:rsidP="00061237"/>
    <w:sectPr w:rsidR="00E365E1" w:rsidRPr="008D2F8C" w:rsidSect="008D2F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1DF19" w14:textId="77777777" w:rsidR="00061237" w:rsidRPr="008D2F8C" w:rsidRDefault="00061237">
      <w:r w:rsidRPr="008D2F8C">
        <w:separator/>
      </w:r>
    </w:p>
  </w:endnote>
  <w:endnote w:type="continuationSeparator" w:id="0">
    <w:p w14:paraId="1B91C1B7" w14:textId="77777777" w:rsidR="00061237" w:rsidRPr="008D2F8C" w:rsidRDefault="00061237">
      <w:r w:rsidRPr="008D2F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?a??fc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B63C2" w14:textId="77777777" w:rsidR="00064002" w:rsidRPr="008D2F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5891F" w14:textId="77777777" w:rsidR="00064002" w:rsidRPr="008D2F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1FCEC" w14:textId="77777777" w:rsidR="00064002" w:rsidRPr="008D2F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466A2" w14:textId="77777777" w:rsidR="00061237" w:rsidRPr="008D2F8C" w:rsidRDefault="00061237">
      <w:r w:rsidRPr="008D2F8C">
        <w:separator/>
      </w:r>
    </w:p>
  </w:footnote>
  <w:footnote w:type="continuationSeparator" w:id="0">
    <w:p w14:paraId="09DF3472" w14:textId="77777777" w:rsidR="00061237" w:rsidRPr="008D2F8C" w:rsidRDefault="00061237">
      <w:r w:rsidRPr="008D2F8C">
        <w:continuationSeparator/>
      </w:r>
    </w:p>
  </w:footnote>
  <w:footnote w:id="1">
    <w:p w14:paraId="13A2BE51" w14:textId="722C4C7E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1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hyperlink r:id="rId1" w:tgtFrame="http://data.europa.eu/eli/reg/2024/1624/oj" w:history="1">
        <w:r w:rsidRPr="00B37D0B">
          <w:rPr>
            <w:sz w:val="24"/>
            <w:szCs w:val="24"/>
            <w:lang w:val="cs-CZ"/>
          </w:rPr>
          <w:t>Úř. věst. L, 2024/1624, 19.6.2024, ELI:</w:t>
        </w:r>
        <w:r w:rsidRPr="008D2F8C">
          <w:rPr>
            <w:rStyle w:val="Hyperlink"/>
            <w:sz w:val="24"/>
            <w:lang w:val="cs-CZ"/>
          </w:rPr>
          <w:t xml:space="preserve"> http://data.europa.eu/eli/reg/2024/1624/oj.</w:t>
        </w:r>
      </w:hyperlink>
    </w:p>
  </w:footnote>
  <w:footnote w:id="2">
    <w:p w14:paraId="656BDB07" w14:textId="3DA93639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2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hyperlink r:id="rId2" w:tgtFrame="http://data.europa.eu/eli/reg/2024/1689/oj" w:history="1">
        <w:r w:rsidRPr="00B37D0B">
          <w:rPr>
            <w:sz w:val="24"/>
            <w:szCs w:val="24"/>
            <w:lang w:val="cs-CZ"/>
          </w:rPr>
          <w:t>Úř. věst. L, 2024/1689, 12.7.2024, ELI:</w:t>
        </w:r>
        <w:r w:rsidRPr="008D2F8C">
          <w:rPr>
            <w:rStyle w:val="Hyperlink"/>
            <w:sz w:val="24"/>
            <w:lang w:val="cs-CZ"/>
          </w:rPr>
          <w:t xml:space="preserve"> http://data.europa.eu/eli/reg/2024/1689/oj.</w:t>
        </w:r>
      </w:hyperlink>
    </w:p>
  </w:footnote>
  <w:footnote w:id="3">
    <w:p w14:paraId="75BE7ED2" w14:textId="15B2816E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3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 xml:space="preserve">Úř. věst. L 333, 27.12.2022, s. 1, ELI: </w:t>
      </w:r>
      <w:hyperlink r:id="rId3" w:history="1">
        <w:r w:rsidRPr="00B37D0B">
          <w:rPr>
            <w:rStyle w:val="Hyperlink"/>
            <w:sz w:val="24"/>
            <w:lang w:val="cs-CZ"/>
          </w:rPr>
          <w:t>http://data.europa.eu/eli/reg/2022/2554/oj</w:t>
        </w:r>
      </w:hyperlink>
      <w:r w:rsidRPr="008D2F8C">
        <w:rPr>
          <w:sz w:val="24"/>
          <w:lang w:val="cs-CZ"/>
        </w:rPr>
        <w:t>.</w:t>
      </w:r>
    </w:p>
  </w:footnote>
  <w:footnote w:id="4">
    <w:p w14:paraId="281431FB" w14:textId="6E129C2F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4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hyperlink r:id="rId4" w:tgtFrame="http://data.europa.eu/eli/reg/2016/679/oj" w:history="1">
        <w:r w:rsidRPr="00B37D0B">
          <w:rPr>
            <w:sz w:val="24"/>
            <w:szCs w:val="24"/>
            <w:lang w:val="cs-CZ"/>
          </w:rPr>
          <w:t>Úř. věst. L 119, 4.5.2016, s. 1, ELI:</w:t>
        </w:r>
        <w:r w:rsidRPr="008D2F8C">
          <w:rPr>
            <w:rStyle w:val="Hyperlink"/>
            <w:sz w:val="24"/>
            <w:lang w:val="cs-CZ"/>
          </w:rPr>
          <w:t xml:space="preserve"> http://data.europa.eu/eli/reg/2016/679/oj.</w:t>
        </w:r>
      </w:hyperlink>
    </w:p>
  </w:footnote>
  <w:footnote w:id="5">
    <w:p w14:paraId="29CE2F0B" w14:textId="20D54228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5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 xml:space="preserve">Úř. věst. L 26, 2.2.2016, s. 19, ELI: </w:t>
      </w:r>
      <w:hyperlink r:id="rId5" w:history="1">
        <w:r w:rsidRPr="00B37D0B">
          <w:rPr>
            <w:rStyle w:val="Hyperlink"/>
            <w:sz w:val="24"/>
            <w:lang w:val="cs-CZ"/>
          </w:rPr>
          <w:t>http://data.europa.eu/eli/dir/2016/97/oj</w:t>
        </w:r>
      </w:hyperlink>
      <w:r w:rsidRPr="008D2F8C">
        <w:rPr>
          <w:sz w:val="24"/>
          <w:lang w:val="cs-CZ"/>
        </w:rPr>
        <w:t>.</w:t>
      </w:r>
    </w:p>
  </w:footnote>
  <w:footnote w:id="6">
    <w:p w14:paraId="65EF9010" w14:textId="17526A10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6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 xml:space="preserve">Úř. věst. L 173, 12.6.2014, s. 84, ELI: </w:t>
      </w:r>
      <w:hyperlink r:id="rId6" w:history="1">
        <w:r w:rsidRPr="00B37D0B">
          <w:rPr>
            <w:rStyle w:val="Hyperlink"/>
            <w:sz w:val="24"/>
            <w:lang w:val="cs-CZ"/>
          </w:rPr>
          <w:t>http://data.europa.eu/eli/reg/2014/600/oj</w:t>
        </w:r>
      </w:hyperlink>
      <w:r w:rsidRPr="008D2F8C">
        <w:rPr>
          <w:sz w:val="24"/>
          <w:lang w:val="cs-CZ"/>
        </w:rPr>
        <w:t>.</w:t>
      </w:r>
    </w:p>
  </w:footnote>
  <w:footnote w:id="7">
    <w:p w14:paraId="32769233" w14:textId="19A561EE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7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 xml:space="preserve">Úř. věst. L 173, 12.6.2014, s. 349, ELI: </w:t>
      </w:r>
      <w:hyperlink r:id="rId7" w:history="1">
        <w:r w:rsidRPr="00B37D0B">
          <w:rPr>
            <w:rStyle w:val="Hyperlink"/>
            <w:sz w:val="24"/>
            <w:lang w:val="cs-CZ"/>
          </w:rPr>
          <w:t>http://data.europa.eu/eli/dir/2014/65/oj</w:t>
        </w:r>
      </w:hyperlink>
      <w:r w:rsidRPr="008D2F8C">
        <w:rPr>
          <w:sz w:val="24"/>
          <w:lang w:val="cs-CZ"/>
        </w:rPr>
        <w:t>.</w:t>
      </w:r>
    </w:p>
  </w:footnote>
  <w:footnote w:id="8">
    <w:p w14:paraId="09D386F2" w14:textId="0504F0E1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8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 xml:space="preserve">Úř. věst. L 176, 27.6.2013, s. 1, ELI: </w:t>
      </w:r>
      <w:hyperlink r:id="rId8" w:history="1">
        <w:r w:rsidRPr="00B37D0B">
          <w:rPr>
            <w:rStyle w:val="Hyperlink"/>
            <w:sz w:val="24"/>
            <w:lang w:val="cs-CZ"/>
          </w:rPr>
          <w:t>http://data.europa.eu/eli/reg/2013/575/oj</w:t>
        </w:r>
      </w:hyperlink>
      <w:r w:rsidRPr="008D2F8C">
        <w:rPr>
          <w:sz w:val="24"/>
          <w:lang w:val="cs-CZ"/>
        </w:rPr>
        <w:t>.</w:t>
      </w:r>
    </w:p>
  </w:footnote>
  <w:footnote w:id="9">
    <w:p w14:paraId="12ECB248" w14:textId="433FD054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9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 xml:space="preserve">Úř. věst. L 176, 27.6.2013, s. 338, ELI: </w:t>
      </w:r>
      <w:hyperlink r:id="rId9" w:history="1">
        <w:r w:rsidRPr="00B37D0B">
          <w:rPr>
            <w:rStyle w:val="Hyperlink"/>
            <w:sz w:val="24"/>
            <w:lang w:val="cs-CZ"/>
          </w:rPr>
          <w:t>http://data.europa.eu/eli/dir/2013/36/oj</w:t>
        </w:r>
      </w:hyperlink>
      <w:r w:rsidRPr="008D2F8C">
        <w:rPr>
          <w:sz w:val="24"/>
          <w:lang w:val="cs-CZ"/>
        </w:rPr>
        <w:t>.</w:t>
      </w:r>
    </w:p>
  </w:footnote>
  <w:footnote w:id="10">
    <w:p w14:paraId="1D8028C2" w14:textId="30E69857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10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 xml:space="preserve">Úř. věst. L 174, 1.7.2011, s. 1, ELI: </w:t>
      </w:r>
      <w:hyperlink r:id="rId10" w:tgtFrame="http://data.europa.eu/eli/dir/2011/61/oj" w:history="1">
        <w:r w:rsidRPr="008D2F8C">
          <w:rPr>
            <w:rStyle w:val="Hyperlink"/>
            <w:sz w:val="24"/>
            <w:lang w:val="cs-CZ"/>
          </w:rPr>
          <w:t>http://data.europa.eu/eli/dir/2011/61/oj</w:t>
        </w:r>
      </w:hyperlink>
      <w:r w:rsidRPr="008D2F8C">
        <w:rPr>
          <w:sz w:val="24"/>
          <w:lang w:val="cs-CZ"/>
        </w:rPr>
        <w:t>.</w:t>
      </w:r>
    </w:p>
  </w:footnote>
  <w:footnote w:id="11">
    <w:p w14:paraId="58A86195" w14:textId="7B337139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11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 xml:space="preserve">Úř. věst. L 335, 17.12.2009, s. 1, ELI: </w:t>
      </w:r>
      <w:hyperlink r:id="rId11" w:history="1">
        <w:r w:rsidRPr="00B37D0B">
          <w:rPr>
            <w:rStyle w:val="Hyperlink"/>
            <w:sz w:val="24"/>
            <w:lang w:val="cs-CZ"/>
          </w:rPr>
          <w:t>http://data.europa.eu/eli/dir/2009/138/oj</w:t>
        </w:r>
      </w:hyperlink>
      <w:r w:rsidRPr="008D2F8C">
        <w:rPr>
          <w:sz w:val="24"/>
          <w:lang w:val="cs-CZ"/>
        </w:rPr>
        <w:t>.</w:t>
      </w:r>
    </w:p>
  </w:footnote>
  <w:footnote w:id="12">
    <w:p w14:paraId="4EB4796E" w14:textId="59353940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12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 xml:space="preserve">Úř. věst. L 302, 17.11.2009, s. 32, ELI: </w:t>
      </w:r>
      <w:hyperlink r:id="rId12" w:tgtFrame="http://data.europa.eu/eli/dir/2009/65/oj" w:history="1">
        <w:r w:rsidRPr="008D2F8C">
          <w:rPr>
            <w:rStyle w:val="Hyperlink"/>
            <w:sz w:val="24"/>
            <w:lang w:val="cs-CZ"/>
          </w:rPr>
          <w:t>http://data.europa.eu/eli/dir/2009/65/oj</w:t>
        </w:r>
      </w:hyperlink>
      <w:r w:rsidRPr="008D2F8C">
        <w:rPr>
          <w:sz w:val="24"/>
          <w:lang w:val="cs-CZ"/>
        </w:rPr>
        <w:t>.</w:t>
      </w:r>
    </w:p>
  </w:footnote>
  <w:footnote w:id="13">
    <w:p w14:paraId="7CA344CD" w14:textId="06156048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13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 xml:space="preserve">Úř. věst. L 337, </w:t>
      </w:r>
      <w:r w:rsidR="000E7AEC" w:rsidRPr="000E7AEC">
        <w:rPr>
          <w:sz w:val="24"/>
          <w:lang w:val="cs-CZ"/>
        </w:rPr>
        <w:t>23.12.2015</w:t>
      </w:r>
      <w:r w:rsidRPr="008D2F8C">
        <w:rPr>
          <w:sz w:val="24"/>
          <w:lang w:val="cs-CZ"/>
        </w:rPr>
        <w:t xml:space="preserve">, s. 35, ELI: </w:t>
      </w:r>
      <w:hyperlink r:id="rId13" w:tgtFrame="http://data.europa.eu/eli/dir/2015/2366/oj" w:history="1">
        <w:r w:rsidRPr="008D2F8C">
          <w:rPr>
            <w:rStyle w:val="Hyperlink"/>
            <w:sz w:val="24"/>
            <w:lang w:val="cs-CZ"/>
          </w:rPr>
          <w:t>http://data.europa.eu/eli/dir/2015/2366/oj</w:t>
        </w:r>
      </w:hyperlink>
      <w:r w:rsidRPr="008D2F8C">
        <w:rPr>
          <w:sz w:val="24"/>
          <w:lang w:val="cs-CZ"/>
        </w:rPr>
        <w:t>.</w:t>
      </w:r>
    </w:p>
  </w:footnote>
  <w:footnote w:id="14">
    <w:p w14:paraId="1E93767E" w14:textId="5431BE37" w:rsidR="00F12A7C" w:rsidRPr="00B37D0B" w:rsidRDefault="00F12A7C" w:rsidP="008D2F8C">
      <w:pPr>
        <w:pStyle w:val="FootnoteText"/>
        <w:ind w:left="567" w:hanging="567"/>
        <w:rPr>
          <w:sz w:val="24"/>
          <w:szCs w:val="24"/>
          <w:lang w:val="cs-CZ"/>
        </w:rPr>
      </w:pPr>
      <w:r w:rsidRPr="008D2F8C">
        <w:rPr>
          <w:sz w:val="24"/>
          <w:vertAlign w:val="superscript"/>
          <w:lang w:val="cs-CZ"/>
        </w:rPr>
        <w:t>14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hyperlink r:id="rId14" w:tgtFrame="https://eur-lex.europa.eu/legal-content/EN/TXT/?uri=CELEX%3A52022IP0140&amp;qid=1747297485130" w:history="1">
        <w:r w:rsidRPr="00B37D0B">
          <w:rPr>
            <w:sz w:val="24"/>
            <w:szCs w:val="24"/>
            <w:lang w:val="cs-CZ"/>
          </w:rPr>
          <w:t>Úř. věst. C 465, 6.12.2022, s. 65.</w:t>
        </w:r>
      </w:hyperlink>
    </w:p>
  </w:footnote>
  <w:footnote w:id="15">
    <w:p w14:paraId="1A3589BB" w14:textId="2A4BCAB0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15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>Dotazník orgánu EBA pro posouzení rizik z podzimu 2024; Zpráva orgánu EIOPA o digitalizaci evropského odvětví pojišťovnictví; Zpráva orgánu ESMA o umělé inteligenci v investičních fondech EU.</w:t>
      </w:r>
    </w:p>
  </w:footnote>
  <w:footnote w:id="16">
    <w:p w14:paraId="12F18921" w14:textId="55DA0D98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16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="006E748A">
        <w:rPr>
          <w:sz w:val="24"/>
          <w:lang w:val="cs-CZ"/>
        </w:rPr>
        <w:t>M</w:t>
      </w:r>
      <w:r w:rsidRPr="008D2F8C">
        <w:rPr>
          <w:sz w:val="24"/>
          <w:lang w:val="cs-CZ"/>
        </w:rPr>
        <w:t>ezi významné příklady relevantních odvětvových právních předpisů patří mimo jiné nařízení o kapitálových požadavcích, směrnice o kapitálových požadavcích, směrnice Solventnost II, směrnice o distribuci pojištění, nařízení o trzích finančních nástrojů, směrnice o trzích finančních nástrojů, akt o digitální provozní odolnosti, směrnice o správcích alternativních investičních fondů, směrnice o SKIPCP a směrnice o platebních službách, jakož i doprovodné pokyny a regulační technické normy evropských agentur dohledu</w:t>
      </w:r>
      <w:r w:rsidR="006E748A">
        <w:rPr>
          <w:sz w:val="24"/>
          <w:lang w:val="cs-CZ"/>
        </w:rPr>
        <w:t>.</w:t>
      </w:r>
    </w:p>
  </w:footnote>
  <w:footnote w:id="17">
    <w:p w14:paraId="57266152" w14:textId="0AC423EE" w:rsidR="00F12A7C" w:rsidRPr="008D2F8C" w:rsidRDefault="00F12A7C" w:rsidP="008D2F8C">
      <w:pPr>
        <w:pStyle w:val="FootnoteText"/>
        <w:ind w:left="567" w:hanging="567"/>
        <w:rPr>
          <w:sz w:val="24"/>
          <w:lang w:val="cs-CZ"/>
        </w:rPr>
      </w:pPr>
      <w:r w:rsidRPr="008D2F8C">
        <w:rPr>
          <w:sz w:val="24"/>
          <w:vertAlign w:val="superscript"/>
          <w:lang w:val="cs-CZ"/>
        </w:rPr>
        <w:t>17</w:t>
      </w:r>
      <w:r w:rsidR="008D2F8C" w:rsidRPr="008D2F8C">
        <w:rPr>
          <w:sz w:val="24"/>
          <w:vertAlign w:val="superscript"/>
          <w:lang w:val="cs-CZ"/>
        </w:rPr>
        <w:t xml:space="preserve"> </w:t>
      </w:r>
      <w:r w:rsidR="008D2F8C" w:rsidRPr="008D2F8C">
        <w:rPr>
          <w:sz w:val="24"/>
          <w:vertAlign w:val="superscript"/>
          <w:lang w:val="cs-CZ"/>
        </w:rPr>
        <w:tab/>
      </w:r>
      <w:r w:rsidRPr="008D2F8C">
        <w:rPr>
          <w:sz w:val="24"/>
          <w:lang w:val="cs-CZ"/>
        </w:rPr>
        <w:t xml:space="preserve">Christine Lagarde, ‘The transformative power of AI’, 2025, </w:t>
      </w:r>
      <w:hyperlink r:id="rId15" w:history="1">
        <w:r w:rsidRPr="00B37D0B">
          <w:rPr>
            <w:rStyle w:val="Hyperlink"/>
            <w:sz w:val="24"/>
            <w:lang w:val="cs-CZ"/>
          </w:rPr>
          <w:t>https://www.ecb.europa.eu/press/key/date/2025/html/ecb.sp250401_1~d6c9d8df11.en.html</w:t>
        </w:r>
      </w:hyperlink>
      <w:r w:rsidRPr="008D2F8C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B1FDB" w14:textId="77777777" w:rsidR="00064002" w:rsidRPr="008D2F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04507" w14:textId="77777777" w:rsidR="00064002" w:rsidRPr="008D2F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D28D8" w14:textId="77777777" w:rsidR="00064002" w:rsidRPr="008D2F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8947402">
    <w:abstractNumId w:val="9"/>
  </w:num>
  <w:num w:numId="2" w16cid:durableId="2003586320">
    <w:abstractNumId w:val="9"/>
  </w:num>
  <w:num w:numId="3" w16cid:durableId="238029247">
    <w:abstractNumId w:val="7"/>
  </w:num>
  <w:num w:numId="4" w16cid:durableId="297344255">
    <w:abstractNumId w:val="7"/>
  </w:num>
  <w:num w:numId="5" w16cid:durableId="1855609070">
    <w:abstractNumId w:val="6"/>
  </w:num>
  <w:num w:numId="6" w16cid:durableId="1620644186">
    <w:abstractNumId w:val="6"/>
  </w:num>
  <w:num w:numId="7" w16cid:durableId="2083940109">
    <w:abstractNumId w:val="5"/>
  </w:num>
  <w:num w:numId="8" w16cid:durableId="1917202716">
    <w:abstractNumId w:val="5"/>
  </w:num>
  <w:num w:numId="9" w16cid:durableId="454833135">
    <w:abstractNumId w:val="4"/>
  </w:num>
  <w:num w:numId="10" w16cid:durableId="1929270081">
    <w:abstractNumId w:val="4"/>
  </w:num>
  <w:num w:numId="11" w16cid:durableId="498429764">
    <w:abstractNumId w:val="8"/>
  </w:num>
  <w:num w:numId="12" w16cid:durableId="1992244604">
    <w:abstractNumId w:val="8"/>
  </w:num>
  <w:num w:numId="13" w16cid:durableId="1618565824">
    <w:abstractNumId w:val="3"/>
  </w:num>
  <w:num w:numId="14" w16cid:durableId="1364862289">
    <w:abstractNumId w:val="3"/>
  </w:num>
  <w:num w:numId="15" w16cid:durableId="359553355">
    <w:abstractNumId w:val="2"/>
  </w:num>
  <w:num w:numId="16" w16cid:durableId="104230526">
    <w:abstractNumId w:val="2"/>
  </w:num>
  <w:num w:numId="17" w16cid:durableId="1272250869">
    <w:abstractNumId w:val="1"/>
  </w:num>
  <w:num w:numId="18" w16cid:durableId="1370371168">
    <w:abstractNumId w:val="1"/>
  </w:num>
  <w:num w:numId="19" w16cid:durableId="414018563">
    <w:abstractNumId w:val="0"/>
  </w:num>
  <w:num w:numId="20" w16cid:durableId="1489205897">
    <w:abstractNumId w:val="0"/>
  </w:num>
  <w:num w:numId="21" w16cid:durableId="18092551">
    <w:abstractNumId w:val="9"/>
  </w:num>
  <w:num w:numId="22" w16cid:durableId="1104770356">
    <w:abstractNumId w:val="7"/>
  </w:num>
  <w:num w:numId="23" w16cid:durableId="1108963586">
    <w:abstractNumId w:val="6"/>
  </w:num>
  <w:num w:numId="24" w16cid:durableId="2146459840">
    <w:abstractNumId w:val="5"/>
  </w:num>
  <w:num w:numId="25" w16cid:durableId="1539120670">
    <w:abstractNumId w:val="4"/>
  </w:num>
  <w:num w:numId="26" w16cid:durableId="1715426545">
    <w:abstractNumId w:val="8"/>
  </w:num>
  <w:num w:numId="27" w16cid:durableId="1158155379">
    <w:abstractNumId w:val="3"/>
  </w:num>
  <w:num w:numId="28" w16cid:durableId="1412312446">
    <w:abstractNumId w:val="2"/>
  </w:num>
  <w:num w:numId="29" w16cid:durableId="499125274">
    <w:abstractNumId w:val="1"/>
  </w:num>
  <w:num w:numId="30" w16cid:durableId="426660652">
    <w:abstractNumId w:val="0"/>
  </w:num>
  <w:num w:numId="31" w16cid:durableId="360009633">
    <w:abstractNumId w:val="9"/>
  </w:num>
  <w:num w:numId="32" w16cid:durableId="1285231304">
    <w:abstractNumId w:val="7"/>
  </w:num>
  <w:num w:numId="33" w16cid:durableId="1626353768">
    <w:abstractNumId w:val="6"/>
  </w:num>
  <w:num w:numId="34" w16cid:durableId="1928928689">
    <w:abstractNumId w:val="5"/>
  </w:num>
  <w:num w:numId="35" w16cid:durableId="366107076">
    <w:abstractNumId w:val="4"/>
  </w:num>
  <w:num w:numId="36" w16cid:durableId="407196485">
    <w:abstractNumId w:val="8"/>
  </w:num>
  <w:num w:numId="37" w16cid:durableId="147521904">
    <w:abstractNumId w:val="3"/>
  </w:num>
  <w:num w:numId="38" w16cid:durableId="1682583612">
    <w:abstractNumId w:val="2"/>
  </w:num>
  <w:num w:numId="39" w16cid:durableId="1526210135">
    <w:abstractNumId w:val="1"/>
  </w:num>
  <w:num w:numId="40" w16cid:durableId="1750271895">
    <w:abstractNumId w:val="0"/>
  </w:num>
  <w:num w:numId="41" w16cid:durableId="1879703678">
    <w:abstractNumId w:val="10"/>
  </w:num>
  <w:num w:numId="42" w16cid:durableId="2123183062">
    <w:abstractNumId w:val="10"/>
  </w:num>
  <w:num w:numId="43" w16cid:durableId="1205678527">
    <w:abstractNumId w:val="10"/>
  </w:num>
  <w:num w:numId="44" w16cid:durableId="12737827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5/2025"/>
    <w:docVar w:name="dvlangue" w:val="CS"/>
    <w:docVar w:name="dvnumam" w:val="0"/>
    <w:docVar w:name="dvpe" w:val="773.328"/>
    <w:docVar w:name="dvrapporteur" w:val="Zpravodajka: "/>
    <w:docVar w:name="dvtitre" w:val="Usnesení Evropského parlamentu ze dne.... 2025 o dopadu umělé inteligence na finanční sektor(2025/2056(INI))"/>
  </w:docVars>
  <w:rsids>
    <w:rsidRoot w:val="00061237"/>
    <w:rsid w:val="00002272"/>
    <w:rsid w:val="00061237"/>
    <w:rsid w:val="00064002"/>
    <w:rsid w:val="000677B9"/>
    <w:rsid w:val="000831BA"/>
    <w:rsid w:val="000A42CC"/>
    <w:rsid w:val="000E7AEC"/>
    <w:rsid w:val="000E7DD9"/>
    <w:rsid w:val="0010095E"/>
    <w:rsid w:val="00125B37"/>
    <w:rsid w:val="00187494"/>
    <w:rsid w:val="001F32AE"/>
    <w:rsid w:val="002767FF"/>
    <w:rsid w:val="002B18FE"/>
    <w:rsid w:val="002B5493"/>
    <w:rsid w:val="003314EC"/>
    <w:rsid w:val="00343214"/>
    <w:rsid w:val="00361C00"/>
    <w:rsid w:val="00395FA1"/>
    <w:rsid w:val="003E15D4"/>
    <w:rsid w:val="00411CCE"/>
    <w:rsid w:val="0041666E"/>
    <w:rsid w:val="00421060"/>
    <w:rsid w:val="004568E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5112"/>
    <w:rsid w:val="006631B6"/>
    <w:rsid w:val="00680577"/>
    <w:rsid w:val="006C6D8F"/>
    <w:rsid w:val="006E748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5B5"/>
    <w:rsid w:val="008C2AC6"/>
    <w:rsid w:val="008D2F8C"/>
    <w:rsid w:val="00930C23"/>
    <w:rsid w:val="0093193B"/>
    <w:rsid w:val="009509D8"/>
    <w:rsid w:val="00950B64"/>
    <w:rsid w:val="00981893"/>
    <w:rsid w:val="009F0D2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D0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B31"/>
    <w:rsid w:val="00CF071A"/>
    <w:rsid w:val="00D058B8"/>
    <w:rsid w:val="00D56C11"/>
    <w:rsid w:val="00D834A0"/>
    <w:rsid w:val="00D872DF"/>
    <w:rsid w:val="00D91E21"/>
    <w:rsid w:val="00DA7FCD"/>
    <w:rsid w:val="00E365E1"/>
    <w:rsid w:val="00E677C4"/>
    <w:rsid w:val="00E820A4"/>
    <w:rsid w:val="00EB006A"/>
    <w:rsid w:val="00EB4772"/>
    <w:rsid w:val="00ED169E"/>
    <w:rsid w:val="00ED4235"/>
    <w:rsid w:val="00F04346"/>
    <w:rsid w:val="00F075DC"/>
    <w:rsid w:val="00F12A7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C1E862"/>
  <w15:chartTrackingRefBased/>
  <w15:docId w15:val="{4A5A1446-5F61-42AE-9FDC-59CEC17F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12A7C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F12A7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F12A7C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F12A7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F12A7C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F12A7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D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E7A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3/575/oj" TargetMode="External"/><Relationship Id="rId13" Type="http://schemas.openxmlformats.org/officeDocument/2006/relationships/hyperlink" Target="http://data.europa.eu/eli/dir/2015/2366/oj" TargetMode="External"/><Relationship Id="rId3" Type="http://schemas.openxmlformats.org/officeDocument/2006/relationships/hyperlink" Target="http://data.europa.eu/eli/reg/2022/2554/oj" TargetMode="External"/><Relationship Id="rId7" Type="http://schemas.openxmlformats.org/officeDocument/2006/relationships/hyperlink" Target="http://data.europa.eu/eli/dir/2014/65/oj" TargetMode="External"/><Relationship Id="rId12" Type="http://schemas.openxmlformats.org/officeDocument/2006/relationships/hyperlink" Target="http://data.europa.eu/eli/dir/2009/65/oj" TargetMode="External"/><Relationship Id="rId2" Type="http://schemas.openxmlformats.org/officeDocument/2006/relationships/hyperlink" Target="http://data.europa.eu/eli/reg/2024/1689/oj" TargetMode="External"/><Relationship Id="rId1" Type="http://schemas.openxmlformats.org/officeDocument/2006/relationships/hyperlink" Target="http://data.europa.eu/eli/reg/2024/1624/oj" TargetMode="External"/><Relationship Id="rId6" Type="http://schemas.openxmlformats.org/officeDocument/2006/relationships/hyperlink" Target="http://data.europa.eu/eli/reg/2014/600/oj" TargetMode="External"/><Relationship Id="rId11" Type="http://schemas.openxmlformats.org/officeDocument/2006/relationships/hyperlink" Target="http://data.europa.eu/eli/dir/2009/138/oj" TargetMode="External"/><Relationship Id="rId5" Type="http://schemas.openxmlformats.org/officeDocument/2006/relationships/hyperlink" Target="http://data.europa.eu/eli/dir/2016/97/oj" TargetMode="External"/><Relationship Id="rId15" Type="http://schemas.openxmlformats.org/officeDocument/2006/relationships/hyperlink" Target="https://www.ecb.europa.eu/press/key/date/2025/html/ecb.sp250401_1~d6c9d8df11.en.html" TargetMode="External"/><Relationship Id="rId10" Type="http://schemas.openxmlformats.org/officeDocument/2006/relationships/hyperlink" Target="http://data.europa.eu/eli/dir/2011/61/oj" TargetMode="External"/><Relationship Id="rId4" Type="http://schemas.openxmlformats.org/officeDocument/2006/relationships/hyperlink" Target="http://data.europa.eu/eli/reg/2016/679/oj" TargetMode="External"/><Relationship Id="rId9" Type="http://schemas.openxmlformats.org/officeDocument/2006/relationships/hyperlink" Target="http://data.europa.eu/eli/dir/2013/36/oj" TargetMode="External"/><Relationship Id="rId14" Type="http://schemas.openxmlformats.org/officeDocument/2006/relationships/hyperlink" Target="https://eur-lex.europa.eu/legal-content/EN/TXT/?uri=CELEX%3A52022IP0140&amp;qid=17472974851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3749</Words>
  <Characters>23234</Characters>
  <Application>Microsoft Office Word</Application>
  <DocSecurity>0</DocSecurity>
  <Lines>193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2026-01-26T09:36:00Z</dcterms:created>
  <dcterms:modified xsi:type="dcterms:W3CDTF">2026-01-26T09:36:00Z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A10-0225/2025</vt:lpwstr>
  </property>
  <property fmtid="{D5CDD505-2E9C-101B-9397-08002B2CF9AE}" pid="4" name="&lt;Type&gt;">
    <vt:lpwstr>RR</vt:lpwstr>
  </property>
</Properties>
</file>