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337B" w14:paraId="23B59303" w14:textId="77777777" w:rsidTr="0010095E">
        <w:trPr>
          <w:trHeight w:hRule="exact" w:val="1418"/>
        </w:trPr>
        <w:tc>
          <w:tcPr>
            <w:tcW w:w="6804" w:type="dxa"/>
            <w:shd w:val="clear" w:color="auto" w:fill="auto"/>
            <w:vAlign w:val="center"/>
          </w:tcPr>
          <w:p w14:paraId="73A765BB" w14:textId="77777777" w:rsidR="00751A4A" w:rsidRPr="00EF337B" w:rsidRDefault="007C1632" w:rsidP="0010095E">
            <w:pPr>
              <w:pStyle w:val="EPName"/>
            </w:pPr>
            <w:r w:rsidRPr="00EF337B">
              <w:t>Ευρωπαϊκό Κοινοβούλιο</w:t>
            </w:r>
          </w:p>
          <w:p w14:paraId="77F6A633" w14:textId="77777777" w:rsidR="00751A4A" w:rsidRPr="00EF337B" w:rsidRDefault="005F1B17" w:rsidP="005F1B17">
            <w:pPr>
              <w:pStyle w:val="EPTerm"/>
              <w:rPr>
                <w:rStyle w:val="HideTWBExt"/>
                <w:noProof w:val="0"/>
                <w:vanish w:val="0"/>
                <w:color w:val="auto"/>
              </w:rPr>
            </w:pPr>
            <w:r w:rsidRPr="00EF337B">
              <w:t>2024</w:t>
            </w:r>
            <w:r w:rsidR="00817416" w:rsidRPr="00EF337B">
              <w:t>-202</w:t>
            </w:r>
            <w:r w:rsidRPr="00EF337B">
              <w:t>9</w:t>
            </w:r>
          </w:p>
        </w:tc>
        <w:tc>
          <w:tcPr>
            <w:tcW w:w="2268" w:type="dxa"/>
            <w:shd w:val="clear" w:color="auto" w:fill="auto"/>
          </w:tcPr>
          <w:p w14:paraId="4C52E8B0" w14:textId="77777777" w:rsidR="00751A4A" w:rsidRPr="00EF337B" w:rsidRDefault="00187494" w:rsidP="0010095E">
            <w:pPr>
              <w:pStyle w:val="EPLogo"/>
            </w:pPr>
            <w:r w:rsidRPr="00EF337B">
              <w:rPr>
                <w:noProof/>
                <w:lang w:eastAsia="ja-JP"/>
              </w:rPr>
              <w:drawing>
                <wp:inline distT="0" distB="0" distL="0" distR="0" wp14:anchorId="4832B614" wp14:editId="5C7FEA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D5A339" w14:textId="77777777" w:rsidR="00D058B8" w:rsidRPr="00EF337B" w:rsidRDefault="00D058B8" w:rsidP="004C5D52">
      <w:pPr>
        <w:pStyle w:val="LineTop"/>
      </w:pPr>
    </w:p>
    <w:p w14:paraId="29E37FF9" w14:textId="77777777" w:rsidR="00680577" w:rsidRPr="00EF337B" w:rsidRDefault="007C1632" w:rsidP="00680577">
      <w:pPr>
        <w:pStyle w:val="EPBodyTA1"/>
      </w:pPr>
      <w:r w:rsidRPr="00EF337B">
        <w:t>ΚΕΙΜΕΝΑ ΠΟΥ ΕΓΚΡΙΘΗΚΑΝ</w:t>
      </w:r>
    </w:p>
    <w:p w14:paraId="17B14B20" w14:textId="77777777" w:rsidR="00D058B8" w:rsidRPr="00EF337B" w:rsidRDefault="00D058B8" w:rsidP="00D058B8">
      <w:pPr>
        <w:pStyle w:val="LineBottom"/>
      </w:pPr>
    </w:p>
    <w:p w14:paraId="079BD209" w14:textId="2553013E" w:rsidR="007C1632" w:rsidRPr="00EF337B" w:rsidRDefault="007C1632" w:rsidP="007C1632">
      <w:pPr>
        <w:pStyle w:val="ATHeading1"/>
      </w:pPr>
      <w:bookmarkStart w:id="0" w:name="TANumber"/>
      <w:r w:rsidRPr="00EF337B">
        <w:t>P10_TA(2025)0</w:t>
      </w:r>
      <w:r w:rsidR="00EF337B" w:rsidRPr="00EF337B">
        <w:t>286</w:t>
      </w:r>
      <w:bookmarkEnd w:id="0"/>
    </w:p>
    <w:p w14:paraId="7FD55AB7" w14:textId="7C19306F" w:rsidR="007C1632" w:rsidRPr="00EF337B" w:rsidRDefault="006D2A64" w:rsidP="007C1632">
      <w:pPr>
        <w:pStyle w:val="ATHeading2"/>
      </w:pPr>
      <w:bookmarkStart w:id="1" w:name="title"/>
      <w:r w:rsidRPr="00EF337B">
        <w:t>Ο αντίκτυπος της τεχνητής νοημοσύνης στον χρηματοπιστωτικό τομέα</w:t>
      </w:r>
      <w:bookmarkEnd w:id="1"/>
    </w:p>
    <w:p w14:paraId="37060835" w14:textId="77777777" w:rsidR="007C1632" w:rsidRPr="00EF337B" w:rsidRDefault="007C1632" w:rsidP="007C1632">
      <w:pPr>
        <w:rPr>
          <w:i/>
          <w:vanish/>
        </w:rPr>
      </w:pPr>
      <w:r w:rsidRPr="00EF337B">
        <w:rPr>
          <w:i/>
        </w:rPr>
        <w:fldChar w:fldCharType="begin"/>
      </w:r>
      <w:r w:rsidRPr="00EF337B">
        <w:rPr>
          <w:i/>
        </w:rPr>
        <w:instrText xml:space="preserve"> TC"(</w:instrText>
      </w:r>
      <w:bookmarkStart w:id="2" w:name="DocNumber"/>
      <w:r w:rsidRPr="00EF337B">
        <w:rPr>
          <w:i/>
        </w:rPr>
        <w:instrText>A10-0225/2025</w:instrText>
      </w:r>
      <w:bookmarkEnd w:id="2"/>
      <w:r w:rsidRPr="00EF337B">
        <w:rPr>
          <w:i/>
        </w:rPr>
        <w:instrText xml:space="preserve"> - Εισηγήτρια: Arba Kokalari)"\l3 \n&gt; \* MERGEFORMAT </w:instrText>
      </w:r>
      <w:r w:rsidRPr="00EF337B">
        <w:rPr>
          <w:i/>
        </w:rPr>
        <w:fldChar w:fldCharType="end"/>
      </w:r>
    </w:p>
    <w:p w14:paraId="7D75981E" w14:textId="77777777" w:rsidR="007C1632" w:rsidRPr="00EF337B" w:rsidRDefault="007C1632" w:rsidP="007C1632">
      <w:pPr>
        <w:rPr>
          <w:vanish/>
        </w:rPr>
      </w:pPr>
      <w:bookmarkStart w:id="3" w:name="Commission"/>
      <w:r w:rsidRPr="00EF337B">
        <w:rPr>
          <w:vanish/>
        </w:rPr>
        <w:t>Επιτροπή Οικονομικής και Νομισματικής Πολιτικής</w:t>
      </w:r>
      <w:bookmarkEnd w:id="3"/>
    </w:p>
    <w:p w14:paraId="23599FF3" w14:textId="77777777" w:rsidR="007C1632" w:rsidRPr="00EF337B" w:rsidRDefault="007C1632" w:rsidP="007C1632">
      <w:pPr>
        <w:rPr>
          <w:vanish/>
        </w:rPr>
      </w:pPr>
      <w:bookmarkStart w:id="4" w:name="PE"/>
      <w:r w:rsidRPr="00EF337B">
        <w:rPr>
          <w:vanish/>
        </w:rPr>
        <w:t>PE773.328</w:t>
      </w:r>
      <w:bookmarkEnd w:id="4"/>
    </w:p>
    <w:p w14:paraId="4059FA3B" w14:textId="7CEC35BD" w:rsidR="007C1632" w:rsidRPr="00EF337B" w:rsidRDefault="007C1632" w:rsidP="007C1632">
      <w:pPr>
        <w:pStyle w:val="ATHeading3"/>
      </w:pPr>
      <w:bookmarkStart w:id="5" w:name="Sujet"/>
      <w:r w:rsidRPr="00EF337B">
        <w:t xml:space="preserve">Ψήφισμα του Ευρωπαϊκού Κοινοβουλίου </w:t>
      </w:r>
      <w:r w:rsidR="00A11678" w:rsidRPr="00EF337B">
        <w:t xml:space="preserve">της </w:t>
      </w:r>
      <w:r w:rsidR="00D07D25" w:rsidRPr="00EF337B">
        <w:t>25</w:t>
      </w:r>
      <w:r w:rsidR="00A11678" w:rsidRPr="00EF337B">
        <w:t xml:space="preserve">ης Νοεμβρίου 2025 </w:t>
      </w:r>
      <w:r w:rsidRPr="00EF337B">
        <w:t>σχετικά με τον αντίκτυπο της τεχνητής νοημοσύνης στον χρηματοπιστωτικό τομέα</w:t>
      </w:r>
      <w:bookmarkEnd w:id="5"/>
      <w:r w:rsidRPr="00EF337B">
        <w:t xml:space="preserve"> </w:t>
      </w:r>
      <w:bookmarkStart w:id="6" w:name="References"/>
      <w:r w:rsidRPr="00EF337B">
        <w:t>(2025/2056(INI))</w:t>
      </w:r>
      <w:bookmarkEnd w:id="6"/>
    </w:p>
    <w:p w14:paraId="62B7627B" w14:textId="77777777" w:rsidR="00A11678" w:rsidRPr="00EF337B" w:rsidRDefault="00A11678" w:rsidP="00BD256E">
      <w:pPr>
        <w:pStyle w:val="Normal12"/>
        <w:rPr>
          <w:i/>
        </w:rPr>
      </w:pPr>
    </w:p>
    <w:p w14:paraId="3B0E2085" w14:textId="4363B22E" w:rsidR="00BD256E" w:rsidRPr="00EF337B" w:rsidRDefault="00BD256E" w:rsidP="00BD256E">
      <w:pPr>
        <w:pStyle w:val="Normal12"/>
      </w:pPr>
      <w:r w:rsidRPr="00EF337B">
        <w:rPr>
          <w:i/>
        </w:rPr>
        <w:t>Το Ευρωπαϊκό Κοινοβούλιο</w:t>
      </w:r>
      <w:r w:rsidRPr="00EF337B">
        <w:t>,</w:t>
      </w:r>
    </w:p>
    <w:p w14:paraId="28026F0D" w14:textId="77777777" w:rsidR="00BD256E" w:rsidRPr="00EF337B" w:rsidRDefault="00BD256E" w:rsidP="00A11678">
      <w:pPr>
        <w:pStyle w:val="NormalHanging"/>
        <w:ind w:left="567" w:hanging="567"/>
      </w:pPr>
      <w:r w:rsidRPr="00EF337B">
        <w:t>–</w:t>
      </w:r>
      <w:r w:rsidRPr="00EF337B">
        <w:tab/>
        <w:t>έχοντας υπόψη την ανακοίνωση της Επιτροπής, της 9ης Απριλίου 2025, με τίτλο «Σχέδιο δράσης για μια ήπειρο ΤΝ» (COM(2025)0165),</w:t>
      </w:r>
    </w:p>
    <w:p w14:paraId="006B0C4F" w14:textId="77777777" w:rsidR="00BD256E" w:rsidRPr="00EF337B" w:rsidRDefault="00BD256E" w:rsidP="00A11678">
      <w:pPr>
        <w:pStyle w:val="NormalHanging"/>
        <w:ind w:left="567" w:hanging="567"/>
      </w:pPr>
      <w:r w:rsidRPr="00EF337B">
        <w:t>–</w:t>
      </w:r>
      <w:r w:rsidRPr="00EF337B">
        <w:tab/>
        <w:t>έχοντας υπόψη την ανακοίνωση της Επιτροπής, της 24ης Σεπτεμβρίου 2020, σχετικά με μια στρατηγική ψηφιακών χρηματοοικονομικών υπηρεσιών για την ΕΕ (COM(2020)0591),</w:t>
      </w:r>
    </w:p>
    <w:p w14:paraId="25C3EA39" w14:textId="77777777" w:rsidR="00BD256E" w:rsidRPr="00EF337B" w:rsidRDefault="00BD256E" w:rsidP="00A11678">
      <w:pPr>
        <w:pStyle w:val="NormalHanging"/>
        <w:ind w:left="567" w:hanging="567"/>
      </w:pPr>
      <w:r w:rsidRPr="00EF337B">
        <w:t>–</w:t>
      </w:r>
      <w:r w:rsidRPr="00EF337B">
        <w:tab/>
        <w:t>έχοντας υπόψη την έκθεση της Ευρωπαϊκής Αρχής Κινητών Αξιών και Αγορών (ESMA), της 25ης Φεβρουαρίου 2025, με τίτλο «</w:t>
      </w:r>
      <w:proofErr w:type="spellStart"/>
      <w:r w:rsidRPr="00EF337B">
        <w:t>Artificial</w:t>
      </w:r>
      <w:proofErr w:type="spellEnd"/>
      <w:r w:rsidRPr="00EF337B">
        <w:t xml:space="preserve"> </w:t>
      </w:r>
      <w:proofErr w:type="spellStart"/>
      <w:r w:rsidRPr="00EF337B">
        <w:t>intelligence</w:t>
      </w:r>
      <w:proofErr w:type="spellEnd"/>
      <w:r w:rsidRPr="00EF337B">
        <w:t xml:space="preserve"> in EU </w:t>
      </w:r>
      <w:proofErr w:type="spellStart"/>
      <w:r w:rsidRPr="00EF337B">
        <w:t>investment</w:t>
      </w:r>
      <w:proofErr w:type="spellEnd"/>
      <w:r w:rsidRPr="00EF337B">
        <w:t xml:space="preserve"> </w:t>
      </w:r>
      <w:proofErr w:type="spellStart"/>
      <w:r w:rsidRPr="00EF337B">
        <w:t>funds</w:t>
      </w:r>
      <w:proofErr w:type="spellEnd"/>
      <w:r w:rsidRPr="00EF337B">
        <w:t xml:space="preserve">: </w:t>
      </w:r>
      <w:proofErr w:type="spellStart"/>
      <w:r w:rsidRPr="00EF337B">
        <w:t>adoption</w:t>
      </w:r>
      <w:proofErr w:type="spellEnd"/>
      <w:r w:rsidRPr="00EF337B">
        <w:t xml:space="preserve">, </w:t>
      </w:r>
      <w:proofErr w:type="spellStart"/>
      <w:r w:rsidRPr="00EF337B">
        <w:t>strategies</w:t>
      </w:r>
      <w:proofErr w:type="spellEnd"/>
      <w:r w:rsidRPr="00EF337B">
        <w:t xml:space="preserve"> and </w:t>
      </w:r>
      <w:proofErr w:type="spellStart"/>
      <w:r w:rsidRPr="00EF337B">
        <w:t>portfolio</w:t>
      </w:r>
      <w:proofErr w:type="spellEnd"/>
      <w:r w:rsidRPr="00EF337B">
        <w:t xml:space="preserve"> </w:t>
      </w:r>
      <w:proofErr w:type="spellStart"/>
      <w:r w:rsidRPr="00EF337B">
        <w:t>exposures</w:t>
      </w:r>
      <w:proofErr w:type="spellEnd"/>
      <w:r w:rsidRPr="00EF337B">
        <w:t>» (Τεχνητή νοημοσύνη στους οργανισμούς επενδύσεων στην ΕΕ: υιοθέτηση, στρατηγικές και ανοίγματα χαρτοφυλακίου),</w:t>
      </w:r>
    </w:p>
    <w:p w14:paraId="67FD5709" w14:textId="77777777" w:rsidR="00BD256E" w:rsidRPr="00EF337B" w:rsidRDefault="00BD256E" w:rsidP="00A11678">
      <w:pPr>
        <w:pStyle w:val="NormalHanging"/>
        <w:ind w:left="567" w:hanging="567"/>
      </w:pPr>
      <w:r w:rsidRPr="00EF337B">
        <w:t>–</w:t>
      </w:r>
      <w:r w:rsidRPr="00EF337B">
        <w:tab/>
        <w:t>έχοντας υπόψη τη δημόσια δήλωση της ESMA, της 30ής Μαΐου 2024, σχετικά με τη χρήση της τεχνητής νοημοσύνης (ΤΝ) στην παροχή επενδυτικών υπηρεσιών για ιδιώτες επενδυτές,</w:t>
      </w:r>
    </w:p>
    <w:p w14:paraId="7D00E0CD" w14:textId="77777777" w:rsidR="00BD256E" w:rsidRPr="00EF337B" w:rsidRDefault="00BD256E" w:rsidP="00A11678">
      <w:pPr>
        <w:pStyle w:val="NormalHanging"/>
        <w:ind w:left="567" w:hanging="567"/>
      </w:pPr>
      <w:r w:rsidRPr="00EF337B">
        <w:t>–</w:t>
      </w:r>
      <w:r w:rsidRPr="00EF337B">
        <w:tab/>
        <w:t>έχοντας υπόψη την έκθεση της Ευρωπαϊκής Αρχής Ασφαλίσεων και Επαγγελματικών Συντάξεων (EIOPA), της 10ης Φεβρουαρίου 2025, με τίτλο «</w:t>
      </w:r>
      <w:proofErr w:type="spellStart"/>
      <w:r w:rsidRPr="00EF337B">
        <w:t>Impact</w:t>
      </w:r>
      <w:proofErr w:type="spellEnd"/>
      <w:r w:rsidRPr="00EF337B">
        <w:t xml:space="preserve"> </w:t>
      </w:r>
      <w:proofErr w:type="spellStart"/>
      <w:r w:rsidRPr="00EF337B">
        <w:t>Assessment</w:t>
      </w:r>
      <w:proofErr w:type="spellEnd"/>
      <w:r w:rsidRPr="00EF337B">
        <w:t xml:space="preserve"> of </w:t>
      </w:r>
      <w:proofErr w:type="spellStart"/>
      <w:r w:rsidRPr="00EF337B">
        <w:t>EIOPA’s</w:t>
      </w:r>
      <w:proofErr w:type="spellEnd"/>
      <w:r w:rsidRPr="00EF337B">
        <w:t xml:space="preserve"> </w:t>
      </w:r>
      <w:proofErr w:type="spellStart"/>
      <w:r w:rsidRPr="00EF337B">
        <w:t>Opinion</w:t>
      </w:r>
      <w:proofErr w:type="spellEnd"/>
      <w:r w:rsidRPr="00EF337B">
        <w:t xml:space="preserve"> on AI governance and risk management» (Εκτίμηση επιπτώσεων της γνωμοδότησης της EIOPA σχετικά με τη διακυβέρνηση της ΤΝ και τη διαχείριση κινδύνων),</w:t>
      </w:r>
    </w:p>
    <w:p w14:paraId="25BD099E" w14:textId="77777777" w:rsidR="00BD256E" w:rsidRPr="00EF337B" w:rsidRDefault="00BD256E" w:rsidP="00A11678">
      <w:pPr>
        <w:pStyle w:val="NormalHanging"/>
        <w:ind w:left="567" w:hanging="567"/>
      </w:pPr>
      <w:r w:rsidRPr="00EF337B">
        <w:t>–</w:t>
      </w:r>
      <w:r w:rsidRPr="00EF337B">
        <w:tab/>
        <w:t>έχοντας υπόψη την έκθεση της EIOPA, της 30ής Απριλίου 2024, με τίτλο «Report on the digitalisation of the European Insurance sector» (Έκθεση σχετικά με την ψηφιοποίηση του ευρωπαϊκού ασφαλιστικού τομέα),</w:t>
      </w:r>
    </w:p>
    <w:p w14:paraId="6026B0AA" w14:textId="721852C2" w:rsidR="00BD256E" w:rsidRPr="00EF337B" w:rsidRDefault="00BD256E" w:rsidP="00A11678">
      <w:pPr>
        <w:pStyle w:val="NormalHanging"/>
        <w:ind w:left="567" w:hanging="567"/>
      </w:pPr>
      <w:r w:rsidRPr="00EF337B">
        <w:lastRenderedPageBreak/>
        <w:t>–</w:t>
      </w:r>
      <w:r w:rsidRPr="00EF337B">
        <w:tab/>
        <w:t>έχοντας υπόψη την έκθεση της Ευρωπαϊκής Αρχής Τραπεζών (ΕΑΤ), της 29ης</w:t>
      </w:r>
      <w:r w:rsidR="00A11678" w:rsidRPr="00EF337B">
        <w:t> </w:t>
      </w:r>
      <w:r w:rsidRPr="00EF337B">
        <w:t>Νοεμβρίου 2024, με τίτλο «Risk Assessment Questionnaire (RAQ) – Autumn 2024» (Ερωτηματολόγιο εκτίμησης κινδύνου – Φθινόπωρο 2024),</w:t>
      </w:r>
    </w:p>
    <w:p w14:paraId="4754416C" w14:textId="77777777" w:rsidR="00BD256E" w:rsidRPr="00EF337B" w:rsidRDefault="00BD256E" w:rsidP="00A11678">
      <w:pPr>
        <w:pStyle w:val="NormalHanging"/>
        <w:ind w:left="567" w:hanging="567"/>
      </w:pPr>
      <w:r w:rsidRPr="00EF337B">
        <w:t>–</w:t>
      </w:r>
      <w:r w:rsidRPr="00EF337B">
        <w:tab/>
        <w:t>έχοντας υπόψη την έκθεση της ΕΑΤ, της 4ης Αυγούστου 2023, με τίτλο «Machine learning for internal ratings-based models» (Μηχανομάθηση για μοντέλα εσωτερικών διαβαθμίσεων),</w:t>
      </w:r>
    </w:p>
    <w:p w14:paraId="065EBA02" w14:textId="77777777" w:rsidR="00BD256E" w:rsidRPr="00EF337B" w:rsidRDefault="00BD256E" w:rsidP="00A11678">
      <w:pPr>
        <w:pStyle w:val="NormalHanging"/>
        <w:ind w:left="567" w:hanging="567"/>
      </w:pPr>
      <w:r w:rsidRPr="00EF337B">
        <w:t>–</w:t>
      </w:r>
      <w:r w:rsidRPr="00EF337B">
        <w:tab/>
        <w:t>έχοντας υπόψη το άρθρο της 26ης Φεβρουαρίου 2024 της Elizabeth McCaul, μέλους του εποπτικού συμβουλίου της Ευρωπαϊκής Κεντρικής Τράπεζας (ΕΚΤ), με τίτλο «From data to decisions: AI and supervision» (Από τα δεδομένα στις αποφάσεις: ΤΝ και εποπτεία),</w:t>
      </w:r>
    </w:p>
    <w:p w14:paraId="7B12962C" w14:textId="77777777" w:rsidR="00BD256E" w:rsidRPr="00EF337B" w:rsidRDefault="00BD256E" w:rsidP="00A11678">
      <w:pPr>
        <w:pStyle w:val="NormalHanging"/>
        <w:ind w:left="567" w:hanging="567"/>
      </w:pPr>
      <w:r w:rsidRPr="00EF337B">
        <w:t>–</w:t>
      </w:r>
      <w:r w:rsidRPr="00EF337B">
        <w:tab/>
        <w:t>έχοντας υπόψη τη δημοσίευση της ΕΚΤ, της 7ης Μαΐου 2024, με τίτλο «The rise of artificial intelligence: benefits and risks for financial stability» (Η ανάδυση της τεχνητής νοημοσύνης: οφέλη και κίνδυνοι για τη χρηματοπιστωτική σταθερότητα),</w:t>
      </w:r>
    </w:p>
    <w:p w14:paraId="1317FFB6" w14:textId="77777777" w:rsidR="00BD256E" w:rsidRPr="00EF337B" w:rsidRDefault="00BD256E" w:rsidP="00A11678">
      <w:pPr>
        <w:pStyle w:val="NormalHanging"/>
        <w:ind w:left="567" w:hanging="567"/>
      </w:pPr>
      <w:r w:rsidRPr="00EF337B">
        <w:t>–</w:t>
      </w:r>
      <w:r w:rsidRPr="00EF337B">
        <w:tab/>
        <w:t>έχοντας υπόψη το έγγραφο εργασίας του Οργανισμού Οικονομικής Συνεργασίας και Ανάπτυξης, της 15ης Δεκεμβρίου 2023, με τίτλο «Generative Artificial Intelligence in finance» (Παραγωγική τεχνητή νοημοσύνη στα χρηματοοικονομικά),</w:t>
      </w:r>
    </w:p>
    <w:p w14:paraId="1AB9A7FC" w14:textId="2A2BD26A" w:rsidR="00BD256E" w:rsidRPr="00EF337B" w:rsidRDefault="00BD256E" w:rsidP="00A11678">
      <w:pPr>
        <w:pStyle w:val="NormalHanging"/>
        <w:ind w:left="567" w:hanging="567"/>
      </w:pPr>
      <w:r w:rsidRPr="00EF337B">
        <w:t>–</w:t>
      </w:r>
      <w:r w:rsidRPr="00EF337B">
        <w:tab/>
        <w:t>έχοντας υπόψη την έκθεση της Τράπεζας Διεθνών Διακανονισμών, της 12ης</w:t>
      </w:r>
      <w:r w:rsidR="00A11678" w:rsidRPr="00EF337B">
        <w:t> </w:t>
      </w:r>
      <w:r w:rsidRPr="00EF337B">
        <w:t>Δεκεμβρίου 2024, με τίτλο «Regulating AI in the financial sector: recent developments and main challenges» (Ρύθμιση της τεχνητής νοημοσύνης στον χρηματοπιστωτικό τομέα: πρόσφατες εξελίξεις και κύριες προκλήσεις),</w:t>
      </w:r>
    </w:p>
    <w:p w14:paraId="5F6E313B" w14:textId="77777777" w:rsidR="00BD256E" w:rsidRPr="00EF337B" w:rsidRDefault="00BD256E" w:rsidP="00A11678">
      <w:pPr>
        <w:pStyle w:val="NormalHanging"/>
        <w:ind w:left="567" w:hanging="567"/>
      </w:pPr>
      <w:r w:rsidRPr="00EF337B">
        <w:t>–</w:t>
      </w:r>
      <w:r w:rsidRPr="00EF337B">
        <w:tab/>
        <w:t>έχοντας υπόψη την έκθεση της Τράπεζας Διεθνών Διακανονισμών, της 13ης Ιουνίου 2024, με τίτλο «Intelligent financial system: how AI is transforming finance» (Ευφυές χρηματοπιστωτικό σύστημα: πώς η τεχνητή νοημοσύνη μετασχηματίζει τον χρηματοπιστωτικό τομέα),</w:t>
      </w:r>
    </w:p>
    <w:p w14:paraId="2163979A" w14:textId="77777777" w:rsidR="00BD256E" w:rsidRPr="00EF337B" w:rsidRDefault="00BD256E" w:rsidP="00A11678">
      <w:pPr>
        <w:pStyle w:val="NormalHanging"/>
        <w:ind w:left="567" w:hanging="567"/>
      </w:pPr>
      <w:r w:rsidRPr="00EF337B">
        <w:t>–</w:t>
      </w:r>
      <w:r w:rsidRPr="00EF337B">
        <w:tab/>
        <w:t>έχοντας υπόψη την έκθεση της ομάδας εμπειρογνωμόνων υψηλού επιπέδου προς την G7, της 19ης Δεκεμβρίου 2024, με τίτλο «Artificial Intelligence and Economic and Financial Policy Making» (Τεχνητή νοημοσύνη και χάραξη οικονομικής και χρηματοπιστωτικής πολιτικής),</w:t>
      </w:r>
    </w:p>
    <w:p w14:paraId="04BBA965" w14:textId="77777777" w:rsidR="00BD256E" w:rsidRPr="00EF337B" w:rsidRDefault="00BD256E" w:rsidP="00A11678">
      <w:pPr>
        <w:pStyle w:val="NormalHanging"/>
        <w:ind w:left="567" w:hanging="567"/>
      </w:pPr>
      <w:r w:rsidRPr="00EF337B">
        <w:t>–</w:t>
      </w:r>
      <w:r w:rsidRPr="00EF337B">
        <w:tab/>
        <w:t>έχοντας υπόψη την έκθεση του Συμβουλίου Χρηματοπιστωτικής Σταθερότητας, της 14ης Νοεμβρίου 2024, με τίτλο «The Financial Stability Implications of Artificial Intelligence» (Επιπτώσεις της τεχνητής νοημοσύνης στη χρηματοπιστωτική σταθερότητα),</w:t>
      </w:r>
    </w:p>
    <w:p w14:paraId="2E5E2EE1" w14:textId="77777777" w:rsidR="00BD256E" w:rsidRPr="00EF337B" w:rsidRDefault="00BD256E" w:rsidP="00A11678">
      <w:pPr>
        <w:pStyle w:val="NormalHanging"/>
        <w:ind w:left="567" w:hanging="567"/>
      </w:pPr>
      <w:r w:rsidRPr="00EF337B">
        <w:t>–</w:t>
      </w:r>
      <w:r w:rsidRPr="00EF337B">
        <w:tab/>
        <w:t>έχοντας υπόψη τον κανονισμό (ΕΕ) 2024/1624 του Ευρωπαϊκού Κοινοβουλίου και του Συμβουλίου, της 31ης Μαΐου 2024,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EF337B">
        <w:rPr>
          <w:rStyle w:val="FootnoteReference"/>
        </w:rPr>
        <w:footnoteReference w:customMarkFollows="1" w:id="1"/>
        <w:t>1</w:t>
      </w:r>
      <w:r w:rsidRPr="00EF337B">
        <w:t>,</w:t>
      </w:r>
    </w:p>
    <w:p w14:paraId="6E394780" w14:textId="77777777" w:rsidR="00BD256E" w:rsidRPr="00EF337B" w:rsidRDefault="00BD256E" w:rsidP="00A11678">
      <w:pPr>
        <w:pStyle w:val="NormalHanging"/>
        <w:ind w:left="567" w:hanging="567"/>
      </w:pPr>
      <w:r w:rsidRPr="00EF337B">
        <w:t>–</w:t>
      </w:r>
      <w:r w:rsidRPr="00EF337B">
        <w:tab/>
        <w:t xml:space="preserve">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w:t>
      </w:r>
      <w:r w:rsidRPr="00EF337B">
        <w:lastRenderedPageBreak/>
        <w:t>(ΕΕ) 2019/2144 και των οδηγιών 2014/90/ΕΕ, (ΕΕ) 2016/797 και (ΕΕ) 2020/1828 (κανονισμός για την τεχνητή νοημοσύνη)</w:t>
      </w:r>
      <w:r w:rsidRPr="00EF337B">
        <w:rPr>
          <w:rStyle w:val="FootnoteReference"/>
        </w:rPr>
        <w:footnoteReference w:customMarkFollows="1" w:id="2"/>
        <w:t>2</w:t>
      </w:r>
      <w:r w:rsidRPr="00EF337B">
        <w:t>,</w:t>
      </w:r>
    </w:p>
    <w:p w14:paraId="2678EA92" w14:textId="73F29322" w:rsidR="00BD256E" w:rsidRPr="00EF337B" w:rsidRDefault="00BD256E" w:rsidP="00A11678">
      <w:pPr>
        <w:pStyle w:val="NormalHanging"/>
        <w:ind w:left="567" w:hanging="567"/>
      </w:pPr>
      <w:r w:rsidRPr="00EF337B">
        <w:t>–</w:t>
      </w:r>
      <w:r w:rsidRPr="00EF337B">
        <w:tab/>
        <w:t>έχοντας υπόψη τον κανονισμό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 2016/1011</w:t>
      </w:r>
      <w:r w:rsidRPr="00EF337B">
        <w:rPr>
          <w:rStyle w:val="FootnoteReference"/>
        </w:rPr>
        <w:footnoteReference w:customMarkFollows="1" w:id="3"/>
        <w:t>3</w:t>
      </w:r>
      <w:r w:rsidRPr="00EF337B">
        <w:t xml:space="preserve"> (</w:t>
      </w:r>
      <w:r w:rsidR="00A11678" w:rsidRPr="00EF337B">
        <w:t xml:space="preserve">κανονισμός </w:t>
      </w:r>
      <w:r w:rsidRPr="00EF337B">
        <w:t>για την ψηφιακή επιχειρησιακή ανθεκτικότητα),</w:t>
      </w:r>
    </w:p>
    <w:p w14:paraId="07CB9A44" w14:textId="77777777" w:rsidR="00BD256E" w:rsidRPr="00EF337B" w:rsidRDefault="00BD256E" w:rsidP="00A11678">
      <w:pPr>
        <w:pStyle w:val="NormalHanging"/>
        <w:ind w:left="567" w:hanging="567"/>
      </w:pPr>
      <w:r w:rsidRPr="00EF337B">
        <w:t>–</w:t>
      </w:r>
      <w:r w:rsidRPr="00EF337B">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r w:rsidRPr="00EF337B">
        <w:rPr>
          <w:rStyle w:val="FootnoteReference"/>
        </w:rPr>
        <w:footnoteReference w:customMarkFollows="1" w:id="4"/>
        <w:t>4</w:t>
      </w:r>
      <w:r w:rsidRPr="00EF337B">
        <w:t>,</w:t>
      </w:r>
    </w:p>
    <w:p w14:paraId="28E9D129" w14:textId="77777777" w:rsidR="00BD256E" w:rsidRPr="00EF337B" w:rsidRDefault="00BD256E" w:rsidP="00A11678">
      <w:pPr>
        <w:pStyle w:val="NormalHanging"/>
        <w:ind w:left="567" w:hanging="567"/>
      </w:pPr>
      <w:r w:rsidRPr="00EF337B">
        <w:t>–</w:t>
      </w:r>
      <w:r w:rsidRPr="00EF337B">
        <w:tab/>
        <w:t>έχοντας υπόψη την οδηγία (ΕΕ) 2016/97 του Ευρωπαϊκού Κοινοβουλίου και του Συμβουλίου, της 20ής Ιανουαρίου 2016, σχετικά με τη διανομή ασφαλιστικών προϊόντων</w:t>
      </w:r>
      <w:r w:rsidRPr="00EF337B">
        <w:rPr>
          <w:rStyle w:val="FootnoteReference"/>
        </w:rPr>
        <w:footnoteReference w:customMarkFollows="1" w:id="5"/>
        <w:t>5</w:t>
      </w:r>
      <w:r w:rsidRPr="00EF337B">
        <w:t xml:space="preserve"> (οδηγία για τη διανομή ασφαλιστικών προϊόντων),</w:t>
      </w:r>
    </w:p>
    <w:p w14:paraId="2D09DD0D" w14:textId="77777777" w:rsidR="00BD256E" w:rsidRPr="00EF337B" w:rsidRDefault="00BD256E" w:rsidP="00A11678">
      <w:pPr>
        <w:pStyle w:val="NormalHanging"/>
        <w:ind w:left="567" w:hanging="567"/>
      </w:pPr>
      <w:r w:rsidRPr="00EF337B">
        <w:t>–</w:t>
      </w:r>
      <w:r w:rsidRPr="00EF337B">
        <w:tab/>
        <w:t>έχοντας υπόψη τον κανονισμό (ΕΕ) αριθ. 600/2014 του Ευρωπαϊκού Κοινοβουλίου και του Συμβουλίου, της 15ης Μαΐου 2014 , για τις αγορές χρηματοπιστωτικών μέσων και για την τροποποίηση του κανονισμού (ΕΕ) αριθ. 648/2012</w:t>
      </w:r>
      <w:r w:rsidRPr="00EF337B">
        <w:rPr>
          <w:rStyle w:val="FootnoteReference"/>
        </w:rPr>
        <w:footnoteReference w:customMarkFollows="1" w:id="6"/>
        <w:t>6</w:t>
      </w:r>
      <w:r w:rsidRPr="00EF337B">
        <w:t xml:space="preserve"> (κανονισμός για τις αγορές χρηματοπιστωτικών μέσων),</w:t>
      </w:r>
    </w:p>
    <w:p w14:paraId="6E71F650" w14:textId="77777777" w:rsidR="00BD256E" w:rsidRPr="00EF337B" w:rsidRDefault="00BD256E" w:rsidP="00A11678">
      <w:pPr>
        <w:pStyle w:val="NormalHanging"/>
        <w:ind w:left="567" w:hanging="567"/>
      </w:pPr>
      <w:r w:rsidRPr="00EF337B">
        <w:t>–</w:t>
      </w:r>
      <w:r w:rsidRPr="00EF337B">
        <w:tab/>
        <w:t>έχοντας υπόψη την 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w:t>
      </w:r>
      <w:r w:rsidRPr="00EF337B">
        <w:rPr>
          <w:rStyle w:val="FootnoteReference"/>
        </w:rPr>
        <w:footnoteReference w:customMarkFollows="1" w:id="7"/>
        <w:t>7</w:t>
      </w:r>
      <w:r w:rsidRPr="00EF337B">
        <w:t xml:space="preserve"> (οδηγία για τις αγορές χρηματοπιστωτικών μέσων),</w:t>
      </w:r>
    </w:p>
    <w:p w14:paraId="25035CEA" w14:textId="77777777" w:rsidR="00BD256E" w:rsidRPr="00EF337B" w:rsidRDefault="00BD256E" w:rsidP="00A11678">
      <w:pPr>
        <w:pStyle w:val="NormalHanging"/>
        <w:ind w:left="567" w:hanging="567"/>
      </w:pPr>
      <w:r w:rsidRPr="00EF337B">
        <w:t>–</w:t>
      </w:r>
      <w:r w:rsidRPr="00EF337B">
        <w:tab/>
        <w:t>έχοντας υπόψη τον κανονισμό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w:t>
      </w:r>
      <w:r w:rsidRPr="00EF337B">
        <w:rPr>
          <w:rStyle w:val="FootnoteReference"/>
        </w:rPr>
        <w:footnoteReference w:customMarkFollows="1" w:id="8"/>
        <w:t>8</w:t>
      </w:r>
      <w:r w:rsidRPr="00EF337B">
        <w:t xml:space="preserve"> (κανονισμός για τις κεφαλαιακές απαιτήσεις),</w:t>
      </w:r>
    </w:p>
    <w:p w14:paraId="0D104E9C" w14:textId="77777777" w:rsidR="00BD256E" w:rsidRPr="00EF337B" w:rsidRDefault="00BD256E" w:rsidP="00A11678">
      <w:pPr>
        <w:pStyle w:val="NormalHanging"/>
        <w:ind w:left="567" w:hanging="567"/>
      </w:pPr>
      <w:r w:rsidRPr="00EF337B">
        <w:t>–</w:t>
      </w:r>
      <w:r w:rsidRPr="00EF337B">
        <w:tab/>
        <w:t>έχοντας υπόψη την οδηγία 2013/36/ΕΕ του Ευρωπαϊκού Κοινοβουλίου και του Συμβουλίου,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w:t>
      </w:r>
      <w:r w:rsidRPr="00EF337B">
        <w:rPr>
          <w:rStyle w:val="FootnoteReference"/>
        </w:rPr>
        <w:footnoteReference w:customMarkFollows="1" w:id="9"/>
        <w:t>9</w:t>
      </w:r>
      <w:r w:rsidRPr="00EF337B">
        <w:t xml:space="preserve"> (οδηγία για τις κεφαλαιακές απαιτήσεις),</w:t>
      </w:r>
    </w:p>
    <w:p w14:paraId="45A462BB" w14:textId="77777777" w:rsidR="00BD256E" w:rsidRPr="00EF337B" w:rsidRDefault="00BD256E" w:rsidP="00A11678">
      <w:pPr>
        <w:pStyle w:val="NormalHanging"/>
        <w:ind w:left="567" w:hanging="567"/>
      </w:pPr>
      <w:r w:rsidRPr="00EF337B">
        <w:t>–</w:t>
      </w:r>
      <w:r w:rsidRPr="00EF337B">
        <w:tab/>
        <w:t xml:space="preserve">έχοντας υπόψη την οδηγία 2011/61/ΕΕ του Ευρωπαϊκού Κοινοβουλίου και του Συμβουλίου, της 8ης Ιουνίου 2011, σχετικά με τους διαχειριστές οργανισμών </w:t>
      </w:r>
      <w:r w:rsidRPr="00EF337B">
        <w:lastRenderedPageBreak/>
        <w:t>εναλλακτικών επενδύσεων και για την τροποποίηση των οδηγιών 2003/41/ΕΚ και 2009/65/ΕΚ και των κανονισμών (ΕΚ) αριθ. 1060/2009 και (ΕΕ) αριθ. 1095/2010</w:t>
      </w:r>
      <w:r w:rsidRPr="00EF337B">
        <w:rPr>
          <w:rStyle w:val="FootnoteReference"/>
        </w:rPr>
        <w:footnoteReference w:customMarkFollows="1" w:id="10"/>
        <w:t>10</w:t>
      </w:r>
      <w:r w:rsidRPr="00EF337B">
        <w:t xml:space="preserve"> (οδηγία για τους διαχειριστές οργανισμών εναλλακτικών επενδύσεων),</w:t>
      </w:r>
    </w:p>
    <w:p w14:paraId="4E6C7247" w14:textId="77777777" w:rsidR="00BD256E" w:rsidRPr="00EF337B" w:rsidRDefault="00BD256E" w:rsidP="00A11678">
      <w:pPr>
        <w:pStyle w:val="NormalHanging"/>
        <w:ind w:left="567" w:hanging="567"/>
      </w:pPr>
      <w:r w:rsidRPr="00EF337B">
        <w:t>–</w:t>
      </w:r>
      <w:r w:rsidRPr="00EF337B">
        <w:tab/>
        <w:t>έχοντας υπόψη την οδηγία 2009/138/ΕΚ του Ευρωπαϊκού Κοινοβουλίου και του Συμβουλίου, της 25ης Νοεμβρίου 2009, σχετικά με την ανάληψη και την άσκηση δραστηριοτήτων ασφάλισης και αντασφάλισης (Φερεγγυότητα II)</w:t>
      </w:r>
      <w:r w:rsidRPr="00EF337B">
        <w:rPr>
          <w:rStyle w:val="FootnoteReference"/>
        </w:rPr>
        <w:footnoteReference w:customMarkFollows="1" w:id="11"/>
        <w:t>11</w:t>
      </w:r>
      <w:r w:rsidRPr="00EF337B">
        <w:t>,</w:t>
      </w:r>
    </w:p>
    <w:p w14:paraId="3168FF89" w14:textId="77777777" w:rsidR="00BD256E" w:rsidRPr="00EF337B" w:rsidRDefault="00BD256E" w:rsidP="00A11678">
      <w:pPr>
        <w:pStyle w:val="NormalHanging"/>
        <w:ind w:left="567" w:hanging="567"/>
      </w:pPr>
      <w:r w:rsidRPr="00EF337B">
        <w:t>–</w:t>
      </w:r>
      <w:r w:rsidRPr="00EF337B">
        <w:tab/>
        <w:t>έχοντας υπόψη την οδηγία 2009/65/ΕΚ του Ευρωπαϊκού Κοινοβουλίου και του Συμβουλίου, της 13ης Ιουλίου 2009, για τον συντονισμό των νομοθετικών, κανονιστικών και διοικητικών διατάξεων σχετικά με ορισμένους οργανισμούς συλλογικών επενδύσεων σε κινητές αξίες (ΟΣΕΚΑ)</w:t>
      </w:r>
      <w:r w:rsidRPr="00EF337B">
        <w:rPr>
          <w:rStyle w:val="FootnoteReference"/>
        </w:rPr>
        <w:footnoteReference w:customMarkFollows="1" w:id="12"/>
        <w:t>12</w:t>
      </w:r>
      <w:r w:rsidRPr="00EF337B">
        <w:t>,</w:t>
      </w:r>
    </w:p>
    <w:p w14:paraId="241FFA45" w14:textId="77777777" w:rsidR="00BD256E" w:rsidRPr="00EF337B" w:rsidRDefault="00BD256E" w:rsidP="00A11678">
      <w:pPr>
        <w:pStyle w:val="NormalHanging"/>
        <w:ind w:left="567" w:hanging="567"/>
      </w:pPr>
      <w:r w:rsidRPr="00EF337B">
        <w:t>–</w:t>
      </w:r>
      <w:r w:rsidRPr="00EF337B">
        <w:tab/>
        <w:t>έχοντας υπόψη την οδηγία (ΕΕ) 2015/2366 του Ευρωπαϊκού Κοινοβουλίου και του Συμβουλίου, της 25ης Νοεμβρίου 2015, σχετικά με υπηρεσίες πληρωμών στην εσωτερική αγορά, την τροποποίηση των οδηγιών 2002/65/ΕΚ, 2009/110/ΕΚ και 2013/36/ΕΕ και του κανονισμού (ΕΕ) αριθ. 1093/2010 και την κατάργηση της οδηγίας 2007/64/ΕΚ</w:t>
      </w:r>
      <w:r w:rsidRPr="00EF337B">
        <w:rPr>
          <w:rStyle w:val="FootnoteReference"/>
        </w:rPr>
        <w:footnoteReference w:customMarkFollows="1" w:id="13"/>
        <w:t>13</w:t>
      </w:r>
      <w:r w:rsidRPr="00EF337B">
        <w:t xml:space="preserve"> (οδηγία για τις υπηρεσίες πληρωμών),</w:t>
      </w:r>
    </w:p>
    <w:p w14:paraId="79D0F830" w14:textId="77777777" w:rsidR="00BD256E" w:rsidRPr="00EF337B" w:rsidRDefault="00BD256E" w:rsidP="00A11678">
      <w:pPr>
        <w:pStyle w:val="NormalHanging"/>
        <w:ind w:left="567" w:hanging="567"/>
      </w:pPr>
      <w:r w:rsidRPr="00EF337B">
        <w:t>–</w:t>
      </w:r>
      <w:r w:rsidRPr="00EF337B">
        <w:tab/>
        <w:t>έχοντας υπόψη το ψήφισμά του της 3ης Μαΐου 2022 σχετικά με την τεχνητή νοημοσύνη στην ψηφιακή εποχή</w:t>
      </w:r>
      <w:r w:rsidRPr="00EF337B">
        <w:rPr>
          <w:rStyle w:val="FootnoteReference"/>
        </w:rPr>
        <w:footnoteReference w:customMarkFollows="1" w:id="14"/>
        <w:t>14</w:t>
      </w:r>
      <w:r w:rsidRPr="00EF337B">
        <w:t>,</w:t>
      </w:r>
    </w:p>
    <w:p w14:paraId="60CE4272" w14:textId="77777777" w:rsidR="00BD256E" w:rsidRPr="00EF337B" w:rsidRDefault="00BD256E" w:rsidP="00A11678">
      <w:pPr>
        <w:pStyle w:val="NormalHanging"/>
        <w:ind w:left="567" w:hanging="567"/>
      </w:pPr>
      <w:r w:rsidRPr="00EF337B">
        <w:t>–</w:t>
      </w:r>
      <w:r w:rsidRPr="00EF337B">
        <w:tab/>
        <w:t>έχοντας υπόψη το άρθρο 55 του Κανονισμού του,</w:t>
      </w:r>
    </w:p>
    <w:p w14:paraId="63D7F6BD" w14:textId="77777777" w:rsidR="00BD256E" w:rsidRPr="00EF337B" w:rsidRDefault="00BD256E" w:rsidP="00A11678">
      <w:pPr>
        <w:pStyle w:val="NormalHanging"/>
        <w:ind w:left="567" w:hanging="567"/>
      </w:pPr>
      <w:r w:rsidRPr="00EF337B">
        <w:t>–</w:t>
      </w:r>
      <w:r w:rsidRPr="00EF337B">
        <w:tab/>
        <w:t>έχοντας υπόψη την έκθεση της Επιτροπής Οικονομικής και Νομισματικής Πολιτικής (A10-0225/2025),</w:t>
      </w:r>
    </w:p>
    <w:p w14:paraId="6F219D01" w14:textId="3C037F7B" w:rsidR="00BD256E" w:rsidRPr="00EF337B" w:rsidRDefault="00BD256E" w:rsidP="00A11678">
      <w:pPr>
        <w:pStyle w:val="NormalHanging"/>
        <w:ind w:left="567" w:hanging="567"/>
      </w:pPr>
      <w:r w:rsidRPr="00EF337B">
        <w:t>Α.</w:t>
      </w:r>
      <w:r w:rsidRPr="00EF337B">
        <w:tab/>
        <w:t>λαμβάνοντας υπόψη ότι με τον κανονισμό της ΕΕ για την τεχνητή νοημοσύνη (</w:t>
      </w:r>
      <w:r w:rsidR="00A11678" w:rsidRPr="00EF337B">
        <w:t xml:space="preserve">κανονισμός </w:t>
      </w:r>
      <w:r w:rsidRPr="00EF337B">
        <w:t>για την ΤΝ) θεσπίζεται το πρώτο ολοκληρωμένο κανονιστικό πλαίσιο για την τεχνητή νοημοσύνη (ΤΝ) παγκοσμίως·</w:t>
      </w:r>
    </w:p>
    <w:p w14:paraId="7791223A" w14:textId="6D3E5C89" w:rsidR="00BD256E" w:rsidRPr="00EF337B" w:rsidRDefault="00BD256E" w:rsidP="00A11678">
      <w:pPr>
        <w:pStyle w:val="NormalHanging"/>
        <w:ind w:left="567" w:hanging="567"/>
      </w:pPr>
      <w:r w:rsidRPr="00EF337B">
        <w:t>Β.</w:t>
      </w:r>
      <w:r w:rsidRPr="00EF337B">
        <w:tab/>
        <w:t xml:space="preserve">λαμβάνοντας υπόψη το σημείο 5 στοιχεία β) και γ) του Παραρτήματος III </w:t>
      </w:r>
      <w:r w:rsidR="00A11678" w:rsidRPr="00EF337B">
        <w:t xml:space="preserve">του κανονισμού </w:t>
      </w:r>
      <w:r w:rsidRPr="00EF337B">
        <w:t>για την ΤΝ ορίζει δύο περιπτώσεις χρήσης υψηλού κινδύνου για τον τομέα των χρηματοπιστωτικών υπηρεσιών, και συγκεκριμένα τη χρήση συστημάτων ΤΝ για τη βαθμολόγηση της καταναλωτικής πίστης και τις αξιολογήσεις πιστοληπτικής ικανότητας, καθώς και τη χρήση των συστημάτων αυτών για τις εκτιμήσεις κινδύνου και την τιμολόγηση των ασφαλιστικών προϊόντων ζωής και υγείας·</w:t>
      </w:r>
    </w:p>
    <w:p w14:paraId="15DAF672" w14:textId="77777777" w:rsidR="00BD256E" w:rsidRPr="00EF337B" w:rsidRDefault="00BD256E" w:rsidP="00A11678">
      <w:pPr>
        <w:pStyle w:val="NormalHanging"/>
        <w:ind w:left="567" w:hanging="567"/>
      </w:pPr>
      <w:r w:rsidRPr="00EF337B">
        <w:t>Γ.</w:t>
      </w:r>
      <w:r w:rsidRPr="00EF337B">
        <w:tab/>
        <w:t>λαμβάνοντας υπόψη ότι το σύστημα ΤΝ ορίζεται στον κανονισμό για την ΤΝ ως μηχανικό σύστημα που έχει σχεδιαστεί για να λειτουργεί με διαφορετικά επίπεδα αυτονομίας και μπορεί να παρουσιάζει προσαρμοστικότητα μετά την εφαρμογή του και το οποίο, για ρητούς ή σιωπηρούς στόχους, συνάγει, από τα στοιχεία εισόδου που λαμβάνει, πώς να παράγει στοιχεία εξόδου, όπως προβλέψεις, περιεχόμενο, συστάσεις ή αποφάσεις που μπορούν να επηρεάσουν υλικά ή εικονικά περιβάλλοντα·</w:t>
      </w:r>
    </w:p>
    <w:p w14:paraId="0C2D3222" w14:textId="77777777" w:rsidR="00BD256E" w:rsidRPr="00EF337B" w:rsidRDefault="00BD256E" w:rsidP="00A11678">
      <w:pPr>
        <w:pStyle w:val="NormalHanging"/>
        <w:ind w:left="567" w:hanging="567"/>
      </w:pPr>
      <w:r w:rsidRPr="00EF337B">
        <w:lastRenderedPageBreak/>
        <w:t>Δ.</w:t>
      </w:r>
      <w:r w:rsidRPr="00EF337B">
        <w:tab/>
        <w:t>λαμβάνοντας υπόψη ότι ένα μοντέλο ΤΝ γενικού σκοπού (GPAI) ορίζεται ως μοντέλο ΤΝ, συμπεριλαμβανομένων όσων έχουν εκπαιδευτεί με μεγάλο όγκο δεδομένων με τη χρήση αυτοεποπτείας σε κλίμακα, το οποίο παρουσιάζει σημαντική γενικότητα και είναι ικανό να εκτελεί αποτελεσματικά ευρύ φάσμα διακριτών καθηκόντων, ανεξάρτητα από τον τρόπο με τον οποίο το μοντέλο διατίθεται στην αγορά και μπορεί να ενσωματωθεί σε διάφορα κατάντη συστήματα ή εφαρμογές, αλλά μη συμπεριλαμβανομένων των μοντέλων ΤΝ που χρησιμοποιούνται πριν από τη διάθεσή τους στην αγορά για δραστηριότητες έρευνας, ανάπτυξης ή κατασκευής πρωτοτύπων·</w:t>
      </w:r>
    </w:p>
    <w:p w14:paraId="3CE8F71A" w14:textId="77777777" w:rsidR="00BD256E" w:rsidRPr="00EF337B" w:rsidRDefault="00BD256E" w:rsidP="00A11678">
      <w:pPr>
        <w:pStyle w:val="NormalHanging"/>
        <w:ind w:left="567" w:hanging="567"/>
      </w:pPr>
      <w:r w:rsidRPr="00EF337B">
        <w:t>Ε.</w:t>
      </w:r>
      <w:r w:rsidRPr="00EF337B">
        <w:tab/>
        <w:t>λαμβάνοντας υπόψη ότι τα συστήματα που χρησιμοποιούνται για τη βελτίωση της μαθηματικής βελτιστοποίησης ή για την επιτάχυνση και την προσέγγιση παραδοσιακών, καθιερωμένων μεθόδων βελτιστοποίησης, όπως οι μέθοδοι γραμμικής ή λογιστικής παλινδρόμησης, δεν εμπίπτουν στο πεδίο εφαρμογής του ορισμού του συστήματος ΤΝ·</w:t>
      </w:r>
    </w:p>
    <w:p w14:paraId="505C757D" w14:textId="77777777" w:rsidR="00BD256E" w:rsidRPr="00EF337B" w:rsidRDefault="00BD256E" w:rsidP="00A11678">
      <w:pPr>
        <w:pStyle w:val="Normal12a"/>
        <w:ind w:left="567" w:hanging="567"/>
      </w:pPr>
      <w:r w:rsidRPr="00EF337B">
        <w:rPr>
          <w:b/>
          <w:i/>
        </w:rPr>
        <w:t>Κατάσταση της υιοθέτησης της ΤΝ στις χρηματοπιστωτικές υπηρεσίες</w:t>
      </w:r>
    </w:p>
    <w:p w14:paraId="06141C79" w14:textId="690B2EA2" w:rsidR="00BD256E" w:rsidRPr="00EF337B" w:rsidRDefault="00EF337B" w:rsidP="00EF337B">
      <w:pPr>
        <w:pStyle w:val="NormalHanging12a"/>
        <w:ind w:left="570" w:hanging="570"/>
      </w:pPr>
      <w:r w:rsidRPr="00EF337B">
        <w:t>1.</w:t>
      </w:r>
      <w:r w:rsidRPr="00EF337B">
        <w:tab/>
      </w:r>
      <w:r w:rsidR="00BD256E" w:rsidRPr="00EF337B">
        <w:t xml:space="preserve">σημειώνει την ευρεία και ποικιλόμορφη υιοθέτηση της ΤΝ σε ολόκληρο τον τομέα των χρηματοπιστωτικών υπηρεσιών της ΕΕ, με χρηματοπιστωτικά ιδρύματα τα οποία έχουν χρησιμοποιήσει την κλασική μηχανική μάθηση για παρατεταμένο χρονικό διάστημα και τώρα πειραματίζονται σταδιακά με τη χρήση της γενετικής ΤΝ, συμπεριλαμβανομένων μεγάλων γλωσσικών μοντέλων (LLM) και άλλων μοντέλων θεμελίωσης, ως εργαλείου υποστήριξης· τονίζει ότι οι περισσότερες τρέχουσες περιπτώσεις χρήσης ΤΝ αποσκοπούν στον εξορθολογισμό διαδικασιών υποστήριξης (back-office), καθώς οι περισσότερες εφαρμογές αντιπροσωπεύουν εύκολα υλοποιήσιμους στόχους και όχι καινοτομίες υψηλού κινδύνου· σημειώνει, ωστόσο, ότι η χρήση της ΤΝ για την αξιολόγηση της πιστοληπτικής ικανότητας των φυσικών προσώπων ή για τον καθορισμό του βαθμού της πιστοληπτικής ικανότητας τους, η οποία επί του παρόντος ορίζεται ως υψηλού κινδύνου </w:t>
      </w:r>
      <w:r w:rsidR="00A11678" w:rsidRPr="00EF337B">
        <w:t xml:space="preserve">στον κανονισμό </w:t>
      </w:r>
      <w:r w:rsidR="00BD256E" w:rsidRPr="00EF337B">
        <w:t>για την ΤΝ, είναι η επικρατούσα και βρίσκεται σε αύξηση· τονίζει ότι η ανάπτυξη πλήρως αυτόνομων συστημάτων ΤΝ στον χρηματοπιστωτικό τομέα θα πρέπει να υπόκειται σε ανθρώπινη εποπτεία</w:t>
      </w:r>
      <w:r w:rsidR="00BD256E" w:rsidRPr="00EF337B">
        <w:rPr>
          <w:rStyle w:val="FootnoteReference"/>
        </w:rPr>
        <w:footnoteReference w:customMarkFollows="1" w:id="15"/>
        <w:t>15</w:t>
      </w:r>
      <w:r w:rsidR="00BD256E" w:rsidRPr="00EF337B">
        <w:t>· σημειώνει ότι τα χρηματοπιστωτικά ιδρύματα εξακολουθούν να διερευνούν περιπτώσεις χρήσης που αφορούν μοντέλα GPAI, η μεγαλύτερη πολυπλοκότητα των οποίων συνεπάγεται υψηλότερο λειτουργικό κίνδυνο και κίνδυνο συμμόρφωσης, αλλά σημειώνει επίσης ότι οι εφαρμογές αυτές παραμένουν σε μεγάλο βαθμό στο στάδιο των δοκιμών·</w:t>
      </w:r>
    </w:p>
    <w:p w14:paraId="4C94FC30" w14:textId="470A166D" w:rsidR="00BD256E" w:rsidRPr="00EF337B" w:rsidRDefault="00EF337B" w:rsidP="00EF337B">
      <w:pPr>
        <w:pStyle w:val="NormalHanging12a"/>
        <w:ind w:left="570" w:hanging="570"/>
      </w:pPr>
      <w:r w:rsidRPr="00EF337B">
        <w:t>2.</w:t>
      </w:r>
      <w:r w:rsidRPr="00EF337B">
        <w:tab/>
      </w:r>
      <w:r w:rsidR="00BD256E" w:rsidRPr="00EF337B">
        <w:t xml:space="preserve">πιστεύει ότι η ΤΝ αποτελεί σημαντική ευκαιρία για τα χρηματοπιστωτικά ιδρύματα της ΕΕ να αναπτύξουν πιο καινοτόμα προϊόντα, να εξορθολογίσουν τις λειτουργίες και να βελτιώσουν την ανταγωνιστικότητα σε παγκόσμια κλίμακα· επισημαίνει ότι η χρήση της ΤΝ στις χρηματοπιστωτικές υπηρεσίες έχει τη δυνατότητα να αποφέρει κοινωνικά οφέλη, συμπεριλαμβανομένων του αποτελεσματικότερου εντοπισμού και πρόληψης της απάτης, των ελέγχων για την καταπολέμηση της νομιμοποίησης εσόδων από παράνομες δραστηριότητες και των ελέγχων κυρώσεων, της στήριξης των πελατών, της παρακολούθησης των συναλλαγών, των εξατομικευμένων χρηματοοικονομικών συμβουλών, της συλλογής δεδομένων για το περιβάλλον, την κοινωνία και τη διακυβέρνηση, της ανάλυσης και της υποβολής εκθέσεων, των εμπορικών μοντέλων και στρατηγικών, της συνδρομής στην κανονιστική συμμόρφωση, της εποπτείας της </w:t>
      </w:r>
      <w:r w:rsidR="00BD256E" w:rsidRPr="00EF337B">
        <w:lastRenderedPageBreak/>
        <w:t>αγοράς και της παρακολούθησης των καταχρήσεων· θεωρεί ότι η χρήση της ΤΝ στον χρηματοπιστωτικό τομέα θα πρέπει να επιτυγχάνει ισορροπία μεταξύ, αφενός, της καινοτομίας και της ανταγωνιστικότητας και, αφετέρου, της διαχείρισης κινδύνων, της προστασίας των καταναλωτών και της χρηματοπιστωτικής σταθερότητας· τονίζει ότι τα οφέλη της χρήσης της ΤΝ στις χρηματοπιστωτικές υπηρεσίες θα πρέπει να μετακυλίονται πρωτίστως στους τελικούς πελάτες, για παράδειγμα μέσω χαμηλότερων τιμών, καλύτερης κάλυψης, βελτιωμένων χρηματοπιστωτικών συμβουλών, μεγαλύτερης χρηματοπιστωτικής ένταξης και πρόσβασης, και ενισχυμένων χρηματοπιστωτικών γνώσεων·</w:t>
      </w:r>
    </w:p>
    <w:p w14:paraId="0A9B9A0D" w14:textId="43F91E3E" w:rsidR="00BD256E" w:rsidRPr="00EF337B" w:rsidRDefault="00EF337B" w:rsidP="00EF337B">
      <w:pPr>
        <w:pStyle w:val="NormalHanging12a"/>
        <w:ind w:left="570" w:hanging="570"/>
      </w:pPr>
      <w:r w:rsidRPr="00EF337B">
        <w:t>3.</w:t>
      </w:r>
      <w:r w:rsidRPr="00EF337B">
        <w:tab/>
      </w:r>
      <w:r w:rsidR="00BD256E" w:rsidRPr="00EF337B">
        <w:t>σημειώνει ότι υπάρχουν επίσης κίνδυνοι από τη χρήση της ΤΝ στις χρηματοπιστωτικές υπηρεσίες· επισημαίνει ότι, πριν από την πρόσφατη επιτυχία των LLM. οι κίνδυνοι αυτοί οφείλονταν στην ποιότητα, την ακρίβεια και την αντιπροσωπευτικότητα των δεδομένων στα οποία εκπαιδεύτηκαν τα μοντέλα, δεδομένου ότι οι εκροές ΤΝ εκτός LLM είναι εξίσου αξιόπιστες με τις εισροές δεδομένων· υπογραμμίζει ότι η κακή ποιότητα των δεδομένων θα μπορούσε να οδηγήσει, μεταξύ άλλων, σε αποτελέσματα που εισάγουν διακρίσεις, σε καταχρηστικές πωλήσεις και σε ενισχυμένες συστημικές προκαταλήψεις, ενώ τα αδιαφανή και πολύπλοκα μοντέλα θα μπορούσαν να οδηγήσουν σε παραβιάσεις της ιδιωτικής ζωής και στον αποκλεισμό ευάλωτων καταναλωτών, για παράδειγμα μέσω διακρίσεων ως προς τις τιμές, επιδεινώνοντας έτσι τους υφιστάμενους κινδύνους ή δημιουργώντας νέους· τονίζει ότι τα LLM εισάγουν σημαντικούς πρόσθετους κινδύνους που μπορεί να είναι δύσκολο να μετρηθούν, συμπεριλαμβανομένων των ψευδαισθήσεων της ΤΝ, ακόμη και όταν τα εκπαιδευτικά δεδομένα είναι υψηλής ποιότητας· τονίζει ότι οι κίνδυνοι και τα αποτελέσματα αυτά πρέπει να μετριάζονται αποτελεσματικά· διαπιστώνει περαιτέρω προκλήσεις όσον αφορά τα τρωτά σημεία της κυβερνοασφάλειας και την εξηγησιμότητα των συστημάτων ΤΝ· τονίζει, ως εκ τούτου, την ανάγκη διασφάλισης ισχυρής διακυβέρνησης δεδομένων, αυστηρών δοκιμών και τεκμηρίωσης των μοντέλων ΤΝ, παράλληλα με τη διατήρηση ενός ανθρώπου στον βρόχο και την τήρηση υψηλού προτύπου για τη χρήση συστημάτων ΤΝ σε εφαρμογές που απευθύνονται στους καταναλωτές·</w:t>
      </w:r>
    </w:p>
    <w:p w14:paraId="0E71ABAF" w14:textId="3AED7D9F" w:rsidR="00BD256E" w:rsidRPr="00EF337B" w:rsidRDefault="00EF337B" w:rsidP="00EF337B">
      <w:pPr>
        <w:pStyle w:val="NormalHanging12a"/>
        <w:ind w:left="570" w:hanging="570"/>
      </w:pPr>
      <w:r w:rsidRPr="00EF337B">
        <w:t>4.</w:t>
      </w:r>
      <w:r w:rsidRPr="00EF337B">
        <w:tab/>
      </w:r>
      <w:r w:rsidR="00BD256E" w:rsidRPr="00EF337B">
        <w:t>κατανοεί ότι τα χρηματοπιστωτικά ιδρύματα έχουν υιοθετήσει μια μετρημένη προσέγγιση για την ανάπτυξη, τη δοκιμή και την εφαρμογή συστημάτων ΤΝ, με σκοπό να διασφαλιστεί η συμμόρφωση με την υφιστάμενη οριζόντια και τομεακή νομοθεσία· υπογραμμίζει ότι αυτή η συνετή προσέγγιση μπορεί επίσης να οφείλεται στο γεγονός ότι δεν έχει ακόμη παρουσιαστεί αντίστοιχη ζήτηση από τους πελάτες, καθώς και στην εξέλιξη των προσδοκιών των πελατών και σε παραμέτρους κινδύνου, που έχουν περιγραφεί ανωτέρω·</w:t>
      </w:r>
    </w:p>
    <w:p w14:paraId="39D40C93" w14:textId="35B9FB61" w:rsidR="00BD256E" w:rsidRPr="00EF337B" w:rsidRDefault="00EF337B" w:rsidP="00EF337B">
      <w:pPr>
        <w:pStyle w:val="NormalHanging12a"/>
        <w:ind w:left="570" w:hanging="570"/>
      </w:pPr>
      <w:r w:rsidRPr="00EF337B">
        <w:t>5.</w:t>
      </w:r>
      <w:r w:rsidRPr="00EF337B">
        <w:tab/>
      </w:r>
      <w:r w:rsidR="00BD256E" w:rsidRPr="00EF337B">
        <w:t>επισημαίνει ότι η αύξηση της ΤΝ θέτει προκλήσεις για τις εποπτικές αρχές, ιδίως λόγω της έλλειψης ειδικής για την ΤΝ εμπειρογνωσίας και επαρκών εποπτικών εργαλείων για την αξιολόγηση προηγμένων μοντέλων μηχανικής μάθησης και γενετικής ΤΝ· καλεί τις ευρωπαϊκές και εθνικές εποπτικές αρχές να προσαρμοστούν στην αυξανόμενη χρήση της ΤΝ στις χρηματοπιστωτικές υπηρεσίες και να παρακολουθούν, να αξιολογούν και να μετριάζουν τους κινδύνους για τους καταναλωτές και τη χρηματοπιστωτική σταθερότητα, λαμβάνοντας παράλληλα μέριμνα ώστε να μην αποθαρρύνουν την καινοτομία μέσω δυσανάλογων επιβαρύνσεων συμμόρφωσης ή υπερβολικά περιοριστικών ρυθμιστικών προσεγγίσεων·</w:t>
      </w:r>
    </w:p>
    <w:p w14:paraId="16F33F7E" w14:textId="2F10E1FA" w:rsidR="00BD256E" w:rsidRPr="00EF337B" w:rsidRDefault="00EF337B" w:rsidP="00EF337B">
      <w:pPr>
        <w:pStyle w:val="NormalHanging12a"/>
        <w:ind w:left="570" w:hanging="570"/>
      </w:pPr>
      <w:r w:rsidRPr="00EF337B">
        <w:lastRenderedPageBreak/>
        <w:t>6.</w:t>
      </w:r>
      <w:r w:rsidRPr="00EF337B">
        <w:tab/>
      </w:r>
      <w:r w:rsidR="00BD256E" w:rsidRPr="00EF337B">
        <w:t>σημειώνει ότι η συγκέντρωση μεταξύ των παρόχων υπηρεσιών ΤΝ που προσφέρουν επενδυτικές συμβουλές μπορεί να οδηγήσει σε αγελαία συμπεριφορά, λόγω των παρεμφερών μοντέλων και των περιορισμένων πηγών δεδομένων· παροτρύνει τις ευρωπαϊκές και εθνικές εποπτικές αρχές να παρακολουθούν αυτούς τους κινδύνους και τα χρηματοπιστωτικά ιδρύματα, προκειμένου να τα λαμβάνουν υπόψη κατά την ανάπτυξη εργαλείων ΤΝ·</w:t>
      </w:r>
    </w:p>
    <w:p w14:paraId="0CD78152" w14:textId="745D0189" w:rsidR="00BD256E" w:rsidRPr="00EF337B" w:rsidRDefault="00EF337B" w:rsidP="00EF337B">
      <w:pPr>
        <w:pStyle w:val="NormalHanging12a"/>
        <w:ind w:left="570" w:hanging="570"/>
      </w:pPr>
      <w:r w:rsidRPr="00EF337B">
        <w:t>7.</w:t>
      </w:r>
      <w:r w:rsidRPr="00EF337B">
        <w:tab/>
      </w:r>
      <w:r w:rsidR="00BD256E" w:rsidRPr="00EF337B">
        <w:t>σημειώνει την εξάρτηση των χρηματοπιστωτικών φορέων της ΕΕ από τρίτους παρόχους τεχνολογίας (ΤΠΤ) με στόχο τη φιλοξενία και την ανάπτυξη των μοντέλων ΤΝ τους και επισημαίνει ότι η πλειονότητα των χρηματοπιστωτικών εταιρειών εξαρτάται από λίγους μόνο ΤΠΤ για τις υπηρεσίες αυτές, γεγονός που μπορεί να οδηγήσει σε κίνδυνο συγκέντρωσης και να μειώσει τη διαπραγματευτική δύναμη των χρηματοπιστωτικών ιδρυμάτων κατά τη διαπραγμάτευση ή την τροποποίηση των συμβατικών όρων των υπηρεσιών ΤΝ· προειδοποιεί ότι η εξάρτηση από μικρό αριθμό παρόχων για μια δεδομένη υπηρεσία θα μπορούσε να οδηγήσει σε συστημικούς κινδύνους σε περίπτωση διαταραχών, ιδίως εάν δεν είναι εφικτή η ταχεία μετάβαση σε εναλλακτικούς παρόχους·</w:t>
      </w:r>
    </w:p>
    <w:p w14:paraId="4288D146" w14:textId="707284C9" w:rsidR="00BD256E" w:rsidRPr="00EF337B" w:rsidRDefault="00EF337B" w:rsidP="00EF337B">
      <w:pPr>
        <w:pStyle w:val="NormalHanging12a"/>
        <w:ind w:left="570" w:hanging="570"/>
      </w:pPr>
      <w:r w:rsidRPr="00EF337B">
        <w:t>8.</w:t>
      </w:r>
      <w:r w:rsidRPr="00EF337B">
        <w:tab/>
      </w:r>
      <w:r w:rsidR="00BD256E" w:rsidRPr="00EF337B">
        <w:t>σημειώνει ότι ο πρόσφατα θεσπισθείς κανονισμός σχετικά με την ψηφιακή επιχειρησιακή ανθεκτικότητα (DORA) απαιτεί από τα χρηματοπιστωτικά ιδρύματα να θέσουν σε εφαρμογή μέτρα για τον μετριασμό του κινδύνου συγκέντρωσης που απορρέει από ΤΠΤ τεχνολογίας των πληροφοριών και των επικοινωνιών, συμπεριλαμβανομένων σχεδίων έκτακτης ανάγκης και ρυθμίσεων για τη διασφάλιση της αδιάλειπτης λειτουργίας· ζητεί από την Επιτροπή και τις ευρωπαϊκές εποπτικές αρχές να αξιολογήσουν, ειδικότερα, τη σκοπιμότητα της εφαρμογής στρατηγικών εξόδου και μεταβατικών διατάξεων που ορίζονται στο DORA σε μοντέλα ΤΝ που φιλοξενούνται από τις υποδομές ΤΠΤ, ιδίως όσον αφορά τη σημαντική εξάρτηση από τους ΤΠΤ τρίτων χωρών για τις υπηρεσίες ΤΝ·</w:t>
      </w:r>
    </w:p>
    <w:p w14:paraId="15D143E6" w14:textId="727AEA11" w:rsidR="00BD256E" w:rsidRPr="00EF337B" w:rsidRDefault="00EF337B" w:rsidP="00EF337B">
      <w:pPr>
        <w:pStyle w:val="NormalHanging12a"/>
        <w:ind w:left="570" w:hanging="570"/>
      </w:pPr>
      <w:r w:rsidRPr="00EF337B">
        <w:t>9.</w:t>
      </w:r>
      <w:r w:rsidRPr="00EF337B">
        <w:tab/>
      </w:r>
      <w:r w:rsidR="00BD256E" w:rsidRPr="00EF337B">
        <w:t>τονίζει ότι οι εταιρείες της ΕΕ πρέπει να είναι σε θέση να χρησιμοποιούν τις υφιστάμενες υποδομές υπολογιστικού νέφους για την ανάπτυξη και την εφαρμογή της ΤΝ· ζητεί να διερευνηθούν ενεργά τρόποι για την ενίσχυση της συμβατότητας και της διαλειτουργικότητας των μοντέλων ΤΝ και των πλαισίων συμμόρφωσης με εκείνα των ομονοούντων διεθνών εταίρων, ιδίως εκείνων που επιδιώκουν να παράσχουν εξίσου ισχυρές ρυθμιστικές διασφαλίσεις, ώστε να διασφαλιστεί ότι τα χρηματοπιστωτικά ιδρύματα της ΕΕ διατηρούν την πρόσβαση σε εργαλεία και προμηθευτές ΤΝ και με σκοπό να διαμορφωθούν ισορροπημένα παγκόσμια πρότυπα, με παράλληλη κατοχύρωση της ασφάλειας δικαίου για τις ευρωπαϊκές επιχειρήσεις·</w:t>
      </w:r>
    </w:p>
    <w:p w14:paraId="18267D63" w14:textId="791695BA" w:rsidR="00BD256E" w:rsidRPr="00EF337B" w:rsidRDefault="00EF337B" w:rsidP="00EF337B">
      <w:pPr>
        <w:pStyle w:val="NormalHanging12a"/>
        <w:ind w:left="570" w:hanging="570"/>
      </w:pPr>
      <w:r w:rsidRPr="00EF337B">
        <w:t>10.</w:t>
      </w:r>
      <w:r w:rsidRPr="00EF337B">
        <w:tab/>
      </w:r>
      <w:r w:rsidR="00BD256E" w:rsidRPr="00EF337B">
        <w:t>υποστηρίζει πρωτοβουλίες για την τόνωση της ανάπτυξης της ΤΝ και του υπολογιστικού νέφους στην ΕΕ, ιδίως με σκοπό την ανάπτυξη υπηρεσιών ΤΝ που συμμορφώνονται πλήρως με τα πλαίσια της ΕΕ για την προστασία των δεδομένων και τα θεμελιώδη δικαιώματα, ενισχύοντας παράλληλα τη στρατηγική αυτονομία και την ανθεκτικότητα·</w:t>
      </w:r>
    </w:p>
    <w:p w14:paraId="17A50699" w14:textId="42DC5AD0" w:rsidR="00BD256E" w:rsidRPr="00EF337B" w:rsidRDefault="00BD256E" w:rsidP="00A11678">
      <w:pPr>
        <w:pStyle w:val="Normal12a"/>
      </w:pPr>
      <w:r w:rsidRPr="00EF337B">
        <w:rPr>
          <w:b/>
          <w:i/>
        </w:rPr>
        <w:t>Κανονιστικό τοπίο για την ΤΝ στις χρηματοπιστωτικές υπηρεσίες</w:t>
      </w:r>
    </w:p>
    <w:p w14:paraId="30FAE7EF" w14:textId="5020101A" w:rsidR="00BD256E" w:rsidRPr="00EF337B" w:rsidRDefault="00EF337B" w:rsidP="00EF337B">
      <w:pPr>
        <w:pStyle w:val="NormalHanging12a"/>
        <w:ind w:left="570" w:hanging="570"/>
      </w:pPr>
      <w:r w:rsidRPr="00EF337B">
        <w:t>11.</w:t>
      </w:r>
      <w:r w:rsidRPr="00EF337B">
        <w:tab/>
      </w:r>
      <w:r w:rsidR="00BD256E" w:rsidRPr="00EF337B">
        <w:t xml:space="preserve">τονίζει ότι ο τομέας των χρηματοπιστωτικών υπηρεσιών ρυθμίζεται σε μεγάλο βαθμό και υπόκειται σε πολλαπλές τομεακές νομοθετικές πράξεις τόσο σε εθνικό όσο και σε ενωσιακό επίπεδο, γεγονός που υποχρεώνει τους φορείς να διαχειρίζονται κινδύνους σε διάφορους τομείς, όπως η προστασία των δεδομένων, η γενεαλογία των δεδομένων, η </w:t>
      </w:r>
      <w:r w:rsidR="00BD256E" w:rsidRPr="00EF337B">
        <w:lastRenderedPageBreak/>
        <w:t>ποιότητα των δεδομένων, η διακυβέρνηση των δεδομένων, η επιχειρησιακή ανθεκτικότητα, η εξωτερική ανάθεση, ο κίνδυνος μοντέλου, τα μεροληπτικά αποτελέσματα, και ο κίνδυνος αγοράς και ο πιστωτικός κίνδυνος· σημειώνει ότι οι εν λόγω νομοθετικές πράξεις συναποτελούν το πλαίσιο για την εφαρμογή και τη διακυβέρνηση της ΤΝ στον τομέα των χρηματοπιστωτικών υπηρεσιών</w:t>
      </w:r>
      <w:r w:rsidR="00BD256E" w:rsidRPr="00EF337B">
        <w:rPr>
          <w:rStyle w:val="FootnoteReference"/>
        </w:rPr>
        <w:footnoteReference w:customMarkFollows="1" w:id="16"/>
        <w:t>16</w:t>
      </w:r>
      <w:r w:rsidR="00BD256E" w:rsidRPr="00EF337B">
        <w:t>· τονίζει, ωστόσο, τη σημασία της συνεχούς παρακολούθησης των ρυθμιστικών κενών και των εξελισσόμενων περιπτώσεων χρήσης της ΤΝ στον χρηματοπιστωτικό τομέα, ιδίως με σκοπό τη διασφάλιση των δικαιωμάτων των καταναλωτών και του δικαιώματος στην ιδιωτική ζωή·</w:t>
      </w:r>
    </w:p>
    <w:p w14:paraId="24A09930" w14:textId="70E65A38" w:rsidR="00BD256E" w:rsidRPr="00EF337B" w:rsidRDefault="00EF337B" w:rsidP="00EF337B">
      <w:pPr>
        <w:pStyle w:val="NormalHanging12a"/>
        <w:ind w:left="570" w:hanging="570"/>
      </w:pPr>
      <w:r w:rsidRPr="00EF337B">
        <w:t>12.</w:t>
      </w:r>
      <w:r w:rsidRPr="00EF337B">
        <w:tab/>
      </w:r>
      <w:r w:rsidR="00BD256E" w:rsidRPr="00EF337B">
        <w:t xml:space="preserve">σημειώνει ότι η ΕΕ έχει υιοθετήσει μια προσέγγιση που βασίζεται περισσότερο στους κινδύνους όσον αφορά τη ρύθμιση της ΤΝ σε σύγκριση με άλλες δικαιοδοσίες· υπογραμμίζει ότι, ενώ αυτό μπορεί να δημιουργήσει προκλήσεις για την υιοθέτηση και την ανάπτυξη της ΤΝ στις χρηματοπιστωτικές υπηρεσίες, προσφέρει επίσης μια ευκαιρία για την οικοδόμηση εμπιστοσύνης και τη στήριξη της καινοτομίας, υπό την προϋπόθεση ότι το πλαίσιο θα αποσαφηνιστεί και θα εφαρμοστεί κατά τρόπο που προάγει την ασφάλεια δικαίου, την αναλογικότητα και την εμπιστοσύνη της αγοράς· αναγνωρίζει ότι </w:t>
      </w:r>
      <w:r w:rsidR="00A11678" w:rsidRPr="00EF337B">
        <w:t xml:space="preserve">ο κανονισμός </w:t>
      </w:r>
      <w:r w:rsidR="00BD256E" w:rsidRPr="00EF337B">
        <w:t>για την ΤΝ δεν έχει ακόμη εφαρμοστεί πλήρως και ότι οι πρακτικές επιπτώσεις της δεν έχουν αξιολογηθεί ακόμη·</w:t>
      </w:r>
    </w:p>
    <w:p w14:paraId="4021865A" w14:textId="31E31D43" w:rsidR="00BD256E" w:rsidRPr="00EF337B" w:rsidRDefault="00EF337B" w:rsidP="00EF337B">
      <w:pPr>
        <w:pStyle w:val="NormalHanging12a"/>
        <w:ind w:left="570" w:hanging="570"/>
      </w:pPr>
      <w:r w:rsidRPr="00EF337B">
        <w:t>13.</w:t>
      </w:r>
      <w:r w:rsidRPr="00EF337B">
        <w:tab/>
      </w:r>
      <w:r w:rsidR="00BD256E" w:rsidRPr="00EF337B">
        <w:t xml:space="preserve">υπενθυμίζει ότι </w:t>
      </w:r>
      <w:r w:rsidR="00A11678" w:rsidRPr="00EF337B">
        <w:t xml:space="preserve">ο κανονισμός </w:t>
      </w:r>
      <w:r w:rsidR="00BD256E" w:rsidRPr="00EF337B">
        <w:t xml:space="preserve">για την ΤΝ λαμβάνει υπόψη το υφιστάμενο κεκτημένο για τις χρηματοπιστωτικές υπηρεσίες και επιδιώκει να αποφύγει την αλληλεπικάλυψη των απαιτήσεων, ιδίως όσον αφορά την εσωτερική διακυβέρνηση και τις διαδικασίες διαχείρισης της ποιότητας, επιτρέποντας περιορισμένες παρεκκλίσεις για τα χρηματοπιστωτικά ιδρύματα εφόσον προβλέπονται ισοδύναμες απαιτήσεις στη νομοθεσία της ΕΕ για τις χρηματοπιστωτικές υπηρεσίες· εκφράζει την ανησυχία του για το γεγονός ότι υπάρχουν, ωστόσο, ρυθμιστικές αλληλεπικαλύψεις και έλλειψη επαρκούς καθοδήγησης σχετικά με την ερμηνεία αυτών των ρυθμιστικών αλληλεπικαλύψεων και αλληλεπιδράσεων, γεγονός που δημιουργεί αδικαιολόγητη πολυπλοκότητα, φόρτο συμμόρφωσης και νομική αβεβαιότητα, εμποδίζοντας έτσι την υιοθέτηση της ΤΝ στον τομέα των χρηματοπιστωτικών υπηρεσιών· υπογραμμίζει τη σημασία της διασφάλισης ενός νομικού, κανονιστικού και διοικητικού πλαισίου που θα βασίζεται στην ασφάλεια, την προβλεψιμότητα και τη σταθερότητα· σημειώνει ότι μια επεκτατική, αντί μιας αναλογικής, ερμηνεία </w:t>
      </w:r>
      <w:r w:rsidR="00A11678" w:rsidRPr="00EF337B">
        <w:t xml:space="preserve">του κανονισμού </w:t>
      </w:r>
      <w:r w:rsidR="00BD256E" w:rsidRPr="00EF337B">
        <w:t xml:space="preserve">για την ΤΝ ενδέχεται να οδηγήσει σε αδικαιολόγητες απαιτήσεις συμμόρφωσης για τα χρηματοπιστωτικά ιδρύματα και να προκαλέσει ανασφάλεια δικαίου· αναγνωρίζει την πρόκληση που προκύπτει από το γεγονός ότι οι οργανισμοί εποπτείας έχουν διαφορετικές νομικές ερμηνείες και προσδοκίες όσον αφορά την εφαρμογή του κεκτημένου, με αποτέλεσμα τον κατακερματισμό της ενιαίας αγοράς· ζητεί από την Επιτροπή και τις εθνικές αρμόδιες αρχές να εντοπίσουν και να αντιμετωπίσουν τυχόν ασυνέπειες κατά την </w:t>
      </w:r>
      <w:r w:rsidR="00BD256E" w:rsidRPr="00EF337B">
        <w:lastRenderedPageBreak/>
        <w:t xml:space="preserve">εφαρμογή </w:t>
      </w:r>
      <w:r w:rsidR="00A11678" w:rsidRPr="00EF337B">
        <w:t xml:space="preserve">του κανονισμού </w:t>
      </w:r>
      <w:r w:rsidR="00BD256E" w:rsidRPr="00EF337B">
        <w:t>για την ΤΝ και στο πλαίσιο της επικείμενης δέσμης μέτρων Omnibus για τον ψηφιακό τομέα·</w:t>
      </w:r>
    </w:p>
    <w:p w14:paraId="612C0236" w14:textId="51973BEF" w:rsidR="00BD256E" w:rsidRPr="00EF337B" w:rsidRDefault="00EF337B" w:rsidP="00EF337B">
      <w:pPr>
        <w:pStyle w:val="NormalHanging12a"/>
        <w:ind w:left="570" w:hanging="570"/>
      </w:pPr>
      <w:r w:rsidRPr="00EF337B">
        <w:t>14.</w:t>
      </w:r>
      <w:r w:rsidRPr="00EF337B">
        <w:tab/>
      </w:r>
      <w:r w:rsidR="00BD256E" w:rsidRPr="00EF337B">
        <w:t xml:space="preserve">υποστηρίζει τη σύσταση </w:t>
      </w:r>
      <w:r w:rsidR="00A11678" w:rsidRPr="00EF337B">
        <w:t xml:space="preserve">του κανονισμού </w:t>
      </w:r>
      <w:r w:rsidR="00BD256E" w:rsidRPr="00EF337B">
        <w:t>για την ΤΝ να οριστούν οι χρηματοπιστωτικές αρμόδιες αρχές ως φορείς εποπτείας της αγοράς για τα συστήματα ΤΝ που χρησιμοποιούνται στις χρηματοπιστωτικές υπηρεσίες που θεωρούνται υψηλού κινδύνου· σημειώνει, ωστόσο, ότι άλλες εθνικές αρμόδιες αρχές θα είναι υπεύθυνες για την εποπτεία των συστημάτων ΤΝ μη υψηλού κινδύνου· αναγνωρίζει τις προκλήσεις που προκύπτουν από την ύπαρξη πολλαπλών εποπτικών οργανισμών με αρμοδιότητες όσον αφορά την εφαρμογή του κεκτημένου· αναγνωρίζει, επιπλέον, τις προκλήσεις που προκύπτουν από τις διαφορετικές νομικές ερμηνείες και προσδοκίες των διαφόρων εποπτικών οργανισμών, οι οποίες θα μπορούσαν να οδηγήσουν στον κατακερματισμό της ενιαίας αγοράς·</w:t>
      </w:r>
    </w:p>
    <w:p w14:paraId="705DB173" w14:textId="729B79A9" w:rsidR="00BD256E" w:rsidRPr="00EF337B" w:rsidRDefault="00EF337B" w:rsidP="00EF337B">
      <w:pPr>
        <w:pStyle w:val="NormalHanging12a"/>
        <w:ind w:left="570" w:hanging="570"/>
      </w:pPr>
      <w:r w:rsidRPr="00EF337B">
        <w:t>15.</w:t>
      </w:r>
      <w:r w:rsidRPr="00EF337B">
        <w:tab/>
      </w:r>
      <w:r w:rsidR="00BD256E" w:rsidRPr="00EF337B">
        <w:t>ενθαρρύνει τις εποπτικές αρχές να ενισχύσουν τον συντονισμό, τη συνεργασία και την ανταλλαγή πληροφοριών για την αποφυγή αλληλεπικαλυπτόμενων αξιώσεων δικαιοδοσίας· παροτρύνει, επιπλέον, την Επιτροπή και τις εποπτικές αρχές να ενισχύσουν τη συνεργασία με διεθνείς εταίρους σε παγκόσμια φόρουμ καθορισμού προτύπων, ώστε να διασφαλιστεί η ευθυγράμμιση και να αποφευχθεί ο κατακερματισμός των ρυθμιστικών προσεγγίσεων, καθώς και για να διασφαλιστεί ότι η ΕΕ θα συνεχίσει να συμβαδίζει και θα ευθυγραμμίζεται με τις παγκόσμιες κανονιστικές εξελίξεις·</w:t>
      </w:r>
    </w:p>
    <w:p w14:paraId="556D6ED4" w14:textId="0F16A3ED" w:rsidR="00BD256E" w:rsidRPr="00EF337B" w:rsidRDefault="00EF337B" w:rsidP="00EF337B">
      <w:pPr>
        <w:pStyle w:val="NormalHanging12a"/>
        <w:ind w:left="570" w:hanging="570"/>
      </w:pPr>
      <w:r w:rsidRPr="00EF337B">
        <w:t>16.</w:t>
      </w:r>
      <w:r w:rsidRPr="00EF337B">
        <w:tab/>
      </w:r>
      <w:r w:rsidR="00BD256E" w:rsidRPr="00EF337B">
        <w:t>επισημαίνει το γεγονός ότι ο γενικός κανονισμός προστασίας των δεδομένων και οι απαιτήσεις του σχετικά με την ελαχιστοποίηση των δεδομένων, τον περιορισμό του σκοπού, τη συγκατάθεση των πελατών και την επεξεργασία δεδομένων προσωπικού χαρακτήρα από τα χρηματοπιστωτικά ιδρύματα επιβάλλουν περιορισμούς στη χρήση της ΤΝ στις χρηματοπιστωτικές υπηρεσίες· θεωρεί ότι απαιτείται κατάλληλη ισορροπία μεταξύ της αξιοποίησης των οφελών από τη χρήση της ΤΝ στις χρηματοπιστωτικές υπηρεσίες και της προστασίας των δεδομένων των καταναλωτών·</w:t>
      </w:r>
    </w:p>
    <w:p w14:paraId="6241A423" w14:textId="77777777" w:rsidR="00BD256E" w:rsidRPr="00EF337B" w:rsidRDefault="00BD256E" w:rsidP="00A11678">
      <w:pPr>
        <w:pStyle w:val="Normal12a"/>
        <w:rPr>
          <w:b/>
          <w:bCs/>
        </w:rPr>
      </w:pPr>
      <w:r w:rsidRPr="00EF337B">
        <w:rPr>
          <w:b/>
          <w:bCs/>
          <w:i/>
        </w:rPr>
        <w:t>Συστάσεις για τη διασφάλιση της υπεύθυνης χρήσης της ΤΝ στις χρηματοπιστωτικές υπηρεσίες</w:t>
      </w:r>
    </w:p>
    <w:p w14:paraId="0B42CCDA" w14:textId="730E8524" w:rsidR="00BD256E" w:rsidRPr="00EF337B" w:rsidRDefault="00EF337B" w:rsidP="00EF337B">
      <w:pPr>
        <w:pStyle w:val="NormalHanging12a"/>
        <w:ind w:left="570" w:hanging="570"/>
      </w:pPr>
      <w:r w:rsidRPr="00EF337B">
        <w:t>17.</w:t>
      </w:r>
      <w:r w:rsidRPr="00EF337B">
        <w:tab/>
      </w:r>
      <w:r w:rsidR="00BD256E" w:rsidRPr="00EF337B">
        <w:t>εκφράζει τη λύπη του για το γεγονός ότι η ΕΕ υστερεί όσον αφορά την καινοτομία και τις επενδύσεις στον τομέα της ΤΝ, όπως καταδεικνύεται από τη χρηματοδότηση επιχειρηματικών συμμετοχών ύψους 33 δισεκατομμυρίων EUR που έλαβαν οι εταιρείες της ΕΕ που ανέπτυξαν ιδρυτικά μοντέλα μεταξύ 2018 και 2023, σε σύγκριση με πάνω από 120 δισεκατομμύρια EUR που έλαβαν οι ομόλογοί τους στις ΗΠΑ</w:t>
      </w:r>
      <w:r w:rsidR="00BD256E" w:rsidRPr="00EF337B">
        <w:rPr>
          <w:rStyle w:val="FootnoteReference"/>
        </w:rPr>
        <w:footnoteReference w:customMarkFollows="1" w:id="17"/>
        <w:t>17</w:t>
      </w:r>
      <w:r w:rsidR="00BD256E" w:rsidRPr="00EF337B">
        <w:t>· πιστεύει ότι ο τομέας των χρηματοπιστωτικών υπηρεσιών, ως ο τομέας με τις υψηλότερες δαπάνες για υπηρεσίες και προϊόντα ΤΠΕ, έχει τη δυνατότητα να λειτουργήσει ως καταλύτης για την κινητοποίηση ιδιωτικών επενδύσεων στην ΤΝ· ζητεί, στο πλαίσιο των αργών επενδύσεων για την ΤΝ στον χρηματοπιστωτικό τομέα της ΕΕ, να υποβληθεί μια φιλόδοξη πρόταση για την έναρξη του ευρωπαϊκού επιχειρηματικού κεφαλαίου στο πλαίσιο της Ένωσης Αποταμιεύσεων και Επενδύσεων·</w:t>
      </w:r>
    </w:p>
    <w:p w14:paraId="1CB97D85" w14:textId="55C148B1" w:rsidR="00BD256E" w:rsidRPr="00EF337B" w:rsidRDefault="00EF337B" w:rsidP="00EF337B">
      <w:pPr>
        <w:pStyle w:val="NormalHanging12a"/>
        <w:ind w:left="570" w:hanging="570"/>
      </w:pPr>
      <w:r w:rsidRPr="00EF337B">
        <w:lastRenderedPageBreak/>
        <w:t>18.</w:t>
      </w:r>
      <w:r w:rsidRPr="00EF337B">
        <w:tab/>
      </w:r>
      <w:r w:rsidR="00BD256E" w:rsidRPr="00EF337B">
        <w:t>καλεί την Επιτροπή να παράσχει σαφή και πρακτική καθοδήγηση, η οποία θα αναπτυχθεί σε διαβούλευση με τις ευρωπαϊκές και εθνικές εποπτικές αρχές και τα ενδιαφερόμενα μέρη, σχετικά με την εφαρμογή της υφιστάμενης νομοθεσίας για τις χρηματοπιστωτικές υπηρεσίες όσον αφορά τη χρήση της ΤΝ· θεωρεί ότι η εν λόγω καθοδήγηση θα πρέπει να έχει ως στόχο να διευκολύνει τη χρήση της ΤΝ στον τομέα των χρηματοπιστωτικών υπηρεσιών, μεταξύ άλλων με δεοντολογικό, υπεύθυνο και διαφανή τρόπο· ζητεί την εκπόνηση συνεκτικών ορισμών και την απλούστευση του κανονιστικού πλαισίου για την αποφυγή αλληλεπικαλυπτόμενων απαιτήσεων, συμπεριλαμβανομένων των απαιτήσεων υποβολής εκθέσεων αξιολόγησης κινδύνου, και προειδοποιεί κατά μιας ενιαίας προσέγγισης που θα επιβαρύνει δυσανάλογα τα μικρότερα και μεσαία χρηματοπιστωτικά ιδρύματα· τονίζει την ανάγκη καλής ισορροπίας μεταξύ της υπεύθυνης χρήσης της ΤΝ και της παροχής επαρκούς περιθωρίου για καινοτομία·</w:t>
      </w:r>
    </w:p>
    <w:p w14:paraId="1311253F" w14:textId="0848390C" w:rsidR="00BD256E" w:rsidRPr="00EF337B" w:rsidRDefault="00EF337B" w:rsidP="00EF337B">
      <w:pPr>
        <w:pStyle w:val="NormalHanging12a"/>
        <w:ind w:left="570" w:hanging="570"/>
      </w:pPr>
      <w:r w:rsidRPr="00EF337B">
        <w:t>19.</w:t>
      </w:r>
      <w:r w:rsidRPr="00EF337B">
        <w:tab/>
      </w:r>
      <w:r w:rsidR="00BD256E" w:rsidRPr="00EF337B">
        <w:t>καλεί την Επιτροπή να διερευνήσει τον τρόπο με τον οποίο τα εργαλεία που βασίζονται στην ΤΝ μπορούν να χρησιμοποιηθούν στις χρηματοπιστωτικές αγορές, όπως στη διαμεσολάβηση, τη διαχείριση χαρτοφυλακίου και την αυτοματοποίηση της συμμόρφωσης, προκειμένου να συμβάλουν στους στόχους της ένωσης αποταμιεύσεων και επενδύσεων, μεταξύ άλλων στηρίζοντας τους ιδιώτες επενδυτές στη λήψη τεκμηριωμένων επενδυτικών αποφάσεων, ενισχύοντας τη χρηματοπιστωτική εκπαίδευση, προωθώντας την καινοτομία μεταξύ των εταιρειών, μειώνοντας τον κατακερματισμό της αγοράς και διασφαλίζοντας ένα ασφαλές περιβάλλον για τους καταναλωτές· τονίζει ότι η επίτευξη αυτών των στόχων απαιτεί ένα τεχνολογικά ουδέτερο κανονιστικό πλαίσιο·</w:t>
      </w:r>
    </w:p>
    <w:p w14:paraId="13CE91C5" w14:textId="32FBFDE6" w:rsidR="00BD256E" w:rsidRPr="00EF337B" w:rsidRDefault="00EF337B" w:rsidP="00EF337B">
      <w:pPr>
        <w:pStyle w:val="NormalHanging12a"/>
        <w:ind w:left="570" w:hanging="570"/>
      </w:pPr>
      <w:r w:rsidRPr="00EF337B">
        <w:t>20.</w:t>
      </w:r>
      <w:r w:rsidRPr="00EF337B">
        <w:tab/>
      </w:r>
      <w:r w:rsidR="00BD256E" w:rsidRPr="00EF337B">
        <w:t xml:space="preserve">πιστεύει ότι η τομεακή νομοθεσία που ρυθμίζει τη χρήση της ΤΝ στις χρηματοπιστωτικές υπηρεσίες επαρκεί κυρίως για να καλύψει την ανάπτυξη της ΤΝ στην τρέχουσα μορφή της· υπογραμμίζει ότι θα πρέπει να υπάρχει συνεχής παρακολούθηση για να διαπιστώνεται αν υπάρχουν αλληλεπικαλύψεις ή ελλείψεις στην ισχύουσα νομοθεσία για τις χρηματοπιστωτικές υπηρεσίες που εφαρμόζεται στην ανάπτυξη της ΤΝ· υπογραμμίζει ότι μια πρόσθετη νομοθεσία θα ενίσχυε την πολυπλοκότητα και την αβεβαιότητα και, τελικώς, τον κίνδυνο, με αποτέλεσμα να μην μπορεί να επωφεληθεί ο τομέας από τα οφέλη της χρήσης της ΤΝ· τονίζει ότι η εξάρτηση από τα υφιστάμενα πλαίσια απαιτεί συνεχή εποπτική προσοχή, αποτελεσματική επιβολή και σαφή κατανομή της ευθύνης για τη διασφάλιση της συμμόρφωσης, ιδίως σε διασυνοριακά σενάρια ή σενάρια ανάπτυξης ΤΝ που ανατίθενται εξωτερικά, καθώς και παρακολούθηση και αξιολόγηση πιθανών μελλοντικών κενών που δημιουργούνται από τις νέες εξελίξεις στον τομέα της ΤΝ, εάν προξενούν σημαντικούς κινδύνους για τους καταναλωτές και τη χρηματοπιστωτική σταθερότητα· συνιστά θερμά στην Επιτροπή και στα κράτη μέλη να συντονίζονται ώστε να αποφεύγεται ο κανονιστικός υπερθεματισμός στη σχετική νομοθεσία και να αποτρέπεται η δημιουργία νέων φραγμών στις διασυνοριακές αγορές· σημειώνει ότι η Επιτροπή, σύμφωνα με </w:t>
      </w:r>
      <w:r w:rsidR="00A11678" w:rsidRPr="00EF337B">
        <w:t xml:space="preserve">τον κανονισμό </w:t>
      </w:r>
      <w:r w:rsidR="00BD256E" w:rsidRPr="00EF337B">
        <w:t xml:space="preserve">για την ΤΝ, μπορεί να αξιολογήσει τον κατάλογο των εφαρμογών υψηλού κινδύνου σύμφωνα με το παράρτημα III </w:t>
      </w:r>
      <w:r w:rsidR="00A11678" w:rsidRPr="00EF337B">
        <w:t xml:space="preserve">του κανονισμού </w:t>
      </w:r>
      <w:r w:rsidR="00BD256E" w:rsidRPr="00EF337B">
        <w:t>για την ΤΝ·</w:t>
      </w:r>
    </w:p>
    <w:p w14:paraId="76BAE8A9" w14:textId="68161A4E" w:rsidR="00BD256E" w:rsidRPr="00EF337B" w:rsidRDefault="00EF337B" w:rsidP="00EF337B">
      <w:pPr>
        <w:pStyle w:val="NormalHanging12a"/>
        <w:ind w:left="570" w:hanging="570"/>
      </w:pPr>
      <w:r w:rsidRPr="00EF337B">
        <w:t>21.</w:t>
      </w:r>
      <w:r w:rsidRPr="00EF337B">
        <w:tab/>
      </w:r>
      <w:r w:rsidR="00BD256E" w:rsidRPr="00EF337B">
        <w:t xml:space="preserve">καλεί τις ευρωπαϊκές και εθνικές εποπτικές αρχές να στηρίξουν την υπεύθυνη υιοθέτηση της ΤΝ προωθώντας συνεκτικές ερμηνείες και την αναλογική εφαρμογή των υφιστάμενων κανονισμών· πιστεύει ότι η επαρκής ρύθμιση της ανάπτυξης της ΤΝ στον τομέα των χρηματοπιστωτικών υπηρεσιών στηρίζει την υιοθέτηση της ΤΝ και την εμπιστοσύνη της κοινωνίας σε αυτήν· τονίζει ότι η στάση και η προσέγγιση των </w:t>
      </w:r>
      <w:r w:rsidR="00BD256E" w:rsidRPr="00EF337B">
        <w:lastRenderedPageBreak/>
        <w:t>εποπτικών αρχών είναι εξίσου σημαντικές με τους ίδιους τους κανόνες· συνιστά, οι εποπτικές προσπάθειες να δίνουν προτεραιότητα σε απτούς, επιχειρησιακούς κινδύνους, όπου εντοπίζονται, και όχι σε αφηρημένες ή θεωρητικές ανησυχίες, διατηρώντας παράλληλα μια ενεργό και αναλογική προσέγγιση της εποπτείας και εξισορροπώντας την καινοτομία με την προστασία των καταναλωτών, με στόχο τη διαχείριση απρόβλεπτων κινδύνων που προκύπτουν από τη διεύρυνση της υιοθέτησης των τεχνολογιών ΤΝ· τονίζει τον ρόλο της αποτελεσματικής παρακολούθησης και αντιμετώπισης των κινδύνων που σχετίζονται με την ΤΝ, συμπεριλαμβανομένων εκείνων που αφορούν την αδιαφάνεια, τη συγκέντρωση της αγοράς και την απώλεια λογοδοσίας, οι οποίοι θα μπορούσαν να επηρεάσουν τη χρηματοπιστωτική σταθερότητα·</w:t>
      </w:r>
    </w:p>
    <w:p w14:paraId="7B7CA123" w14:textId="15B8A81D" w:rsidR="00BD256E" w:rsidRPr="00EF337B" w:rsidRDefault="00EF337B" w:rsidP="00EF337B">
      <w:pPr>
        <w:pStyle w:val="NormalHanging12a"/>
        <w:ind w:left="570" w:hanging="570"/>
      </w:pPr>
      <w:r w:rsidRPr="00EF337B">
        <w:t>22.</w:t>
      </w:r>
      <w:r w:rsidRPr="00EF337B">
        <w:tab/>
      </w:r>
      <w:r w:rsidR="00BD256E" w:rsidRPr="00EF337B">
        <w:t>καλεί την Επιτροπή και τα κράτη μέλη να άρουν τους φραγμούς εισόδου εντός της ΕΕ για τις καινοτόμες χρηματοπιστωτικές επιχειρήσεις που βασίζονται στην ΤΝ, μεταξύ άλλων μέσω της εξορθολογισμένης αδειοδότησης, διασυνοριακών αναπτυσσόμενων επιχειρήσεων και της συμπερίληψης σε εποπτικούς κόμβους καινοτομίας·</w:t>
      </w:r>
    </w:p>
    <w:p w14:paraId="773EC4C1" w14:textId="63C19D33" w:rsidR="00BD256E" w:rsidRPr="00EF337B" w:rsidRDefault="00EF337B" w:rsidP="00EF337B">
      <w:pPr>
        <w:pStyle w:val="NormalHanging12a"/>
        <w:ind w:left="570" w:hanging="570"/>
      </w:pPr>
      <w:r w:rsidRPr="00EF337B">
        <w:t>23.</w:t>
      </w:r>
      <w:r w:rsidRPr="00EF337B">
        <w:tab/>
      </w:r>
      <w:r w:rsidR="00BD256E" w:rsidRPr="00EF337B">
        <w:t>υποστηρίζει την έρευνα σχετικά με τον περιβαλλοντικό αντίκτυπο της χρήσης ΤΝ, με έμφαση στην ένταση των πόρων και τη μακροπρόθεσμη βιωσιμότητα, προκειμένου να αυξηθεί η διαφάνεια και να βοηθηθούν τα χρηματοπιστωτικά ιδρύματα να αξιολογήσουν αυτές τις πτυχές και το δικό τους περιβαλλοντικό αποτύπωμα·</w:t>
      </w:r>
    </w:p>
    <w:p w14:paraId="3E0F28DC" w14:textId="28F540BF" w:rsidR="00BD256E" w:rsidRPr="00EF337B" w:rsidRDefault="00EF337B" w:rsidP="00EF337B">
      <w:pPr>
        <w:pStyle w:val="NormalHanging12a"/>
        <w:ind w:left="570" w:hanging="570"/>
      </w:pPr>
      <w:r w:rsidRPr="00EF337B">
        <w:t>24.</w:t>
      </w:r>
      <w:r w:rsidRPr="00EF337B">
        <w:tab/>
      </w:r>
      <w:r w:rsidR="00BD256E" w:rsidRPr="00EF337B">
        <w:t>πιστεύει ότι η αυξανόμενη χρήση της ΤΝ, η οποία μπορεί να έχει επιπτώσεις στην αγορά εργασίας στον τομέα των χρηματοπιστωτικών υπηρεσιών, απαιτεί ισχυρό γραμματισμό στον τομέα της ΤΝ, ψηφιακές δεξιότητες και συμμετοχή ταλέντων, με την υποστήριξη τόσο πρωτοβουλιών αναβάθμισης των δεξιοτήτων του δημόσιου τομέα όσο και λύσεων που βασίζονται στην αγορά· υποστηρίζει τις προσπάθειες της βιομηχανίας και τις στοχευμένες πρωτοβουλίες, συμπεριλαμβανομένων των συμπράξεων δημόσιου και ιδιωτικού τομέα και των προγραμμάτων επανειδίκευσης, για την ανάπτυξη τεχνικών και δεοντολογικών ικανοτήτων ΤΝ, ιδίως όσον αφορά τα δικαιώματα και τους κινδύνους, του εργατικού δυναμικού του χρηματοπιστωτικού τομέα· υπογραμμίζει τη σημασία της ανάπτυξης στρατηγικών ΤΝ που ενισχύουν την παραγωγικότητα και, παράλληλα, στηρίζουν την προσαρμογή, την αναβάθμιση των δεξιοτήτων και την ανακατανομή των εργαζομένων, με διασφάλιση ουσιαστικής ανθρώπινης εποπτείας και ελέγχου· ζητεί μεγαλύτερη σαφήνεια όσον αφορά τις απαιτήσεις του κανονισμού για την ΤΝ σε σχέση με τη συμμόρφωση των χρηματοπιστωτικών ιδρυμάτων με τις απαιτήσεις γραμματισμού στον τομέα της ΤΝ· τονίζει, επιπλέον, τη σημασία της διασφάλισης και της προώθησης της ισότιμης πρόσβασης σε εργαλεία και υπηρεσίες ΤΝ, μεταξύ άλλων για τμήματα του πληθυσμού με λιγότερες ψηφιακές ικανότητες·</w:t>
      </w:r>
    </w:p>
    <w:p w14:paraId="669F466D" w14:textId="33BE5CA7" w:rsidR="00BD256E" w:rsidRPr="00EF337B" w:rsidRDefault="00EF337B" w:rsidP="00EF337B">
      <w:pPr>
        <w:pStyle w:val="NormalHanging12a"/>
        <w:ind w:left="570" w:hanging="570"/>
      </w:pPr>
      <w:r w:rsidRPr="00EF337B">
        <w:t>25.</w:t>
      </w:r>
      <w:r w:rsidRPr="00EF337B">
        <w:tab/>
      </w:r>
      <w:r w:rsidR="00BD256E" w:rsidRPr="00EF337B">
        <w:t xml:space="preserve">καλεί την Επιτροπή και τις ευρωπαϊκές και εθνικές εποπτικές αρχές να αξιολογήσουν την προστιθέμενη αξία των ρυθμιστικών δοκιμαστηρίων, των κόμβων καινοτομίας και των διασυνοριακών περιβαλλόντων δοκιμών για χρηματοπιστωτικές υπηρεσίες που σχετίζονται με την ΤΝ, ώστε να καταστεί δυνατός ο πειραματισμός με τη χρηματοπιστωτική καινοτομία που βασίζεται στην ΤΝ, τόσο για να βοηθούνται οι νεοφυείς επιχειρήσεις να δοκιμάζουν τα προϊόντα τους όσο και για να δίνεται η δυνατότητα στα κατεστημένα ιδρύματα να διερευνούν νέες χρήσεις σε ελεγχόμενο περιβάλλον, διασφαλίζοντας παράλληλα την προστασία των καταναλωτών και την ακεραιότητα της αγοράς· πιστεύει ότι η κατάλληλη μόχλευση ρυθμιστικών δοκιμαστηρίων ΤΝ θα μπορούσε να παράσχει το δομημένο, εποπτευόμενο περιβάλλον δοκιμών που είναι αναγκαίο για τη διευκόλυνση της καινοτομίας και της υπεύθυνης </w:t>
      </w:r>
      <w:r w:rsidR="00BD256E" w:rsidRPr="00EF337B">
        <w:lastRenderedPageBreak/>
        <w:t>ανάπτυξης της ΤΝ στον τομέα των χρηματοπιστωτικών υπηρεσιών· ενθαρρύνει τις ευρωπαϊκές και εθνικές εποπτικές αρχές να ενισχύσουν τα εποπτικά εργαλεία και την τεχνολογία (SupTech) μέσω της χρήσης ΤΝ και να τα ενσωματώσουν στις καθημερινές εποπτικές δραστηριότητες για τη βελτίωση της αποδοτικότητας και της αποτελεσματικότητας της χρηματοπιστωτικής εποπτείας· σημειώνει ότι τα εργαλεία αυτά προορίζονται να στηρίξουν, και όχι να αντικαταστήσουν, τους ανθρώπινους επόπτες·</w:t>
      </w:r>
    </w:p>
    <w:p w14:paraId="075DC0E2" w14:textId="77777777" w:rsidR="00BD256E" w:rsidRPr="00EF337B" w:rsidRDefault="00BD256E" w:rsidP="00A11678">
      <w:pPr>
        <w:pStyle w:val="NormalCenter12a"/>
        <w:ind w:left="567" w:hanging="567"/>
      </w:pPr>
      <w:r w:rsidRPr="00EF337B">
        <w:t>°</w:t>
      </w:r>
    </w:p>
    <w:p w14:paraId="32BD4630" w14:textId="77777777" w:rsidR="00BD256E" w:rsidRPr="00EF337B" w:rsidRDefault="00BD256E" w:rsidP="00A11678">
      <w:pPr>
        <w:pStyle w:val="NormalCenter12a"/>
        <w:ind w:left="567" w:hanging="567"/>
      </w:pPr>
      <w:r w:rsidRPr="00EF337B">
        <w:t>°</w:t>
      </w:r>
      <w:r w:rsidRPr="00EF337B">
        <w:tab/>
        <w:t>°</w:t>
      </w:r>
    </w:p>
    <w:p w14:paraId="223A8019" w14:textId="30C29441" w:rsidR="00CA70D3" w:rsidRPr="00EF337B" w:rsidRDefault="00EF337B" w:rsidP="00EF337B">
      <w:pPr>
        <w:pStyle w:val="NormalHanging12a"/>
        <w:ind w:left="570" w:hanging="570"/>
      </w:pPr>
      <w:r w:rsidRPr="00EF337B">
        <w:t>26.</w:t>
      </w:r>
      <w:r w:rsidRPr="00EF337B">
        <w:tab/>
      </w:r>
      <w:r w:rsidR="00BD256E" w:rsidRPr="00EF337B">
        <w:t>αναθέτει στην Πρόεδρό του να διαβιβάσει το παρόν ψήφισμα στο Συμβούλιο, στην Επιτροπή, καθώς και στις κυβερνήσεις και τα κοινοβούλια των κρατών μελών.</w:t>
      </w:r>
    </w:p>
    <w:p w14:paraId="7BF2EC4F" w14:textId="6E2F3336" w:rsidR="00E365E1" w:rsidRPr="00EF337B" w:rsidRDefault="00E365E1" w:rsidP="00A11678">
      <w:pPr>
        <w:widowControl/>
        <w:spacing w:after="240"/>
        <w:ind w:left="567" w:hanging="567"/>
      </w:pPr>
    </w:p>
    <w:sectPr w:rsidR="00E365E1" w:rsidRPr="00EF337B" w:rsidSect="00CA70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0FFEF" w14:textId="77777777" w:rsidR="007C1632" w:rsidRPr="00CA70D3" w:rsidRDefault="007C1632">
      <w:r w:rsidRPr="00CA70D3">
        <w:separator/>
      </w:r>
    </w:p>
  </w:endnote>
  <w:endnote w:type="continuationSeparator" w:id="0">
    <w:p w14:paraId="4370265F" w14:textId="77777777" w:rsidR="007C1632" w:rsidRPr="00CA70D3" w:rsidRDefault="007C1632">
      <w:r w:rsidRPr="00CA70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C073" w14:textId="77777777" w:rsidR="00064002" w:rsidRPr="00CA70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BEFA6" w14:textId="77777777" w:rsidR="00064002" w:rsidRPr="00CA70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F165" w14:textId="77777777" w:rsidR="00064002" w:rsidRPr="00CA70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C0270" w14:textId="77777777" w:rsidR="007C1632" w:rsidRPr="00CA70D3" w:rsidRDefault="007C1632">
      <w:r w:rsidRPr="00CA70D3">
        <w:separator/>
      </w:r>
    </w:p>
  </w:footnote>
  <w:footnote w:type="continuationSeparator" w:id="0">
    <w:p w14:paraId="408B92C0" w14:textId="77777777" w:rsidR="007C1632" w:rsidRPr="00CA70D3" w:rsidRDefault="007C1632">
      <w:r w:rsidRPr="00CA70D3">
        <w:continuationSeparator/>
      </w:r>
    </w:p>
  </w:footnote>
  <w:footnote w:id="1">
    <w:p w14:paraId="7347D4AB" w14:textId="4BA5BCAE" w:rsidR="00BD256E" w:rsidRPr="00EF337B" w:rsidRDefault="00BD256E" w:rsidP="00CA70D3">
      <w:pPr>
        <w:pStyle w:val="FootnoteText"/>
        <w:ind w:left="567" w:hanging="567"/>
        <w:rPr>
          <w:sz w:val="24"/>
          <w:lang w:val="fi-FI"/>
        </w:rPr>
      </w:pPr>
      <w:r w:rsidRPr="00EF337B">
        <w:rPr>
          <w:sz w:val="24"/>
          <w:vertAlign w:val="superscript"/>
          <w:lang w:val="fi-FI"/>
        </w:rPr>
        <w:t>1</w:t>
      </w:r>
      <w:r w:rsidR="00CA70D3" w:rsidRPr="00EF337B">
        <w:rPr>
          <w:sz w:val="24"/>
          <w:vertAlign w:val="superscript"/>
          <w:lang w:val="fi-FI"/>
        </w:rPr>
        <w:t xml:space="preserve"> </w:t>
      </w:r>
      <w:r w:rsidR="00CA70D3" w:rsidRPr="00EF337B">
        <w:rPr>
          <w:sz w:val="24"/>
          <w:vertAlign w:val="superscript"/>
          <w:lang w:val="fi-FI"/>
        </w:rPr>
        <w:tab/>
      </w:r>
      <w:r w:rsidR="00A11678" w:rsidRPr="00A11678">
        <w:rPr>
          <w:sz w:val="24"/>
          <w:lang w:val="el-GR"/>
        </w:rPr>
        <w:t>ΕΕ</w:t>
      </w:r>
      <w:r w:rsidR="00A11678" w:rsidRPr="00EF337B">
        <w:rPr>
          <w:sz w:val="24"/>
          <w:lang w:val="fi-FI"/>
        </w:rPr>
        <w:t xml:space="preserve"> L, 2024/1624, 19.6.2024, ELI: </w:t>
      </w:r>
      <w:hyperlink r:id="rId1" w:history="1">
        <w:r w:rsidR="00A11678" w:rsidRPr="00EF337B">
          <w:rPr>
            <w:rStyle w:val="Hyperlink"/>
            <w:sz w:val="24"/>
            <w:lang w:val="fi-FI"/>
          </w:rPr>
          <w:t>http://data.europa.eu/eli/reg/2024/1624/oj</w:t>
        </w:r>
      </w:hyperlink>
      <w:r w:rsidR="00A11678" w:rsidRPr="00EF337B">
        <w:rPr>
          <w:sz w:val="24"/>
          <w:lang w:val="fi-FI"/>
        </w:rPr>
        <w:t>.</w:t>
      </w:r>
    </w:p>
  </w:footnote>
  <w:footnote w:id="2">
    <w:p w14:paraId="25B69471" w14:textId="301D1830" w:rsidR="00BD256E" w:rsidRPr="00EF337B" w:rsidRDefault="00BD256E" w:rsidP="00CA70D3">
      <w:pPr>
        <w:pStyle w:val="FootnoteText"/>
        <w:ind w:left="567" w:hanging="567"/>
        <w:rPr>
          <w:sz w:val="24"/>
          <w:lang w:val="fi-FI"/>
        </w:rPr>
      </w:pPr>
      <w:r w:rsidRPr="00EF337B">
        <w:rPr>
          <w:sz w:val="24"/>
          <w:vertAlign w:val="superscript"/>
          <w:lang w:val="fi-FI"/>
        </w:rPr>
        <w:t>2</w:t>
      </w:r>
      <w:r w:rsidR="00CA70D3" w:rsidRPr="00EF337B">
        <w:rPr>
          <w:sz w:val="24"/>
          <w:vertAlign w:val="superscript"/>
          <w:lang w:val="fi-FI"/>
        </w:rPr>
        <w:t xml:space="preserve"> </w:t>
      </w:r>
      <w:r w:rsidR="00CA70D3" w:rsidRPr="00EF337B">
        <w:rPr>
          <w:sz w:val="24"/>
          <w:vertAlign w:val="superscript"/>
          <w:lang w:val="fi-FI"/>
        </w:rPr>
        <w:tab/>
      </w:r>
      <w:r w:rsidR="00A11678" w:rsidRPr="00A11678">
        <w:rPr>
          <w:sz w:val="24"/>
          <w:lang w:val="el-GR"/>
        </w:rPr>
        <w:t>ΕΕ</w:t>
      </w:r>
      <w:r w:rsidR="00A11678" w:rsidRPr="00EF337B">
        <w:rPr>
          <w:sz w:val="24"/>
          <w:lang w:val="fi-FI"/>
        </w:rPr>
        <w:t xml:space="preserve"> L, 2024/1689, 12.7.2024, ELI: </w:t>
      </w:r>
      <w:hyperlink r:id="rId2" w:history="1">
        <w:r w:rsidR="00A11678" w:rsidRPr="00EF337B">
          <w:rPr>
            <w:rStyle w:val="Hyperlink"/>
            <w:sz w:val="24"/>
            <w:lang w:val="fi-FI"/>
          </w:rPr>
          <w:t>http://data.europa.eu/eli/reg/2024/1689/oj</w:t>
        </w:r>
      </w:hyperlink>
      <w:r w:rsidR="00A11678" w:rsidRPr="00EF337B">
        <w:rPr>
          <w:sz w:val="24"/>
          <w:lang w:val="fi-FI"/>
        </w:rPr>
        <w:t>.</w:t>
      </w:r>
    </w:p>
  </w:footnote>
  <w:footnote w:id="3">
    <w:p w14:paraId="68697150" w14:textId="3D146588" w:rsidR="00BD256E" w:rsidRPr="00CA70D3" w:rsidRDefault="00BD256E" w:rsidP="00CA70D3">
      <w:pPr>
        <w:pStyle w:val="FootnoteText"/>
        <w:ind w:left="567" w:hanging="567"/>
        <w:rPr>
          <w:sz w:val="24"/>
          <w:lang w:val="el-GR"/>
        </w:rPr>
      </w:pPr>
      <w:r w:rsidRPr="00CA70D3">
        <w:rPr>
          <w:sz w:val="24"/>
          <w:vertAlign w:val="superscript"/>
          <w:lang w:val="el-GR"/>
        </w:rPr>
        <w:t>3</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333 της 27.12.2022, σ. 1, ELI: </w:t>
      </w:r>
      <w:hyperlink r:id="rId3" w:history="1">
        <w:r w:rsidRPr="00A11678">
          <w:rPr>
            <w:rStyle w:val="Hyperlink"/>
            <w:sz w:val="24"/>
            <w:lang w:val="el-GR"/>
          </w:rPr>
          <w:t>http://data.europa.eu/eli/reg/2022/2554/oj</w:t>
        </w:r>
      </w:hyperlink>
      <w:r w:rsidRPr="00CA70D3">
        <w:rPr>
          <w:sz w:val="24"/>
          <w:lang w:val="el-GR"/>
        </w:rPr>
        <w:t>.</w:t>
      </w:r>
    </w:p>
  </w:footnote>
  <w:footnote w:id="4">
    <w:p w14:paraId="302D0818" w14:textId="14F53F1C" w:rsidR="00BD256E" w:rsidRPr="00CA70D3" w:rsidRDefault="00BD256E" w:rsidP="00CA70D3">
      <w:pPr>
        <w:pStyle w:val="FootnoteText"/>
        <w:ind w:left="567" w:hanging="567"/>
        <w:rPr>
          <w:sz w:val="24"/>
          <w:lang w:val="el-GR"/>
        </w:rPr>
      </w:pPr>
      <w:r w:rsidRPr="00CA70D3">
        <w:rPr>
          <w:sz w:val="24"/>
          <w:vertAlign w:val="superscript"/>
          <w:lang w:val="el-GR"/>
        </w:rPr>
        <w:t>4</w:t>
      </w:r>
      <w:r w:rsidR="00CA70D3" w:rsidRPr="00CA70D3">
        <w:rPr>
          <w:sz w:val="24"/>
          <w:vertAlign w:val="superscript"/>
          <w:lang w:val="el-GR"/>
        </w:rPr>
        <w:t xml:space="preserve"> </w:t>
      </w:r>
      <w:r w:rsidR="00CA70D3" w:rsidRPr="00CA70D3">
        <w:rPr>
          <w:sz w:val="24"/>
          <w:vertAlign w:val="superscript"/>
          <w:lang w:val="el-GR"/>
        </w:rPr>
        <w:tab/>
      </w:r>
      <w:r w:rsidR="00A11678" w:rsidRPr="00A11678">
        <w:rPr>
          <w:sz w:val="24"/>
          <w:lang w:val="el-GR"/>
        </w:rPr>
        <w:t xml:space="preserve">ΕΕ L 119 της 4.5.2016, σ. 1, ELI: </w:t>
      </w:r>
      <w:hyperlink r:id="rId4" w:history="1">
        <w:r w:rsidR="00A11678" w:rsidRPr="00A11678">
          <w:rPr>
            <w:rStyle w:val="Hyperlink"/>
            <w:sz w:val="24"/>
            <w:lang w:val="el-GR"/>
          </w:rPr>
          <w:t>http://data.europa.eu/eli/reg/2016/679/oj</w:t>
        </w:r>
      </w:hyperlink>
      <w:r w:rsidR="00A11678" w:rsidRPr="00A11678">
        <w:rPr>
          <w:sz w:val="24"/>
          <w:lang w:val="el-GR"/>
        </w:rPr>
        <w:t>.</w:t>
      </w:r>
    </w:p>
  </w:footnote>
  <w:footnote w:id="5">
    <w:p w14:paraId="4A9C4820" w14:textId="237C4430" w:rsidR="00BD256E" w:rsidRPr="00CA70D3" w:rsidRDefault="00BD256E" w:rsidP="00CA70D3">
      <w:pPr>
        <w:pStyle w:val="FootnoteText"/>
        <w:ind w:left="567" w:hanging="567"/>
        <w:rPr>
          <w:sz w:val="24"/>
          <w:lang w:val="el-GR"/>
        </w:rPr>
      </w:pPr>
      <w:r w:rsidRPr="00CA70D3">
        <w:rPr>
          <w:sz w:val="24"/>
          <w:vertAlign w:val="superscript"/>
          <w:lang w:val="el-GR"/>
        </w:rPr>
        <w:t>5</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26 της 2.2.2016, σ. 19, ELI: </w:t>
      </w:r>
      <w:hyperlink r:id="rId5" w:history="1">
        <w:r w:rsidRPr="00A11678">
          <w:rPr>
            <w:rStyle w:val="Hyperlink"/>
            <w:sz w:val="24"/>
            <w:lang w:val="el-GR"/>
          </w:rPr>
          <w:t>http://data.europa.eu/eli/dir/2016/97/oj</w:t>
        </w:r>
      </w:hyperlink>
      <w:r w:rsidRPr="00CA70D3">
        <w:rPr>
          <w:sz w:val="24"/>
          <w:lang w:val="el-GR"/>
        </w:rPr>
        <w:t>.</w:t>
      </w:r>
    </w:p>
  </w:footnote>
  <w:footnote w:id="6">
    <w:p w14:paraId="6887D16F" w14:textId="58D5D1FB" w:rsidR="00BD256E" w:rsidRPr="00CA70D3" w:rsidRDefault="00BD256E" w:rsidP="00CA70D3">
      <w:pPr>
        <w:pStyle w:val="FootnoteText"/>
        <w:ind w:left="567" w:hanging="567"/>
        <w:rPr>
          <w:sz w:val="24"/>
          <w:lang w:val="el-GR"/>
        </w:rPr>
      </w:pPr>
      <w:r w:rsidRPr="00CA70D3">
        <w:rPr>
          <w:sz w:val="24"/>
          <w:vertAlign w:val="superscript"/>
          <w:lang w:val="el-GR"/>
        </w:rPr>
        <w:t>6</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173 της 12.6.2014, σ. 84, ELI: </w:t>
      </w:r>
      <w:hyperlink r:id="rId6" w:history="1">
        <w:r w:rsidRPr="00A11678">
          <w:rPr>
            <w:rStyle w:val="Hyperlink"/>
            <w:sz w:val="24"/>
            <w:lang w:val="el-GR"/>
          </w:rPr>
          <w:t>http://data.europa.eu/eli/reg/2014/600/oj</w:t>
        </w:r>
      </w:hyperlink>
      <w:r w:rsidRPr="00CA70D3">
        <w:rPr>
          <w:sz w:val="24"/>
          <w:lang w:val="el-GR"/>
        </w:rPr>
        <w:t>.</w:t>
      </w:r>
    </w:p>
  </w:footnote>
  <w:footnote w:id="7">
    <w:p w14:paraId="3D7A790C" w14:textId="4E288857" w:rsidR="00BD256E" w:rsidRPr="00CA70D3" w:rsidRDefault="00BD256E" w:rsidP="00CA70D3">
      <w:pPr>
        <w:pStyle w:val="FootnoteText"/>
        <w:ind w:left="567" w:hanging="567"/>
        <w:rPr>
          <w:sz w:val="24"/>
          <w:lang w:val="el-GR"/>
        </w:rPr>
      </w:pPr>
      <w:r w:rsidRPr="00CA70D3">
        <w:rPr>
          <w:sz w:val="24"/>
          <w:vertAlign w:val="superscript"/>
          <w:lang w:val="el-GR"/>
        </w:rPr>
        <w:t>7</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173 της 12.6.2014, σ. 349, ELI: </w:t>
      </w:r>
      <w:hyperlink r:id="rId7" w:history="1">
        <w:r w:rsidRPr="00A11678">
          <w:rPr>
            <w:rStyle w:val="Hyperlink"/>
            <w:sz w:val="24"/>
            <w:lang w:val="el-GR"/>
          </w:rPr>
          <w:t>http://data.europa.eu/eli/dir/2014/65/oj</w:t>
        </w:r>
      </w:hyperlink>
      <w:r w:rsidRPr="00CA70D3">
        <w:rPr>
          <w:sz w:val="24"/>
          <w:lang w:val="el-GR"/>
        </w:rPr>
        <w:t>.</w:t>
      </w:r>
    </w:p>
  </w:footnote>
  <w:footnote w:id="8">
    <w:p w14:paraId="1E82A684" w14:textId="675B9DFC" w:rsidR="00BD256E" w:rsidRPr="00CA70D3" w:rsidRDefault="00BD256E" w:rsidP="00CA70D3">
      <w:pPr>
        <w:pStyle w:val="FootnoteText"/>
        <w:ind w:left="567" w:hanging="567"/>
        <w:rPr>
          <w:sz w:val="24"/>
          <w:lang w:val="el-GR"/>
        </w:rPr>
      </w:pPr>
      <w:r w:rsidRPr="00CA70D3">
        <w:rPr>
          <w:sz w:val="24"/>
          <w:vertAlign w:val="superscript"/>
          <w:lang w:val="el-GR"/>
        </w:rPr>
        <w:t>8</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176 της 27.6.2013, σ. 1, ELI: </w:t>
      </w:r>
      <w:hyperlink r:id="rId8" w:history="1">
        <w:r w:rsidRPr="00A11678">
          <w:rPr>
            <w:rStyle w:val="Hyperlink"/>
            <w:sz w:val="24"/>
            <w:lang w:val="el-GR"/>
          </w:rPr>
          <w:t>http://data.europa.eu/eli/reg/2013/575/oj</w:t>
        </w:r>
      </w:hyperlink>
      <w:r w:rsidRPr="00CA70D3">
        <w:rPr>
          <w:sz w:val="24"/>
          <w:lang w:val="el-GR"/>
        </w:rPr>
        <w:t>.</w:t>
      </w:r>
    </w:p>
  </w:footnote>
  <w:footnote w:id="9">
    <w:p w14:paraId="153AD1AD" w14:textId="27EC5D76" w:rsidR="00BD256E" w:rsidRPr="00CA70D3" w:rsidRDefault="00BD256E" w:rsidP="00CA70D3">
      <w:pPr>
        <w:pStyle w:val="FootnoteText"/>
        <w:ind w:left="567" w:hanging="567"/>
        <w:rPr>
          <w:sz w:val="24"/>
          <w:lang w:val="el-GR"/>
        </w:rPr>
      </w:pPr>
      <w:r w:rsidRPr="00CA70D3">
        <w:rPr>
          <w:sz w:val="24"/>
          <w:vertAlign w:val="superscript"/>
          <w:lang w:val="el-GR"/>
        </w:rPr>
        <w:t>9</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176 της 27.6.2013, σ. 338, ELI: </w:t>
      </w:r>
      <w:hyperlink r:id="rId9" w:history="1">
        <w:r w:rsidRPr="00A11678">
          <w:rPr>
            <w:rStyle w:val="Hyperlink"/>
            <w:sz w:val="24"/>
            <w:lang w:val="el-GR"/>
          </w:rPr>
          <w:t>http://data.europa.eu/eli/dir/2013/36/oj</w:t>
        </w:r>
      </w:hyperlink>
      <w:r w:rsidRPr="00CA70D3">
        <w:rPr>
          <w:sz w:val="24"/>
          <w:lang w:val="el-GR"/>
        </w:rPr>
        <w:t>.</w:t>
      </w:r>
    </w:p>
  </w:footnote>
  <w:footnote w:id="10">
    <w:p w14:paraId="0C8A8469" w14:textId="35674804" w:rsidR="00BD256E" w:rsidRPr="00CA70D3" w:rsidRDefault="00BD256E" w:rsidP="00CA70D3">
      <w:pPr>
        <w:pStyle w:val="FootnoteText"/>
        <w:ind w:left="567" w:hanging="567"/>
        <w:rPr>
          <w:sz w:val="24"/>
          <w:lang w:val="el-GR"/>
        </w:rPr>
      </w:pPr>
      <w:r w:rsidRPr="00CA70D3">
        <w:rPr>
          <w:sz w:val="24"/>
          <w:vertAlign w:val="superscript"/>
          <w:lang w:val="el-GR"/>
        </w:rPr>
        <w:t>10</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174 της 1.7.2011, σ. 1, ELI: </w:t>
      </w:r>
      <w:hyperlink r:id="rId10" w:tgtFrame="http://data.europa.eu/eli/dir/2011/61/oj" w:history="1">
        <w:r w:rsidRPr="00CA70D3">
          <w:rPr>
            <w:rStyle w:val="Hyperlink"/>
            <w:sz w:val="24"/>
            <w:lang w:val="el-GR"/>
          </w:rPr>
          <w:t>http://data.europa.eu/eli/dir/2011/61/oj</w:t>
        </w:r>
      </w:hyperlink>
      <w:r w:rsidRPr="00CA70D3">
        <w:rPr>
          <w:sz w:val="24"/>
          <w:lang w:val="el-GR"/>
        </w:rPr>
        <w:t>.</w:t>
      </w:r>
    </w:p>
  </w:footnote>
  <w:footnote w:id="11">
    <w:p w14:paraId="39066A37" w14:textId="53161160" w:rsidR="00BD256E" w:rsidRPr="00CA70D3" w:rsidRDefault="00BD256E" w:rsidP="00CA70D3">
      <w:pPr>
        <w:pStyle w:val="FootnoteText"/>
        <w:ind w:left="567" w:hanging="567"/>
        <w:rPr>
          <w:sz w:val="24"/>
          <w:lang w:val="el-GR"/>
        </w:rPr>
      </w:pPr>
      <w:r w:rsidRPr="00CA70D3">
        <w:rPr>
          <w:sz w:val="24"/>
          <w:vertAlign w:val="superscript"/>
          <w:lang w:val="el-GR"/>
        </w:rPr>
        <w:t>11</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335 της 17.12.2009, σ. 1, ELI: </w:t>
      </w:r>
      <w:hyperlink r:id="rId11" w:history="1">
        <w:r w:rsidRPr="006D2A64">
          <w:rPr>
            <w:rStyle w:val="Hyperlink"/>
            <w:sz w:val="24"/>
            <w:lang w:val="el-GR"/>
          </w:rPr>
          <w:t>http://data.europa.eu/eli/dir/2009/138/oj</w:t>
        </w:r>
      </w:hyperlink>
      <w:r w:rsidRPr="00CA70D3">
        <w:rPr>
          <w:sz w:val="24"/>
          <w:lang w:val="el-GR"/>
        </w:rPr>
        <w:t>.</w:t>
      </w:r>
    </w:p>
  </w:footnote>
  <w:footnote w:id="12">
    <w:p w14:paraId="4625910E" w14:textId="203AC55B" w:rsidR="00BD256E" w:rsidRPr="00CA70D3" w:rsidRDefault="00BD256E" w:rsidP="00CA70D3">
      <w:pPr>
        <w:pStyle w:val="FootnoteText"/>
        <w:ind w:left="567" w:hanging="567"/>
        <w:rPr>
          <w:sz w:val="24"/>
          <w:lang w:val="el-GR"/>
        </w:rPr>
      </w:pPr>
      <w:r w:rsidRPr="00CA70D3">
        <w:rPr>
          <w:sz w:val="24"/>
          <w:vertAlign w:val="superscript"/>
          <w:lang w:val="el-GR"/>
        </w:rPr>
        <w:t>12</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302 της 17.11.2009, σ. 32, ELI: </w:t>
      </w:r>
      <w:hyperlink r:id="rId12" w:tgtFrame="http://data.europa.eu/eli/dir/2009/65/oj" w:history="1">
        <w:r w:rsidRPr="00CA70D3">
          <w:rPr>
            <w:rStyle w:val="Hyperlink"/>
            <w:sz w:val="24"/>
            <w:lang w:val="el-GR"/>
          </w:rPr>
          <w:t>http://data.europa.eu/eli/dir/2009/65/oj</w:t>
        </w:r>
      </w:hyperlink>
      <w:r w:rsidRPr="00CA70D3">
        <w:rPr>
          <w:sz w:val="24"/>
          <w:lang w:val="el-GR"/>
        </w:rPr>
        <w:t>.</w:t>
      </w:r>
    </w:p>
  </w:footnote>
  <w:footnote w:id="13">
    <w:p w14:paraId="2A3A8E18" w14:textId="513541F8" w:rsidR="00BD256E" w:rsidRPr="00CA70D3" w:rsidRDefault="00BD256E" w:rsidP="00CA70D3">
      <w:pPr>
        <w:pStyle w:val="FootnoteText"/>
        <w:ind w:left="567" w:hanging="567"/>
        <w:rPr>
          <w:sz w:val="24"/>
          <w:lang w:val="el-GR"/>
        </w:rPr>
      </w:pPr>
      <w:r w:rsidRPr="00CA70D3">
        <w:rPr>
          <w:sz w:val="24"/>
          <w:vertAlign w:val="superscript"/>
          <w:lang w:val="el-GR"/>
        </w:rPr>
        <w:t>13</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ΕΕ L 337 της </w:t>
      </w:r>
      <w:r w:rsidR="00594A4B">
        <w:rPr>
          <w:sz w:val="24"/>
          <w:lang w:val="en-GB"/>
        </w:rPr>
        <w:t>23</w:t>
      </w:r>
      <w:r w:rsidRPr="00CA70D3">
        <w:rPr>
          <w:sz w:val="24"/>
          <w:lang w:val="el-GR"/>
        </w:rPr>
        <w:t xml:space="preserve">.12.2015, σ. 35, ELI: </w:t>
      </w:r>
      <w:hyperlink r:id="rId13" w:tgtFrame="http://data.europa.eu/eli/dir/2015/2366/oj" w:history="1">
        <w:r w:rsidRPr="00CA70D3">
          <w:rPr>
            <w:rStyle w:val="Hyperlink"/>
            <w:sz w:val="24"/>
            <w:lang w:val="el-GR"/>
          </w:rPr>
          <w:t>http://data.europa.eu/eli/dir/2015/2366/oj</w:t>
        </w:r>
      </w:hyperlink>
      <w:r w:rsidRPr="00CA70D3">
        <w:rPr>
          <w:sz w:val="24"/>
          <w:lang w:val="el-GR"/>
        </w:rPr>
        <w:t>.</w:t>
      </w:r>
    </w:p>
  </w:footnote>
  <w:footnote w:id="14">
    <w:p w14:paraId="2369F78D" w14:textId="14B0012B" w:rsidR="00BD256E" w:rsidRPr="00CA70D3" w:rsidRDefault="00BD256E" w:rsidP="00CA70D3">
      <w:pPr>
        <w:pStyle w:val="FootnoteText"/>
        <w:ind w:left="567" w:hanging="567"/>
        <w:rPr>
          <w:sz w:val="24"/>
          <w:lang w:val="el-GR"/>
        </w:rPr>
      </w:pPr>
      <w:r w:rsidRPr="00CA70D3">
        <w:rPr>
          <w:sz w:val="24"/>
          <w:vertAlign w:val="superscript"/>
          <w:lang w:val="el-GR"/>
        </w:rPr>
        <w:t>14</w:t>
      </w:r>
      <w:r w:rsidR="00CA70D3" w:rsidRPr="00CA70D3">
        <w:rPr>
          <w:sz w:val="24"/>
          <w:vertAlign w:val="superscript"/>
          <w:lang w:val="el-GR"/>
        </w:rPr>
        <w:t xml:space="preserve"> </w:t>
      </w:r>
      <w:r w:rsidR="00CA70D3" w:rsidRPr="00CA70D3">
        <w:rPr>
          <w:sz w:val="24"/>
          <w:vertAlign w:val="superscript"/>
          <w:lang w:val="el-GR"/>
        </w:rPr>
        <w:tab/>
      </w:r>
      <w:r w:rsidR="006D2A64" w:rsidRPr="006D2A64">
        <w:rPr>
          <w:sz w:val="24"/>
          <w:lang w:val="el-GR"/>
        </w:rPr>
        <w:t>ΕΕ C 465 της 6.12.2022, σ. 65.</w:t>
      </w:r>
    </w:p>
  </w:footnote>
  <w:footnote w:id="15">
    <w:p w14:paraId="334AA4FB" w14:textId="00283B0E" w:rsidR="00BD256E" w:rsidRPr="00CA70D3" w:rsidRDefault="00BD256E" w:rsidP="00CA70D3">
      <w:pPr>
        <w:pStyle w:val="FootnoteText"/>
        <w:ind w:left="567" w:hanging="567"/>
        <w:rPr>
          <w:sz w:val="24"/>
          <w:lang w:val="el-GR"/>
        </w:rPr>
      </w:pPr>
      <w:r w:rsidRPr="00CA70D3">
        <w:rPr>
          <w:sz w:val="24"/>
          <w:vertAlign w:val="superscript"/>
          <w:lang w:val="el-GR"/>
        </w:rPr>
        <w:t>15</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Ερωτηματολόγιο εκτίμησης κινδύνου της ΕΑΤ, φθινόπωρο 2024· Έκθεση της EIOPA σχετικά με την ψηφιοποίηση του ευρωπαϊκού ασφαλιστικού τομέα· Έκθεση της ESMA σχετικά με την τεχνητή νοημοσύνη στους οργανισμούς επενδύσεων της ΕΕ.</w:t>
      </w:r>
    </w:p>
  </w:footnote>
  <w:footnote w:id="16">
    <w:p w14:paraId="51A7F2F8" w14:textId="1D79D92B" w:rsidR="00BD256E" w:rsidRPr="00CA70D3" w:rsidRDefault="00BD256E" w:rsidP="00CA70D3">
      <w:pPr>
        <w:pStyle w:val="FootnoteText"/>
        <w:ind w:left="567" w:hanging="567"/>
        <w:rPr>
          <w:sz w:val="24"/>
          <w:lang w:val="el-GR"/>
        </w:rPr>
      </w:pPr>
      <w:r w:rsidRPr="00CA70D3">
        <w:rPr>
          <w:sz w:val="24"/>
          <w:vertAlign w:val="superscript"/>
          <w:lang w:val="el-GR"/>
        </w:rPr>
        <w:t>16</w:t>
      </w:r>
      <w:r w:rsidR="00CA70D3" w:rsidRPr="00CA70D3">
        <w:rPr>
          <w:sz w:val="24"/>
          <w:vertAlign w:val="superscript"/>
          <w:lang w:val="el-GR"/>
        </w:rPr>
        <w:t xml:space="preserve"> </w:t>
      </w:r>
      <w:r w:rsidR="00CA70D3" w:rsidRPr="00CA70D3">
        <w:rPr>
          <w:sz w:val="24"/>
          <w:vertAlign w:val="superscript"/>
          <w:lang w:val="el-GR"/>
        </w:rPr>
        <w:tab/>
      </w:r>
      <w:r w:rsidR="006D2A64">
        <w:rPr>
          <w:sz w:val="24"/>
          <w:lang w:val="el-GR"/>
        </w:rPr>
        <w:t>Ε</w:t>
      </w:r>
      <w:r w:rsidRPr="00CA70D3">
        <w:rPr>
          <w:sz w:val="24"/>
          <w:lang w:val="el-GR"/>
        </w:rPr>
        <w:t>πισημαίνει ότι ορισμένα αξιοσημείωτα παραδείγματα σχετικής τομεακής νομοθεσίας είναι, μεταξύ άλλων, ο κανονισμός για τις κεφαλαιακές απαιτήσεις, η οδηγία για τις κεφαλαιακές απαιτήσεις, η οδηγία «Φερεγγυότητα II», η οδηγία για τη διανομή ασφαλιστικών προϊόντων, ο κανονισμός για τις αγορές χρηματοπιστωτικών μέσων, η οδηγία για τις αγορές χρηματοπιστωτικών μέσων, ο κανονισμός σχετικά με την ψηφιακή επιχειρησιακή ανθεκτικότητα, η οδηγία σχετικά με τους διαχειριστές οργανισμών εναλλακτικών επενδύσεων, η οδηγία ΟΣΕΚΑ και η οδηγία για τις υπηρεσίες πληρωμών, καθώς και συνοδευτικές κατευθυντήριες γραμμές και ρυθμιστικά τεχνικά πρότυπα από τις ευρωπαϊκές εποπτικές αρχές</w:t>
      </w:r>
      <w:r w:rsidR="006D2A64">
        <w:rPr>
          <w:sz w:val="24"/>
          <w:lang w:val="el-GR"/>
        </w:rPr>
        <w:t>.</w:t>
      </w:r>
    </w:p>
  </w:footnote>
  <w:footnote w:id="17">
    <w:p w14:paraId="3321005E" w14:textId="65B57D97" w:rsidR="00BD256E" w:rsidRPr="00CA70D3" w:rsidRDefault="00BD256E" w:rsidP="00CA70D3">
      <w:pPr>
        <w:pStyle w:val="FootnoteText"/>
        <w:ind w:left="567" w:hanging="567"/>
        <w:rPr>
          <w:sz w:val="24"/>
          <w:lang w:val="el-GR"/>
        </w:rPr>
      </w:pPr>
      <w:r w:rsidRPr="00CA70D3">
        <w:rPr>
          <w:sz w:val="24"/>
          <w:vertAlign w:val="superscript"/>
          <w:lang w:val="el-GR"/>
        </w:rPr>
        <w:t>17</w:t>
      </w:r>
      <w:r w:rsidR="00CA70D3" w:rsidRPr="00CA70D3">
        <w:rPr>
          <w:sz w:val="24"/>
          <w:vertAlign w:val="superscript"/>
          <w:lang w:val="el-GR"/>
        </w:rPr>
        <w:t xml:space="preserve"> </w:t>
      </w:r>
      <w:r w:rsidR="00CA70D3" w:rsidRPr="00CA70D3">
        <w:rPr>
          <w:sz w:val="24"/>
          <w:vertAlign w:val="superscript"/>
          <w:lang w:val="el-GR"/>
        </w:rPr>
        <w:tab/>
      </w:r>
      <w:r w:rsidRPr="00CA70D3">
        <w:rPr>
          <w:sz w:val="24"/>
          <w:lang w:val="el-GR"/>
        </w:rPr>
        <w:t xml:space="preserve">Christine </w:t>
      </w:r>
      <w:proofErr w:type="spellStart"/>
      <w:r w:rsidRPr="00CA70D3">
        <w:rPr>
          <w:sz w:val="24"/>
          <w:lang w:val="el-GR"/>
        </w:rPr>
        <w:t>Lagarde</w:t>
      </w:r>
      <w:proofErr w:type="spellEnd"/>
      <w:r w:rsidRPr="00CA70D3">
        <w:rPr>
          <w:sz w:val="24"/>
          <w:lang w:val="el-GR"/>
        </w:rPr>
        <w:t xml:space="preserve">, «The </w:t>
      </w:r>
      <w:proofErr w:type="spellStart"/>
      <w:r w:rsidRPr="00CA70D3">
        <w:rPr>
          <w:sz w:val="24"/>
          <w:lang w:val="el-GR"/>
        </w:rPr>
        <w:t>transformative</w:t>
      </w:r>
      <w:proofErr w:type="spellEnd"/>
      <w:r w:rsidRPr="00CA70D3">
        <w:rPr>
          <w:sz w:val="24"/>
          <w:lang w:val="el-GR"/>
        </w:rPr>
        <w:t xml:space="preserve"> </w:t>
      </w:r>
      <w:proofErr w:type="spellStart"/>
      <w:r w:rsidRPr="00CA70D3">
        <w:rPr>
          <w:sz w:val="24"/>
          <w:lang w:val="el-GR"/>
        </w:rPr>
        <w:t>power</w:t>
      </w:r>
      <w:proofErr w:type="spellEnd"/>
      <w:r w:rsidRPr="00CA70D3">
        <w:rPr>
          <w:sz w:val="24"/>
          <w:lang w:val="el-GR"/>
        </w:rPr>
        <w:t xml:space="preserve"> of AI» (Η μετασχηματιστική δύναμη της ΤΝ), 2025, </w:t>
      </w:r>
      <w:hyperlink r:id="rId14" w:history="1">
        <w:r w:rsidRPr="006D2A64">
          <w:rPr>
            <w:rStyle w:val="Hyperlink"/>
            <w:sz w:val="24"/>
            <w:lang w:val="el-GR"/>
          </w:rPr>
          <w:t>https://www.ecb.europa.eu/press/key/date/2025/html/ecb.sp250401_1~d6c9d8df11.en.html</w:t>
        </w:r>
      </w:hyperlink>
      <w:r w:rsidRPr="00CA70D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DCE2" w14:textId="77777777" w:rsidR="00064002" w:rsidRPr="00CA70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C7CA" w14:textId="77777777" w:rsidR="00064002" w:rsidRPr="00CA70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A171" w14:textId="77777777" w:rsidR="00064002" w:rsidRPr="00CA70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EB419DC"/>
    <w:multiLevelType w:val="hybridMultilevel"/>
    <w:tmpl w:val="7CAC5EDA"/>
    <w:lvl w:ilvl="0" w:tplc="2AD4565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536EA6"/>
    <w:multiLevelType w:val="hybridMultilevel"/>
    <w:tmpl w:val="0DA6202A"/>
    <w:lvl w:ilvl="0" w:tplc="2AD4565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6350AE"/>
    <w:multiLevelType w:val="hybridMultilevel"/>
    <w:tmpl w:val="DB2CD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6379664">
    <w:abstractNumId w:val="9"/>
  </w:num>
  <w:num w:numId="2" w16cid:durableId="1718048521">
    <w:abstractNumId w:val="9"/>
  </w:num>
  <w:num w:numId="3" w16cid:durableId="31270233">
    <w:abstractNumId w:val="7"/>
  </w:num>
  <w:num w:numId="4" w16cid:durableId="1186207738">
    <w:abstractNumId w:val="7"/>
  </w:num>
  <w:num w:numId="5" w16cid:durableId="1713727921">
    <w:abstractNumId w:val="6"/>
  </w:num>
  <w:num w:numId="6" w16cid:durableId="693968217">
    <w:abstractNumId w:val="6"/>
  </w:num>
  <w:num w:numId="7" w16cid:durableId="1703245632">
    <w:abstractNumId w:val="5"/>
  </w:num>
  <w:num w:numId="8" w16cid:durableId="973101093">
    <w:abstractNumId w:val="5"/>
  </w:num>
  <w:num w:numId="9" w16cid:durableId="598292484">
    <w:abstractNumId w:val="4"/>
  </w:num>
  <w:num w:numId="10" w16cid:durableId="362293429">
    <w:abstractNumId w:val="4"/>
  </w:num>
  <w:num w:numId="11" w16cid:durableId="438332037">
    <w:abstractNumId w:val="8"/>
  </w:num>
  <w:num w:numId="12" w16cid:durableId="1872960794">
    <w:abstractNumId w:val="8"/>
  </w:num>
  <w:num w:numId="13" w16cid:durableId="584846897">
    <w:abstractNumId w:val="3"/>
  </w:num>
  <w:num w:numId="14" w16cid:durableId="157694014">
    <w:abstractNumId w:val="3"/>
  </w:num>
  <w:num w:numId="15" w16cid:durableId="1508789306">
    <w:abstractNumId w:val="2"/>
  </w:num>
  <w:num w:numId="16" w16cid:durableId="1860001242">
    <w:abstractNumId w:val="2"/>
  </w:num>
  <w:num w:numId="17" w16cid:durableId="1202665903">
    <w:abstractNumId w:val="1"/>
  </w:num>
  <w:num w:numId="18" w16cid:durableId="115410348">
    <w:abstractNumId w:val="1"/>
  </w:num>
  <w:num w:numId="19" w16cid:durableId="1837107271">
    <w:abstractNumId w:val="0"/>
  </w:num>
  <w:num w:numId="20" w16cid:durableId="1186946343">
    <w:abstractNumId w:val="0"/>
  </w:num>
  <w:num w:numId="21" w16cid:durableId="721683055">
    <w:abstractNumId w:val="9"/>
  </w:num>
  <w:num w:numId="22" w16cid:durableId="724795045">
    <w:abstractNumId w:val="7"/>
  </w:num>
  <w:num w:numId="23" w16cid:durableId="714236754">
    <w:abstractNumId w:val="6"/>
  </w:num>
  <w:num w:numId="24" w16cid:durableId="378752366">
    <w:abstractNumId w:val="5"/>
  </w:num>
  <w:num w:numId="25" w16cid:durableId="826673802">
    <w:abstractNumId w:val="4"/>
  </w:num>
  <w:num w:numId="26" w16cid:durableId="1684892242">
    <w:abstractNumId w:val="8"/>
  </w:num>
  <w:num w:numId="27" w16cid:durableId="1847816705">
    <w:abstractNumId w:val="3"/>
  </w:num>
  <w:num w:numId="28" w16cid:durableId="1727147641">
    <w:abstractNumId w:val="2"/>
  </w:num>
  <w:num w:numId="29" w16cid:durableId="1582593784">
    <w:abstractNumId w:val="1"/>
  </w:num>
  <w:num w:numId="30" w16cid:durableId="1867139515">
    <w:abstractNumId w:val="0"/>
  </w:num>
  <w:num w:numId="31" w16cid:durableId="713038672">
    <w:abstractNumId w:val="9"/>
  </w:num>
  <w:num w:numId="32" w16cid:durableId="1713580093">
    <w:abstractNumId w:val="7"/>
  </w:num>
  <w:num w:numId="33" w16cid:durableId="420682239">
    <w:abstractNumId w:val="6"/>
  </w:num>
  <w:num w:numId="34" w16cid:durableId="552425894">
    <w:abstractNumId w:val="5"/>
  </w:num>
  <w:num w:numId="35" w16cid:durableId="205797027">
    <w:abstractNumId w:val="4"/>
  </w:num>
  <w:num w:numId="36" w16cid:durableId="159083446">
    <w:abstractNumId w:val="8"/>
  </w:num>
  <w:num w:numId="37" w16cid:durableId="1022167345">
    <w:abstractNumId w:val="3"/>
  </w:num>
  <w:num w:numId="38" w16cid:durableId="896548961">
    <w:abstractNumId w:val="2"/>
  </w:num>
  <w:num w:numId="39" w16cid:durableId="325669500">
    <w:abstractNumId w:val="1"/>
  </w:num>
  <w:num w:numId="40" w16cid:durableId="49422135">
    <w:abstractNumId w:val="0"/>
  </w:num>
  <w:num w:numId="41" w16cid:durableId="1305893950">
    <w:abstractNumId w:val="10"/>
  </w:num>
  <w:num w:numId="42" w16cid:durableId="493835221">
    <w:abstractNumId w:val="10"/>
  </w:num>
  <w:num w:numId="43" w16cid:durableId="1981691516">
    <w:abstractNumId w:val="10"/>
  </w:num>
  <w:num w:numId="44" w16cid:durableId="792483082">
    <w:abstractNumId w:val="11"/>
  </w:num>
  <w:num w:numId="45" w16cid:durableId="1584799818">
    <w:abstractNumId w:val="14"/>
  </w:num>
  <w:num w:numId="46" w16cid:durableId="263389584">
    <w:abstractNumId w:val="13"/>
  </w:num>
  <w:num w:numId="47" w16cid:durableId="2347533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EL"/>
    <w:docVar w:name="dvnumam" w:val="0"/>
    <w:docVar w:name="dvpe" w:val="773.328"/>
    <w:docVar w:name="dvrapporteur" w:val="Εισηγήτρια: "/>
    <w:docVar w:name="dvtitre" w:val="Ψήφισμα του Ευρωπαϊκού Κοινοβουλίου σχετικά με τον αντίκτυπο της τεχνητής νοημοσύνης στον χρηματοπιστωτικό τομέα(2025/2056(INI))"/>
  </w:docVars>
  <w:rsids>
    <w:rsidRoot w:val="007C1632"/>
    <w:rsid w:val="00002272"/>
    <w:rsid w:val="0002683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A4B"/>
    <w:rsid w:val="005C2568"/>
    <w:rsid w:val="005F1B17"/>
    <w:rsid w:val="006037C0"/>
    <w:rsid w:val="006631B6"/>
    <w:rsid w:val="00680577"/>
    <w:rsid w:val="00681882"/>
    <w:rsid w:val="006D2A64"/>
    <w:rsid w:val="006F74FA"/>
    <w:rsid w:val="007155C1"/>
    <w:rsid w:val="00731ADD"/>
    <w:rsid w:val="00734777"/>
    <w:rsid w:val="00747932"/>
    <w:rsid w:val="00751A4A"/>
    <w:rsid w:val="00756632"/>
    <w:rsid w:val="00762C74"/>
    <w:rsid w:val="00786EC0"/>
    <w:rsid w:val="007C163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678"/>
    <w:rsid w:val="00A1687D"/>
    <w:rsid w:val="00A43E52"/>
    <w:rsid w:val="00A4678D"/>
    <w:rsid w:val="00A778C7"/>
    <w:rsid w:val="00AB441E"/>
    <w:rsid w:val="00AB6293"/>
    <w:rsid w:val="00AE0928"/>
    <w:rsid w:val="00AF3B82"/>
    <w:rsid w:val="00B12E95"/>
    <w:rsid w:val="00B22876"/>
    <w:rsid w:val="00B558F0"/>
    <w:rsid w:val="00BD256E"/>
    <w:rsid w:val="00BD48FE"/>
    <w:rsid w:val="00BD7BD8"/>
    <w:rsid w:val="00BE6ADC"/>
    <w:rsid w:val="00C05BFE"/>
    <w:rsid w:val="00C23CD4"/>
    <w:rsid w:val="00C61C0C"/>
    <w:rsid w:val="00C941CB"/>
    <w:rsid w:val="00CA70D3"/>
    <w:rsid w:val="00CC2357"/>
    <w:rsid w:val="00CF071A"/>
    <w:rsid w:val="00D058B8"/>
    <w:rsid w:val="00D07D25"/>
    <w:rsid w:val="00D36D63"/>
    <w:rsid w:val="00D56C11"/>
    <w:rsid w:val="00D82736"/>
    <w:rsid w:val="00D834A0"/>
    <w:rsid w:val="00D872DF"/>
    <w:rsid w:val="00D91E21"/>
    <w:rsid w:val="00DA7FCD"/>
    <w:rsid w:val="00DD4650"/>
    <w:rsid w:val="00E365E1"/>
    <w:rsid w:val="00E820A4"/>
    <w:rsid w:val="00EB006A"/>
    <w:rsid w:val="00EB4772"/>
    <w:rsid w:val="00ED169E"/>
    <w:rsid w:val="00ED4235"/>
    <w:rsid w:val="00EF337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55442"/>
  <w15:chartTrackingRefBased/>
  <w15:docId w15:val="{AAAD65D4-046E-4743-8A6C-10209870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D256E"/>
    <w:pPr>
      <w:widowControl/>
      <w:spacing w:after="240"/>
    </w:pPr>
    <w:rPr>
      <w:szCs w:val="24"/>
      <w:lang w:eastAsia="en-US"/>
    </w:rPr>
  </w:style>
  <w:style w:type="paragraph" w:customStyle="1" w:styleId="NormalHanging12a">
    <w:name w:val="NormalHanging12a"/>
    <w:basedOn w:val="Normal"/>
    <w:rsid w:val="00BD256E"/>
    <w:pPr>
      <w:widowControl/>
      <w:spacing w:after="240"/>
      <w:ind w:left="566" w:hanging="566"/>
    </w:pPr>
    <w:rPr>
      <w:szCs w:val="24"/>
      <w:lang w:eastAsia="en-US"/>
    </w:rPr>
  </w:style>
  <w:style w:type="paragraph" w:customStyle="1" w:styleId="Normal12">
    <w:name w:val="Normal12"/>
    <w:basedOn w:val="Normal"/>
    <w:rsid w:val="00BD256E"/>
    <w:pPr>
      <w:widowControl/>
      <w:spacing w:after="240"/>
    </w:pPr>
    <w:rPr>
      <w:szCs w:val="24"/>
      <w:lang w:eastAsia="en-US"/>
    </w:rPr>
  </w:style>
  <w:style w:type="paragraph" w:customStyle="1" w:styleId="NormalHanging">
    <w:name w:val="NormalHanging"/>
    <w:basedOn w:val="Normal"/>
    <w:rsid w:val="00BD256E"/>
    <w:pPr>
      <w:widowControl/>
      <w:spacing w:after="240"/>
      <w:ind w:left="566" w:hanging="566"/>
    </w:pPr>
    <w:rPr>
      <w:szCs w:val="24"/>
      <w:lang w:eastAsia="en-US"/>
    </w:rPr>
  </w:style>
  <w:style w:type="paragraph" w:customStyle="1" w:styleId="NormalBold12a">
    <w:name w:val="NormalBold12a"/>
    <w:basedOn w:val="Normal"/>
    <w:rsid w:val="00BD256E"/>
    <w:pPr>
      <w:widowControl/>
      <w:spacing w:after="240"/>
    </w:pPr>
    <w:rPr>
      <w:b/>
      <w:szCs w:val="24"/>
      <w:lang w:eastAsia="en-US"/>
    </w:rPr>
  </w:style>
  <w:style w:type="paragraph" w:customStyle="1" w:styleId="NormalCenter12a">
    <w:name w:val="NormalCenter12a"/>
    <w:basedOn w:val="Normal"/>
    <w:rsid w:val="00BD256E"/>
    <w:pPr>
      <w:widowControl/>
      <w:spacing w:after="240"/>
      <w:jc w:val="center"/>
    </w:pPr>
    <w:rPr>
      <w:szCs w:val="24"/>
      <w:lang w:eastAsia="en-US"/>
    </w:rPr>
  </w:style>
  <w:style w:type="character" w:styleId="Hyperlink">
    <w:name w:val="Hyperlink"/>
    <w:basedOn w:val="DefaultParagraphFont"/>
    <w:rsid w:val="00BD256E"/>
    <w:rPr>
      <w:color w:val="0000FF"/>
      <w:u w:val="single"/>
    </w:rPr>
  </w:style>
  <w:style w:type="paragraph" w:styleId="Revision">
    <w:name w:val="Revision"/>
    <w:hidden/>
    <w:uiPriority w:val="99"/>
    <w:semiHidden/>
    <w:rsid w:val="00A11678"/>
    <w:rPr>
      <w:sz w:val="24"/>
      <w:lang w:val="el-GR"/>
    </w:rPr>
  </w:style>
  <w:style w:type="character" w:styleId="UnresolvedMention">
    <w:name w:val="Unresolved Mention"/>
    <w:basedOn w:val="DefaultParagraphFont"/>
    <w:uiPriority w:val="99"/>
    <w:semiHidden/>
    <w:unhideWhenUsed/>
    <w:rsid w:val="00A11678"/>
    <w:rPr>
      <w:color w:val="605E5C"/>
      <w:shd w:val="clear" w:color="auto" w:fill="E1DFDD"/>
    </w:rPr>
  </w:style>
  <w:style w:type="character" w:styleId="FollowedHyperlink">
    <w:name w:val="FollowedHyperlink"/>
    <w:basedOn w:val="DefaultParagraphFont"/>
    <w:rsid w:val="00A116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4469</Words>
  <Characters>28205</Characters>
  <Application>Microsoft Office Word</Application>
  <DocSecurity>4</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BINKEVICIUTE Aurelija</cp:lastModifiedBy>
  <cp:revision>2</cp:revision>
  <cp:lastPrinted>2004-11-19T15:42:00Z</cp:lastPrinted>
  <dcterms:created xsi:type="dcterms:W3CDTF">2026-03-02T09:44:00Z</dcterms:created>
  <dcterms:modified xsi:type="dcterms:W3CDTF">2026-03-02T09:44:00Z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A10-0225/2025</vt:lpwstr>
  </property>
  <property fmtid="{D5CDD505-2E9C-101B-9397-08002B2CF9AE}" pid="4" name="&lt;Type&gt;">
    <vt:lpwstr>RR</vt:lpwstr>
  </property>
</Properties>
</file>