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323F" w14:paraId="32AE94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2D9CDC" w14:textId="77777777" w:rsidR="00751A4A" w:rsidRPr="001E323F" w:rsidRDefault="009739E1" w:rsidP="0010095E">
            <w:pPr>
              <w:pStyle w:val="EPName"/>
            </w:pPr>
            <w:r w:rsidRPr="001E323F">
              <w:t>Parlament Europejski</w:t>
            </w:r>
          </w:p>
          <w:p w14:paraId="28E7675C" w14:textId="77777777" w:rsidR="00751A4A" w:rsidRPr="001E32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323F">
              <w:t>2024</w:t>
            </w:r>
            <w:r w:rsidR="00817416" w:rsidRPr="001E323F">
              <w:t>-202</w:t>
            </w:r>
            <w:r w:rsidRPr="001E323F">
              <w:t>9</w:t>
            </w:r>
          </w:p>
        </w:tc>
        <w:tc>
          <w:tcPr>
            <w:tcW w:w="2268" w:type="dxa"/>
            <w:shd w:val="clear" w:color="auto" w:fill="auto"/>
          </w:tcPr>
          <w:p w14:paraId="5074FA2E" w14:textId="77777777" w:rsidR="00751A4A" w:rsidRPr="001E323F" w:rsidRDefault="00187494" w:rsidP="0010095E">
            <w:pPr>
              <w:pStyle w:val="EPLogo"/>
            </w:pPr>
            <w:r w:rsidRPr="001E323F">
              <w:rPr>
                <w:noProof/>
                <w:lang w:eastAsia="ja-JP"/>
              </w:rPr>
              <w:drawing>
                <wp:inline distT="0" distB="0" distL="0" distR="0" wp14:anchorId="68B36440" wp14:editId="4519CC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A5BC7" w14:textId="77777777" w:rsidR="00D058B8" w:rsidRPr="001E323F" w:rsidRDefault="00D058B8" w:rsidP="004C5D52">
      <w:pPr>
        <w:pStyle w:val="LineTop"/>
      </w:pPr>
    </w:p>
    <w:p w14:paraId="4CEFE491" w14:textId="77777777" w:rsidR="00680577" w:rsidRPr="001E323F" w:rsidRDefault="009739E1" w:rsidP="00680577">
      <w:pPr>
        <w:pStyle w:val="EPBodyTA1"/>
      </w:pPr>
      <w:r w:rsidRPr="001E323F">
        <w:t>TEKSTY PRZYJĘTE</w:t>
      </w:r>
    </w:p>
    <w:p w14:paraId="2A207182" w14:textId="77777777" w:rsidR="00D058B8" w:rsidRPr="001E323F" w:rsidRDefault="00D058B8" w:rsidP="00D058B8">
      <w:pPr>
        <w:pStyle w:val="LineBottom"/>
      </w:pPr>
    </w:p>
    <w:p w14:paraId="39AF521B" w14:textId="341D2B6B" w:rsidR="009739E1" w:rsidRPr="001E323F" w:rsidRDefault="009739E1" w:rsidP="009739E1">
      <w:pPr>
        <w:pStyle w:val="ATHeading1"/>
      </w:pPr>
      <w:bookmarkStart w:id="0" w:name="TANumber"/>
      <w:r w:rsidRPr="001E323F">
        <w:t>P10_TA(2025)0</w:t>
      </w:r>
      <w:bookmarkEnd w:id="0"/>
      <w:r w:rsidR="00FC03A8">
        <w:t>286</w:t>
      </w:r>
    </w:p>
    <w:p w14:paraId="15EDB366" w14:textId="77777777" w:rsidR="009739E1" w:rsidRPr="001E323F" w:rsidRDefault="009739E1" w:rsidP="009739E1">
      <w:pPr>
        <w:pStyle w:val="ATHeading2"/>
      </w:pPr>
      <w:bookmarkStart w:id="1" w:name="title"/>
      <w:r w:rsidRPr="001E323F">
        <w:t>Wpływ sztucznej inteligencji na sektor finansowy</w:t>
      </w:r>
      <w:bookmarkEnd w:id="1"/>
    </w:p>
    <w:p w14:paraId="5B07FE82" w14:textId="77777777" w:rsidR="009739E1" w:rsidRPr="001E323F" w:rsidRDefault="009739E1" w:rsidP="009739E1">
      <w:pPr>
        <w:rPr>
          <w:i/>
          <w:vanish/>
        </w:rPr>
      </w:pPr>
      <w:r w:rsidRPr="001E323F">
        <w:rPr>
          <w:i/>
        </w:rPr>
        <w:fldChar w:fldCharType="begin"/>
      </w:r>
      <w:r w:rsidRPr="001E323F">
        <w:rPr>
          <w:i/>
        </w:rPr>
        <w:instrText xml:space="preserve"> TC"(</w:instrText>
      </w:r>
      <w:bookmarkStart w:id="2" w:name="DocNumber"/>
      <w:r w:rsidRPr="001E323F">
        <w:rPr>
          <w:i/>
        </w:rPr>
        <w:instrText>A10-0225/2025</w:instrText>
      </w:r>
      <w:bookmarkEnd w:id="2"/>
      <w:r w:rsidRPr="001E323F">
        <w:rPr>
          <w:i/>
        </w:rPr>
        <w:instrText xml:space="preserve"> - Sprawozdawca: Arba Kokalari)"\l3 \n&gt; \* MERGEFORMAT </w:instrText>
      </w:r>
      <w:r w:rsidRPr="001E323F">
        <w:rPr>
          <w:i/>
        </w:rPr>
        <w:fldChar w:fldCharType="end"/>
      </w:r>
    </w:p>
    <w:p w14:paraId="5CBBB2BE" w14:textId="77777777" w:rsidR="009739E1" w:rsidRPr="001E323F" w:rsidRDefault="009739E1" w:rsidP="009739E1">
      <w:pPr>
        <w:rPr>
          <w:vanish/>
        </w:rPr>
      </w:pPr>
      <w:bookmarkStart w:id="3" w:name="Commission"/>
      <w:r w:rsidRPr="001E323F">
        <w:rPr>
          <w:vanish/>
        </w:rPr>
        <w:t>Komisja Gospodarcza i Monetarna</w:t>
      </w:r>
      <w:bookmarkEnd w:id="3"/>
    </w:p>
    <w:p w14:paraId="27C503FC" w14:textId="77777777" w:rsidR="009739E1" w:rsidRPr="001E323F" w:rsidRDefault="009739E1" w:rsidP="009739E1">
      <w:pPr>
        <w:rPr>
          <w:vanish/>
        </w:rPr>
      </w:pPr>
      <w:bookmarkStart w:id="4" w:name="PE"/>
      <w:r w:rsidRPr="001E323F">
        <w:rPr>
          <w:vanish/>
        </w:rPr>
        <w:t>PE773.328</w:t>
      </w:r>
      <w:bookmarkEnd w:id="4"/>
    </w:p>
    <w:p w14:paraId="4C368FAC" w14:textId="598A0A41" w:rsidR="009739E1" w:rsidRPr="001E323F" w:rsidRDefault="009739E1" w:rsidP="009739E1">
      <w:pPr>
        <w:pStyle w:val="ATHeading3"/>
      </w:pPr>
      <w:bookmarkStart w:id="5" w:name="Sujet"/>
      <w:r w:rsidRPr="001E323F">
        <w:t xml:space="preserve">Rezolucja Parlamentu Europejskiego z dnia </w:t>
      </w:r>
      <w:r w:rsidR="009F2FBB">
        <w:t>25 listopada</w:t>
      </w:r>
      <w:r w:rsidRPr="001E323F">
        <w:t xml:space="preserve"> 2025 r. w sprawie wpływu sztucznej inteligencji na sektor finansowy</w:t>
      </w:r>
      <w:bookmarkEnd w:id="5"/>
      <w:r w:rsidRPr="001E323F">
        <w:t xml:space="preserve"> </w:t>
      </w:r>
      <w:bookmarkStart w:id="6" w:name="References"/>
      <w:r w:rsidRPr="001E323F">
        <w:t>(2025/2056(INI))</w:t>
      </w:r>
      <w:bookmarkEnd w:id="6"/>
    </w:p>
    <w:p w14:paraId="1F10C2FC" w14:textId="77777777" w:rsidR="00D35AAB" w:rsidRPr="001E323F" w:rsidRDefault="00D35AAB" w:rsidP="00D35AAB">
      <w:pPr>
        <w:pStyle w:val="Normal12"/>
      </w:pPr>
      <w:r w:rsidRPr="001E323F">
        <w:rPr>
          <w:i/>
        </w:rPr>
        <w:t>Parlament Europejski</w:t>
      </w:r>
      <w:r w:rsidRPr="001E323F">
        <w:t>,</w:t>
      </w:r>
    </w:p>
    <w:p w14:paraId="6115130A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komunikat Komisji z dnia 9 kwietnia 2025 r. zatytułowany „Plan działania na rzecz kontynentu sztucznej inteligencji” (COM(2025)0165),</w:t>
      </w:r>
    </w:p>
    <w:p w14:paraId="00884A24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komunikat Komisji z 24 września 2020 r. w sprawie europejskiej strategii w zakresie finansów cyfrowych (COM(2020)0591),</w:t>
      </w:r>
    </w:p>
    <w:p w14:paraId="079102F3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Europejskiego Urzędu Nadzoru Giełd i Papierów Wartościowych (ESMA) z 25 lutego 2025 r. pt. „</w:t>
      </w:r>
      <w:proofErr w:type="spellStart"/>
      <w:r w:rsidRPr="001E323F">
        <w:t>Artificial</w:t>
      </w:r>
      <w:proofErr w:type="spellEnd"/>
      <w:r w:rsidRPr="001E323F">
        <w:t xml:space="preserve"> </w:t>
      </w:r>
      <w:proofErr w:type="spellStart"/>
      <w:r w:rsidRPr="001E323F">
        <w:t>intelligence</w:t>
      </w:r>
      <w:proofErr w:type="spellEnd"/>
      <w:r w:rsidRPr="001E323F">
        <w:t xml:space="preserve"> in EU investment </w:t>
      </w:r>
      <w:proofErr w:type="spellStart"/>
      <w:r w:rsidRPr="001E323F">
        <w:t>funds</w:t>
      </w:r>
      <w:proofErr w:type="spellEnd"/>
      <w:r w:rsidRPr="001E323F">
        <w:t xml:space="preserve">: </w:t>
      </w:r>
      <w:proofErr w:type="spellStart"/>
      <w:r w:rsidRPr="001E323F">
        <w:t>adoption</w:t>
      </w:r>
      <w:proofErr w:type="spellEnd"/>
      <w:r w:rsidRPr="001E323F">
        <w:t xml:space="preserve">, </w:t>
      </w:r>
      <w:proofErr w:type="spellStart"/>
      <w:r w:rsidRPr="001E323F">
        <w:t>strategies</w:t>
      </w:r>
      <w:proofErr w:type="spellEnd"/>
      <w:r w:rsidRPr="001E323F">
        <w:t xml:space="preserve"> and portfolio </w:t>
      </w:r>
      <w:proofErr w:type="spellStart"/>
      <w:r w:rsidRPr="001E323F">
        <w:t>exposures</w:t>
      </w:r>
      <w:proofErr w:type="spellEnd"/>
      <w:r w:rsidRPr="001E323F">
        <w:t>” [Sztuczna inteligencja w funduszach inwestycyjnych UE: wdrożenie, strategie i ekspozycja portfela],</w:t>
      </w:r>
    </w:p>
    <w:p w14:paraId="612ADCC6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publiczne oświadczenie ESMA z 30 maja 2024 r. w sprawie wykorzystania sztucznej inteligencji (SI) w świadczeniu detalicznych usług inwestycyjnych,</w:t>
      </w:r>
    </w:p>
    <w:p w14:paraId="44647B9F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Europejskiego Urzędu Nadzoru Ubezpieczeń i Pracowniczych Programów Emerytalnych (EIOPA) z 10 lutego 2025 r. pt. „</w:t>
      </w:r>
      <w:proofErr w:type="spellStart"/>
      <w:r w:rsidRPr="001E323F">
        <w:t>Impact</w:t>
      </w:r>
      <w:proofErr w:type="spellEnd"/>
      <w:r w:rsidRPr="001E323F">
        <w:t xml:space="preserve"> </w:t>
      </w:r>
      <w:proofErr w:type="spellStart"/>
      <w:r w:rsidRPr="001E323F">
        <w:t>Assessment</w:t>
      </w:r>
      <w:proofErr w:type="spellEnd"/>
      <w:r w:rsidRPr="001E323F">
        <w:t xml:space="preserve"> of </w:t>
      </w:r>
      <w:proofErr w:type="spellStart"/>
      <w:r w:rsidRPr="001E323F">
        <w:t>EIOPA’s</w:t>
      </w:r>
      <w:proofErr w:type="spellEnd"/>
      <w:r w:rsidRPr="001E323F">
        <w:t xml:space="preserve"> </w:t>
      </w:r>
      <w:proofErr w:type="spellStart"/>
      <w:r w:rsidRPr="001E323F">
        <w:t>Opinion</w:t>
      </w:r>
      <w:proofErr w:type="spellEnd"/>
      <w:r w:rsidRPr="001E323F">
        <w:t xml:space="preserve"> on AI </w:t>
      </w:r>
      <w:proofErr w:type="spellStart"/>
      <w:r w:rsidRPr="001E323F">
        <w:t>governance</w:t>
      </w:r>
      <w:proofErr w:type="spellEnd"/>
      <w:r w:rsidRPr="001E323F">
        <w:t xml:space="preserve"> and </w:t>
      </w:r>
      <w:proofErr w:type="spellStart"/>
      <w:r w:rsidRPr="001E323F">
        <w:t>risk</w:t>
      </w:r>
      <w:proofErr w:type="spellEnd"/>
      <w:r w:rsidRPr="001E323F">
        <w:t xml:space="preserve"> management” [Ocena skutków opinii EIOPA w sprawie zarządzania sztuczną inteligencją i zarządzania ryzykiem],</w:t>
      </w:r>
    </w:p>
    <w:p w14:paraId="5DE76345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 xml:space="preserve">uwzględniając sprawozdanie EIOPA z 30 kwietnia 2024 r. pt. „Report on the </w:t>
      </w:r>
      <w:proofErr w:type="spellStart"/>
      <w:r w:rsidRPr="001E323F">
        <w:t>digitalisation</w:t>
      </w:r>
      <w:proofErr w:type="spellEnd"/>
      <w:r w:rsidRPr="001E323F">
        <w:t xml:space="preserve"> of the </w:t>
      </w:r>
      <w:proofErr w:type="spellStart"/>
      <w:r w:rsidRPr="001E323F">
        <w:t>European</w:t>
      </w:r>
      <w:proofErr w:type="spellEnd"/>
      <w:r w:rsidRPr="001E323F">
        <w:t xml:space="preserve"> </w:t>
      </w:r>
      <w:proofErr w:type="spellStart"/>
      <w:r w:rsidRPr="001E323F">
        <w:t>insurance</w:t>
      </w:r>
      <w:proofErr w:type="spellEnd"/>
      <w:r w:rsidRPr="001E323F">
        <w:t xml:space="preserve"> </w:t>
      </w:r>
      <w:proofErr w:type="spellStart"/>
      <w:r w:rsidRPr="001E323F">
        <w:t>sector</w:t>
      </w:r>
      <w:proofErr w:type="spellEnd"/>
      <w:r w:rsidRPr="001E323F">
        <w:t>” [Sprawozdanie w sprawie cyfryzacji europejskiego sektora ubezpieczeń],</w:t>
      </w:r>
    </w:p>
    <w:p w14:paraId="10D8261C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Europejskiego Urzędu Nadzoru Bankowego (EUNB) z 29 listopada 2024 r. pt. „</w:t>
      </w:r>
      <w:proofErr w:type="spellStart"/>
      <w:r w:rsidRPr="001E323F">
        <w:t>Risk</w:t>
      </w:r>
      <w:proofErr w:type="spellEnd"/>
      <w:r w:rsidRPr="001E323F">
        <w:t xml:space="preserve"> </w:t>
      </w:r>
      <w:proofErr w:type="spellStart"/>
      <w:r w:rsidRPr="001E323F">
        <w:t>Assessment</w:t>
      </w:r>
      <w:proofErr w:type="spellEnd"/>
      <w:r w:rsidRPr="001E323F">
        <w:t xml:space="preserve"> </w:t>
      </w:r>
      <w:proofErr w:type="spellStart"/>
      <w:r w:rsidRPr="001E323F">
        <w:t>Questionnaire</w:t>
      </w:r>
      <w:proofErr w:type="spellEnd"/>
      <w:r w:rsidRPr="001E323F">
        <w:t xml:space="preserve"> (RAQ) – </w:t>
      </w:r>
      <w:proofErr w:type="spellStart"/>
      <w:r w:rsidRPr="001E323F">
        <w:t>Autumn</w:t>
      </w:r>
      <w:proofErr w:type="spellEnd"/>
      <w:r w:rsidRPr="001E323F">
        <w:t xml:space="preserve"> 2024” [Kwestionariusz oceny ryzyka – jesień 2024 r.],</w:t>
      </w:r>
    </w:p>
    <w:p w14:paraId="4F3AC40E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 xml:space="preserve">uwzględniając sprawozdanie EUNB z 4 sierpnia 2023 r. pt. „Machine learning for </w:t>
      </w:r>
      <w:proofErr w:type="spellStart"/>
      <w:r w:rsidRPr="001E323F">
        <w:t>internal</w:t>
      </w:r>
      <w:proofErr w:type="spellEnd"/>
      <w:r w:rsidRPr="001E323F">
        <w:t xml:space="preserve"> rating-</w:t>
      </w:r>
      <w:proofErr w:type="spellStart"/>
      <w:r w:rsidRPr="001E323F">
        <w:t>based</w:t>
      </w:r>
      <w:proofErr w:type="spellEnd"/>
      <w:r w:rsidRPr="001E323F">
        <w:t xml:space="preserve"> </w:t>
      </w:r>
      <w:proofErr w:type="spellStart"/>
      <w:r w:rsidRPr="001E323F">
        <w:t>models</w:t>
      </w:r>
      <w:proofErr w:type="spellEnd"/>
      <w:r w:rsidRPr="001E323F">
        <w:t>” [Uczenie maszynowe na potrzeby wewnętrznych modeli ratingowych],</w:t>
      </w:r>
    </w:p>
    <w:p w14:paraId="1C803CA8" w14:textId="77777777" w:rsidR="00D35AAB" w:rsidRPr="001E323F" w:rsidRDefault="00D35AAB" w:rsidP="00D35AAB">
      <w:pPr>
        <w:pStyle w:val="NormalHanging"/>
      </w:pPr>
      <w:r w:rsidRPr="001E323F">
        <w:lastRenderedPageBreak/>
        <w:t>–</w:t>
      </w:r>
      <w:r w:rsidRPr="001E323F">
        <w:tab/>
        <w:t xml:space="preserve">uwzględniając artykuł z 26 lutego 2024 r. Elizabeth </w:t>
      </w:r>
      <w:proofErr w:type="spellStart"/>
      <w:r w:rsidRPr="001E323F">
        <w:t>McCaul</w:t>
      </w:r>
      <w:proofErr w:type="spellEnd"/>
      <w:r w:rsidRPr="001E323F">
        <w:t xml:space="preserve">, członkini Rady ds. Nadzoru Europejskiego Banku Centralnego (EBC), zatytułowany „From data to </w:t>
      </w:r>
      <w:proofErr w:type="spellStart"/>
      <w:r w:rsidRPr="001E323F">
        <w:t>decisions</w:t>
      </w:r>
      <w:proofErr w:type="spellEnd"/>
      <w:r w:rsidRPr="001E323F">
        <w:t xml:space="preserve">: AI and </w:t>
      </w:r>
      <w:proofErr w:type="spellStart"/>
      <w:r w:rsidRPr="001E323F">
        <w:t>supervision</w:t>
      </w:r>
      <w:proofErr w:type="spellEnd"/>
      <w:r w:rsidRPr="001E323F">
        <w:t>” [Od danych do decyzji: Sztuczna inteligencja i nadzór],</w:t>
      </w:r>
    </w:p>
    <w:p w14:paraId="7EA3BE43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 xml:space="preserve">uwzględniając publikację EBC z 7 maja 2024 r. pt. „The </w:t>
      </w:r>
      <w:proofErr w:type="spellStart"/>
      <w:r w:rsidRPr="001E323F">
        <w:t>rise</w:t>
      </w:r>
      <w:proofErr w:type="spellEnd"/>
      <w:r w:rsidRPr="001E323F">
        <w:t xml:space="preserve"> of </w:t>
      </w:r>
      <w:proofErr w:type="spellStart"/>
      <w:r w:rsidRPr="001E323F">
        <w:t>artificial</w:t>
      </w:r>
      <w:proofErr w:type="spellEnd"/>
      <w:r w:rsidRPr="001E323F">
        <w:t xml:space="preserve"> </w:t>
      </w:r>
      <w:proofErr w:type="spellStart"/>
      <w:r w:rsidRPr="001E323F">
        <w:t>intelligence</w:t>
      </w:r>
      <w:proofErr w:type="spellEnd"/>
      <w:r w:rsidRPr="001E323F">
        <w:t xml:space="preserve">: </w:t>
      </w:r>
      <w:proofErr w:type="spellStart"/>
      <w:r w:rsidRPr="001E323F">
        <w:t>benefits</w:t>
      </w:r>
      <w:proofErr w:type="spellEnd"/>
      <w:r w:rsidRPr="001E323F">
        <w:t xml:space="preserve"> and </w:t>
      </w:r>
      <w:proofErr w:type="spellStart"/>
      <w:r w:rsidRPr="001E323F">
        <w:t>risks</w:t>
      </w:r>
      <w:proofErr w:type="spellEnd"/>
      <w:r w:rsidRPr="001E323F">
        <w:t xml:space="preserve"> for </w:t>
      </w:r>
      <w:proofErr w:type="spellStart"/>
      <w:r w:rsidRPr="001E323F">
        <w:t>financial</w:t>
      </w:r>
      <w:proofErr w:type="spellEnd"/>
      <w:r w:rsidRPr="001E323F">
        <w:t xml:space="preserve"> </w:t>
      </w:r>
      <w:proofErr w:type="spellStart"/>
      <w:r w:rsidRPr="001E323F">
        <w:t>stability</w:t>
      </w:r>
      <w:proofErr w:type="spellEnd"/>
      <w:r w:rsidRPr="001E323F">
        <w:t>” [Rozwój sztucznej inteligencji: korzyści i zagrożenia dla stabilności finansowej],</w:t>
      </w:r>
    </w:p>
    <w:p w14:paraId="6AC70A3F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dokument roboczy Organizacji Współpracy Gospodarczej i Rozwoju z 15 grudnia 2023 r. pt. „</w:t>
      </w:r>
      <w:proofErr w:type="spellStart"/>
      <w:r w:rsidRPr="001E323F">
        <w:t>Generative</w:t>
      </w:r>
      <w:proofErr w:type="spellEnd"/>
      <w:r w:rsidRPr="001E323F">
        <w:t xml:space="preserve"> </w:t>
      </w:r>
      <w:proofErr w:type="spellStart"/>
      <w:r w:rsidRPr="001E323F">
        <w:t>Artificial</w:t>
      </w:r>
      <w:proofErr w:type="spellEnd"/>
      <w:r w:rsidRPr="001E323F">
        <w:t xml:space="preserve"> </w:t>
      </w:r>
      <w:proofErr w:type="spellStart"/>
      <w:r w:rsidRPr="001E323F">
        <w:t>Intelligence</w:t>
      </w:r>
      <w:proofErr w:type="spellEnd"/>
      <w:r w:rsidRPr="001E323F">
        <w:t xml:space="preserve"> in </w:t>
      </w:r>
      <w:proofErr w:type="spellStart"/>
      <w:r w:rsidRPr="001E323F">
        <w:t>finance</w:t>
      </w:r>
      <w:proofErr w:type="spellEnd"/>
      <w:r w:rsidRPr="001E323F">
        <w:t>” [Generatywna sztuczna inteligencja w sektorze finansowym],</w:t>
      </w:r>
    </w:p>
    <w:p w14:paraId="70E1011B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Banku Rozrachunków Międzynarodowych z 12 grudnia 2024 r. pt. „</w:t>
      </w:r>
      <w:proofErr w:type="spellStart"/>
      <w:r w:rsidRPr="001E323F">
        <w:t>Regulating</w:t>
      </w:r>
      <w:proofErr w:type="spellEnd"/>
      <w:r w:rsidRPr="001E323F">
        <w:t xml:space="preserve"> AI in the </w:t>
      </w:r>
      <w:proofErr w:type="spellStart"/>
      <w:r w:rsidRPr="001E323F">
        <w:t>financial</w:t>
      </w:r>
      <w:proofErr w:type="spellEnd"/>
      <w:r w:rsidRPr="001E323F">
        <w:t xml:space="preserve"> </w:t>
      </w:r>
      <w:proofErr w:type="spellStart"/>
      <w:r w:rsidRPr="001E323F">
        <w:t>sector</w:t>
      </w:r>
      <w:proofErr w:type="spellEnd"/>
      <w:r w:rsidRPr="001E323F">
        <w:t xml:space="preserve">: </w:t>
      </w:r>
      <w:proofErr w:type="spellStart"/>
      <w:r w:rsidRPr="001E323F">
        <w:t>recent</w:t>
      </w:r>
      <w:proofErr w:type="spellEnd"/>
      <w:r w:rsidRPr="001E323F">
        <w:t xml:space="preserve"> </w:t>
      </w:r>
      <w:proofErr w:type="spellStart"/>
      <w:r w:rsidRPr="001E323F">
        <w:t>developments</w:t>
      </w:r>
      <w:proofErr w:type="spellEnd"/>
      <w:r w:rsidRPr="001E323F">
        <w:t xml:space="preserve"> and </w:t>
      </w:r>
      <w:proofErr w:type="spellStart"/>
      <w:r w:rsidRPr="001E323F">
        <w:t>main</w:t>
      </w:r>
      <w:proofErr w:type="spellEnd"/>
      <w:r w:rsidRPr="001E323F">
        <w:t xml:space="preserve"> </w:t>
      </w:r>
      <w:proofErr w:type="spellStart"/>
      <w:r w:rsidRPr="001E323F">
        <w:t>challenges</w:t>
      </w:r>
      <w:proofErr w:type="spellEnd"/>
      <w:r w:rsidRPr="001E323F">
        <w:t>” [Regulacja sztucznej inteligencji w sektorze finansowym: ostatnie zmiany i główne wyzwania],</w:t>
      </w:r>
    </w:p>
    <w:p w14:paraId="02F44A25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Banku Rozrachunków Międzynarodowych z 13 czerwca 2024 r. pt. „</w:t>
      </w:r>
      <w:proofErr w:type="spellStart"/>
      <w:r w:rsidRPr="001E323F">
        <w:t>Intelligent</w:t>
      </w:r>
      <w:proofErr w:type="spellEnd"/>
      <w:r w:rsidRPr="001E323F">
        <w:t xml:space="preserve"> </w:t>
      </w:r>
      <w:proofErr w:type="spellStart"/>
      <w:r w:rsidRPr="001E323F">
        <w:t>financial</w:t>
      </w:r>
      <w:proofErr w:type="spellEnd"/>
      <w:r w:rsidRPr="001E323F">
        <w:t xml:space="preserve"> system: </w:t>
      </w:r>
      <w:proofErr w:type="spellStart"/>
      <w:r w:rsidRPr="001E323F">
        <w:t>how</w:t>
      </w:r>
      <w:proofErr w:type="spellEnd"/>
      <w:r w:rsidRPr="001E323F">
        <w:t xml:space="preserve"> AI </w:t>
      </w:r>
      <w:proofErr w:type="spellStart"/>
      <w:r w:rsidRPr="001E323F">
        <w:t>is</w:t>
      </w:r>
      <w:proofErr w:type="spellEnd"/>
      <w:r w:rsidRPr="001E323F">
        <w:t xml:space="preserve"> </w:t>
      </w:r>
      <w:proofErr w:type="spellStart"/>
      <w:r w:rsidRPr="001E323F">
        <w:t>transforming</w:t>
      </w:r>
      <w:proofErr w:type="spellEnd"/>
      <w:r w:rsidRPr="001E323F">
        <w:t xml:space="preserve"> </w:t>
      </w:r>
      <w:proofErr w:type="spellStart"/>
      <w:r w:rsidRPr="001E323F">
        <w:t>finance</w:t>
      </w:r>
      <w:proofErr w:type="spellEnd"/>
      <w:r w:rsidRPr="001E323F">
        <w:t>” [Inteligentny system finansowy: jak sztuczna inteligencja zmienia sektor finansowy],</w:t>
      </w:r>
    </w:p>
    <w:p w14:paraId="70CD1F1E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panelu ekspertów wysokiego szczebla grupy G-7 z 19 grudnia 2024 r. pt. „</w:t>
      </w:r>
      <w:proofErr w:type="spellStart"/>
      <w:r w:rsidRPr="001E323F">
        <w:t>Artificial</w:t>
      </w:r>
      <w:proofErr w:type="spellEnd"/>
      <w:r w:rsidRPr="001E323F">
        <w:t xml:space="preserve"> </w:t>
      </w:r>
      <w:proofErr w:type="spellStart"/>
      <w:r w:rsidRPr="001E323F">
        <w:t>Intelligence</w:t>
      </w:r>
      <w:proofErr w:type="spellEnd"/>
      <w:r w:rsidRPr="001E323F">
        <w:t xml:space="preserve"> and </w:t>
      </w:r>
      <w:proofErr w:type="spellStart"/>
      <w:r w:rsidRPr="001E323F">
        <w:t>Economic</w:t>
      </w:r>
      <w:proofErr w:type="spellEnd"/>
      <w:r w:rsidRPr="001E323F">
        <w:t xml:space="preserve"> and Financial </w:t>
      </w:r>
      <w:proofErr w:type="spellStart"/>
      <w:r w:rsidRPr="001E323F">
        <w:t>Policymaking</w:t>
      </w:r>
      <w:proofErr w:type="spellEnd"/>
      <w:r w:rsidRPr="001E323F">
        <w:t>” [Sztuczna inteligencja i kształtowanie polityki gospodarczej i finansowej],</w:t>
      </w:r>
    </w:p>
    <w:p w14:paraId="082FAC27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 xml:space="preserve">uwzględniając sprawozdanie Rady Stabilności Finansowej z 14 listopada 2024 r. pt. „The Financial </w:t>
      </w:r>
      <w:proofErr w:type="spellStart"/>
      <w:r w:rsidRPr="001E323F">
        <w:t>Stability</w:t>
      </w:r>
      <w:proofErr w:type="spellEnd"/>
      <w:r w:rsidRPr="001E323F">
        <w:t xml:space="preserve"> </w:t>
      </w:r>
      <w:proofErr w:type="spellStart"/>
      <w:r w:rsidRPr="001E323F">
        <w:t>Implications</w:t>
      </w:r>
      <w:proofErr w:type="spellEnd"/>
      <w:r w:rsidRPr="001E323F">
        <w:t xml:space="preserve"> of </w:t>
      </w:r>
      <w:proofErr w:type="spellStart"/>
      <w:r w:rsidRPr="001E323F">
        <w:t>Artificial</w:t>
      </w:r>
      <w:proofErr w:type="spellEnd"/>
      <w:r w:rsidRPr="001E323F">
        <w:t xml:space="preserve"> </w:t>
      </w:r>
      <w:proofErr w:type="spellStart"/>
      <w:r w:rsidRPr="001E323F">
        <w:t>Intelligence</w:t>
      </w:r>
      <w:proofErr w:type="spellEnd"/>
      <w:r w:rsidRPr="001E323F">
        <w:t>” [Skutki sztucznej inteligencji dla stabilności finansowej],</w:t>
      </w:r>
    </w:p>
    <w:p w14:paraId="27EC0E17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rozporządzenie Parlamentu Europejskiego i Rady (UE) 2024/1624 z dnia 31 maja 2024 r. w sprawie zapobiegania wykorzystywaniu systemu finansowego do prania pieniędzy lub finansowania terroryzmu</w:t>
      </w:r>
      <w:r w:rsidRPr="001E323F">
        <w:rPr>
          <w:rStyle w:val="FootnoteReference"/>
        </w:rPr>
        <w:footnoteReference w:customMarkFollows="1" w:id="1"/>
        <w:t>1</w:t>
      </w:r>
      <w:r w:rsidRPr="001E323F">
        <w:t>,</w:t>
      </w:r>
    </w:p>
    <w:p w14:paraId="25E54B7E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rozporządzenie Parlamentu Europejskiego i Rady (UE) 2024/1689 z dnia 13 czerwca 2024 r. 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</w:t>
      </w:r>
      <w:r w:rsidRPr="001E323F">
        <w:rPr>
          <w:rStyle w:val="FootnoteReference"/>
        </w:rPr>
        <w:footnoteReference w:customMarkFollows="1" w:id="2"/>
        <w:t>2</w:t>
      </w:r>
      <w:r w:rsidRPr="001E323F">
        <w:t>,</w:t>
      </w:r>
    </w:p>
    <w:p w14:paraId="688DF105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rozporządzenie Parlamentu Europejskiego i Rady (UE) 2022/2554 z dnia 14 grudnia 2022 r. w sprawie operacyjnej odporności cyfrowej sektora finansowego i zmieniające rozporządzenia (WE) nr 1060/2009, (UE) nr 648/2012, (UE) nr 600/2014, (UE) nr 909/2014 oraz (UE) 2016/1011</w:t>
      </w:r>
      <w:r w:rsidRPr="001E323F">
        <w:rPr>
          <w:rStyle w:val="FootnoteReference"/>
        </w:rPr>
        <w:footnoteReference w:customMarkFollows="1" w:id="3"/>
        <w:t>3</w:t>
      </w:r>
      <w:r w:rsidRPr="001E323F">
        <w:t xml:space="preserve"> (akt w sprawie operacyjnej odporności cyfrowej),</w:t>
      </w:r>
    </w:p>
    <w:p w14:paraId="28643B43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 xml:space="preserve">uwzględniając rozporządzenie Parlamentu Europejskiego i Rady (UE) 2016/679 z dnia 27 kwietnia 2016 r. w sprawie ochrony osób fizycznych w związku z przetwarzaniem </w:t>
      </w:r>
      <w:r w:rsidRPr="001E323F">
        <w:lastRenderedPageBreak/>
        <w:t>danych osobowych i w sprawie swobodnego przepływu takich danych oraz uchylenia dyrektywy 95/46/WE (ogólne rozporządzenie o ochronie danych)</w:t>
      </w:r>
      <w:r w:rsidRPr="001E323F">
        <w:rPr>
          <w:rStyle w:val="FootnoteReference"/>
        </w:rPr>
        <w:footnoteReference w:customMarkFollows="1" w:id="4"/>
        <w:t>4</w:t>
      </w:r>
      <w:r w:rsidRPr="001E323F">
        <w:t>,</w:t>
      </w:r>
    </w:p>
    <w:p w14:paraId="28424924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dyrektywę Parlamentu Europejskiego i Rady (UE) 2016/97 z dnia 20 stycznia 2016 r. w sprawie dystrybucji ubezpieczeń</w:t>
      </w:r>
      <w:r w:rsidRPr="001E323F">
        <w:rPr>
          <w:rStyle w:val="FootnoteReference"/>
        </w:rPr>
        <w:footnoteReference w:customMarkFollows="1" w:id="5"/>
        <w:t>5</w:t>
      </w:r>
      <w:r w:rsidRPr="001E323F">
        <w:t xml:space="preserve"> (dyrektywa w sprawie dystrybucji ubezpieczeń),</w:t>
      </w:r>
    </w:p>
    <w:p w14:paraId="11FCAEB7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rozporządzenie Parlamentu Europejskiego i Rady (UE) nr 600/2014 z dnia 15 maja 2014 r. w sprawie rynków instrumentów finansowych oraz zmieniające rozporządzenie (UE) nr 648/2012</w:t>
      </w:r>
      <w:r w:rsidRPr="001E323F">
        <w:rPr>
          <w:rStyle w:val="FootnoteReference"/>
        </w:rPr>
        <w:footnoteReference w:customMarkFollows="1" w:id="6"/>
        <w:t>6</w:t>
      </w:r>
      <w:r w:rsidRPr="001E323F">
        <w:t xml:space="preserve"> (rozporządzenie w sprawie rynków instrumentów finansowych),</w:t>
      </w:r>
    </w:p>
    <w:p w14:paraId="25C764A5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dyrektywę Parlamentu Europejskiego i Rady 2014/65/UE z dnia 15 maja 2014 r. w sprawie rynków instrumentów finansowych oraz zmieniającą dyrektywę 2002/92/WE i dyrektywę 2011/61/UE</w:t>
      </w:r>
      <w:r w:rsidRPr="001E323F">
        <w:rPr>
          <w:rStyle w:val="FootnoteReference"/>
        </w:rPr>
        <w:footnoteReference w:customMarkFollows="1" w:id="7"/>
        <w:t>7</w:t>
      </w:r>
      <w:r w:rsidRPr="001E323F">
        <w:t xml:space="preserve"> (dyrektywę w sprawie rynków instrumentów finansowych),</w:t>
      </w:r>
    </w:p>
    <w:p w14:paraId="6D6CD053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rozporządzenie Parlamentu Europejskiego i Rady (UE) nr 575/2013 z dnia 26 czerwca 2013 r. w sprawie wymogów ostrożnościowych dla instytucji kredytowych i firm inwestycyjnych, zmieniające rozporządzenie (UE) nr 648/2012</w:t>
      </w:r>
      <w:r w:rsidRPr="001E323F">
        <w:rPr>
          <w:rStyle w:val="FootnoteReference"/>
        </w:rPr>
        <w:footnoteReference w:customMarkFollows="1" w:id="8"/>
        <w:t>8</w:t>
      </w:r>
      <w:r w:rsidRPr="001E323F">
        <w:t xml:space="preserve"> (rozporządzenie w sprawie wymogów kapitałowych),</w:t>
      </w:r>
    </w:p>
    <w:p w14:paraId="0280FDD0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dyrektywę Parlamentu Europejskiego i Rady 2013/36/UE z dnia 26 czerwca 2013 r. w sprawie warunków dopuszczenia instytucji kredytowych do działalności oraz nadzoru ostrożnościowego nad instytucjami kredytowymi i firmami inwestycyjnymi, zmieniającą dyrektywę 2002/87/WE i uchylającą dyrektywy 2006/48/WE oraz 2006/49/WE</w:t>
      </w:r>
      <w:r w:rsidRPr="001E323F">
        <w:rPr>
          <w:rStyle w:val="FootnoteReference"/>
        </w:rPr>
        <w:footnoteReference w:customMarkFollows="1" w:id="9"/>
        <w:t>9</w:t>
      </w:r>
      <w:r w:rsidRPr="001E323F">
        <w:t xml:space="preserve"> (dyrektywa w sprawie wymogów kapitałowych),</w:t>
      </w:r>
    </w:p>
    <w:p w14:paraId="2995B934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dyrektywę Parlamentu Europejskiego i Rady 2011/61/UE z dnia 8 czerwca 2011 r. w sprawie zarządzających alternatywnymi funduszami inwestycyjnymi i zmiany dyrektyw 2003/41/WE i 2009/65/WE oraz rozporządzeń (WE) nr 1060/2009 i (UE) nr 1095/2010</w:t>
      </w:r>
      <w:r w:rsidRPr="001E323F">
        <w:rPr>
          <w:rStyle w:val="FootnoteReference"/>
        </w:rPr>
        <w:footnoteReference w:customMarkFollows="1" w:id="10"/>
        <w:t>10</w:t>
      </w:r>
      <w:r w:rsidRPr="001E323F">
        <w:t xml:space="preserve"> (dyrektywa dotycząca zarządzających alternatywnymi funduszami inwestycyjnymi),</w:t>
      </w:r>
    </w:p>
    <w:p w14:paraId="6FEED2E9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dyrektywę Parlamentu Europejskiego i Rady 2009/138/WE z dnia 25 listopada 2009 r. w sprawie podejmowania i prowadzenia działalności ubezpieczeniowej i reasekuracyjnej (Wypłacalność II)</w:t>
      </w:r>
      <w:r w:rsidRPr="001E323F">
        <w:rPr>
          <w:rStyle w:val="FootnoteReference"/>
        </w:rPr>
        <w:footnoteReference w:customMarkFollows="1" w:id="11"/>
        <w:t>11</w:t>
      </w:r>
      <w:r w:rsidRPr="001E323F">
        <w:t>,</w:t>
      </w:r>
    </w:p>
    <w:p w14:paraId="381E2F61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 xml:space="preserve">uwzględniając dyrektywę Parlamentu Europejskiego i Rady 2009/65/WE z dnia 13 lipca 2009 r. w sprawie koordynacji przepisów ustawowych, wykonawczych i </w:t>
      </w:r>
      <w:r w:rsidRPr="001E323F">
        <w:lastRenderedPageBreak/>
        <w:t>administracyjnych odnoszących się do przedsiębiorstw zbiorowego inwestowania w zbywalne papiery wartościowe (UCITS)</w:t>
      </w:r>
      <w:r w:rsidRPr="001E323F">
        <w:rPr>
          <w:rStyle w:val="FootnoteReference"/>
        </w:rPr>
        <w:footnoteReference w:customMarkFollows="1" w:id="12"/>
        <w:t>12</w:t>
      </w:r>
      <w:r w:rsidRPr="001E323F">
        <w:t>,</w:t>
      </w:r>
    </w:p>
    <w:p w14:paraId="790C6417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dyrektywę Parlamentu Europejskiego i Rady (UE) 2015/2366 z dnia 25 listopada 2015 r. w sprawie usług płatniczych w ramach rynku wewnętrznego, zmieniającą dyrektywy 2002/65/WE, 2009/110/WE, 2013/36/UE i rozporządzenie (UE) nr 1093/2010 oraz uchylającą dyrektywę 2007/64/WE</w:t>
      </w:r>
      <w:r w:rsidRPr="001E323F">
        <w:rPr>
          <w:rStyle w:val="FootnoteReference"/>
        </w:rPr>
        <w:footnoteReference w:customMarkFollows="1" w:id="13"/>
        <w:t>13</w:t>
      </w:r>
      <w:r w:rsidRPr="001E323F">
        <w:t xml:space="preserve"> (dyrektywa w sprawie usług płatniczych),</w:t>
      </w:r>
    </w:p>
    <w:p w14:paraId="6B68CDF9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swoją rezolucję z dnia 3 maja 2022 r. w sprawie sztucznej inteligencji w epoce cyfrowej</w:t>
      </w:r>
      <w:r w:rsidRPr="001E323F">
        <w:rPr>
          <w:rStyle w:val="FootnoteReference"/>
        </w:rPr>
        <w:footnoteReference w:customMarkFollows="1" w:id="14"/>
        <w:t>14</w:t>
      </w:r>
      <w:r w:rsidRPr="001E323F">
        <w:t>,</w:t>
      </w:r>
    </w:p>
    <w:p w14:paraId="2EB2C0F8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art. 55 Regulaminu,</w:t>
      </w:r>
    </w:p>
    <w:p w14:paraId="1AA1B925" w14:textId="77777777" w:rsidR="00D35AAB" w:rsidRPr="001E323F" w:rsidRDefault="00D35AAB" w:rsidP="00D35AAB">
      <w:pPr>
        <w:pStyle w:val="NormalHanging"/>
      </w:pPr>
      <w:r w:rsidRPr="001E323F">
        <w:t>–</w:t>
      </w:r>
      <w:r w:rsidRPr="001E323F">
        <w:tab/>
        <w:t>uwzględniając sprawozdanie Komisji Gospodarczej i Monetarnej (A10-0225/2025),</w:t>
      </w:r>
    </w:p>
    <w:p w14:paraId="49488C1E" w14:textId="77777777" w:rsidR="00D35AAB" w:rsidRPr="001E323F" w:rsidRDefault="00D35AAB" w:rsidP="00D35AAB">
      <w:pPr>
        <w:pStyle w:val="NormalHanging"/>
      </w:pPr>
      <w:r w:rsidRPr="001E323F">
        <w:t>A.</w:t>
      </w:r>
      <w:r w:rsidRPr="001E323F">
        <w:tab/>
        <w:t>mając na uwadze, że unijny akt w sprawie sztucznej inteligencji wprowadza pierwsze na świecie kompleksowe ramy regulacyjne dotyczące tej technologii;</w:t>
      </w:r>
    </w:p>
    <w:p w14:paraId="7F344644" w14:textId="77777777" w:rsidR="00D35AAB" w:rsidRPr="001E323F" w:rsidRDefault="00D35AAB" w:rsidP="00D35AAB">
      <w:pPr>
        <w:pStyle w:val="NormalHanging"/>
      </w:pPr>
      <w:r w:rsidRPr="001E323F">
        <w:t>B.</w:t>
      </w:r>
      <w:r w:rsidRPr="001E323F">
        <w:tab/>
        <w:t>mając na uwadze, że w pkt 5 lit. b) i lit. c) załącznika III do aktu w sprawie sztucznej inteligencji zdefiniowano dwa przypadki użycia w sektorze usług finansowych odznaczające się wysokim ryzykiem, a mianowicie wykorzystanie systemów sztucznej inteligencji do punktowej oceny kredytowej i oceny zdolności kredytowej konsumentów oraz wykorzystanie ich do oceny ryzyka i wyceny ubezpieczeń na życie i ubezpieczeń zdrowotnych;</w:t>
      </w:r>
    </w:p>
    <w:p w14:paraId="1378AA13" w14:textId="77777777" w:rsidR="00D35AAB" w:rsidRPr="001E323F" w:rsidRDefault="00D35AAB" w:rsidP="00D35AAB">
      <w:pPr>
        <w:pStyle w:val="NormalHanging"/>
      </w:pPr>
      <w:r w:rsidRPr="001E323F">
        <w:t>C.</w:t>
      </w:r>
      <w:r w:rsidRPr="001E323F">
        <w:tab/>
        <w:t>mając na uwadze, że w akcie w sprawie sztucznej inteligencji system SI definiuje się jako system maszynowy, który został zaprojektowany do działania z różnym poziomem autonomii po jego wdrożeniu oraz który może następnie wykazywać zdolność adaptacji, a także który – na potrzeby wyraźnych lub dorozumianych celów – wnioskuje, jak generować na podstawie otrzymanych danych wejściowych wyniki, takie jak predykcje, treści, zalecenia lub decyzje, które mogą wpływać na środowisko fizyczne lub wirtualne;</w:t>
      </w:r>
    </w:p>
    <w:p w14:paraId="172148B0" w14:textId="77777777" w:rsidR="00D35AAB" w:rsidRPr="001E323F" w:rsidRDefault="00D35AAB" w:rsidP="00D35AAB">
      <w:pPr>
        <w:pStyle w:val="NormalHanging"/>
      </w:pPr>
      <w:r w:rsidRPr="001E323F">
        <w:t>D.</w:t>
      </w:r>
      <w:r w:rsidRPr="001E323F">
        <w:tab/>
        <w:t>mając na uwadze, że „model SI ogólnego przeznaczenia” jest zdefiniowany jako model SI, w tym model trenowany dużą ilością danych z wykorzystaniem nadzoru własnego na dużą skalę, który wykazuje znaczną ogólność i jest w stanie kompetentnie wykonywać szeroki zakres różnych zadań, niezależnie od sposobu, w jaki model ten jest wprowadzany do obrotu, i który można zintegrować z różnymi systemami lub aplikacjami niższego szczebla – ale nie obejmuje modeli SI, które są wykorzystywane na potrzeby działań w zakresie badań, rozwoju i tworzenia prototypów przed wprowadzeniem ich do obrotu;</w:t>
      </w:r>
    </w:p>
    <w:p w14:paraId="72EE3ABC" w14:textId="77777777" w:rsidR="00D35AAB" w:rsidRPr="001E323F" w:rsidRDefault="00D35AAB" w:rsidP="00D35AAB">
      <w:pPr>
        <w:pStyle w:val="NormalHanging"/>
      </w:pPr>
      <w:r w:rsidRPr="001E323F">
        <w:t>E.</w:t>
      </w:r>
      <w:r w:rsidRPr="001E323F">
        <w:tab/>
        <w:t>mając na uwadze, że w zakres definicji systemu sztucznej inteligencji nie wchodzą systemy wykorzystywane do udoskonalania optymalizacji matematycznej lub przyspieszenia i aproksymacji tradycyjnych sprawdzonych metod optymalizacji, takich jak metody regresji liniowej lub logistycznej;</w:t>
      </w:r>
    </w:p>
    <w:p w14:paraId="38504458" w14:textId="77777777" w:rsidR="00D35AAB" w:rsidRPr="001E323F" w:rsidRDefault="00D35AAB" w:rsidP="00D35AAB">
      <w:pPr>
        <w:pStyle w:val="Normal12a"/>
      </w:pPr>
      <w:r w:rsidRPr="001E323F">
        <w:rPr>
          <w:b/>
          <w:i/>
        </w:rPr>
        <w:lastRenderedPageBreak/>
        <w:t>Stan wdrożenia sztucznej inteligencji w usługach finansowych</w:t>
      </w:r>
    </w:p>
    <w:p w14:paraId="7A5ABC28" w14:textId="77777777" w:rsidR="00D35AAB" w:rsidRPr="001E323F" w:rsidRDefault="00D35AAB" w:rsidP="00D35AAB">
      <w:pPr>
        <w:pStyle w:val="NormalHanging12a"/>
      </w:pPr>
      <w:r w:rsidRPr="001E323F">
        <w:t>1.</w:t>
      </w:r>
      <w:r w:rsidRPr="001E323F">
        <w:tab/>
        <w:t>odnotowuje szerokie i zróżnicowane przyjęcie SI w całym sektorze usług finansowych UE, przy czym instytucje finansowe od dłuższego czasu wykorzystują klasyczne uczenie maszynowe, a obecnie stopniowo eksperymentują z wykorzystaniem generatywnej SI, w tym dużych modeli językowych i innych modeli ogólnego przeznaczenia, jako narzędzi wsparcia; podkreśla, że większość obecnych przypadków użycia SI ma na celu usprawnienie procesów zaplecza administracyjnego, przy czym większość z nich to raczej proste rozwiązania niewymagające nakładów; zauważa jednak, że wykorzystanie SI do oceny zdolności kredytowej osób fizycznych lub do ustalania ich punktowej oceny kredytowej, obecnie zdefiniowane jako wysoce ryzykowne w akcie w sprawie SI, jest powszechne i coraz częstsze; podkreśla, że wdrażanie w pełni autonomicznych systemów SI w sektorze finansowym powinno podlegać nadzorowi ze strony człowieka</w:t>
      </w:r>
      <w:r w:rsidRPr="001E323F">
        <w:rPr>
          <w:rStyle w:val="FootnoteReference"/>
        </w:rPr>
        <w:footnoteReference w:customMarkFollows="1" w:id="15"/>
        <w:t>15</w:t>
      </w:r>
      <w:r w:rsidRPr="001E323F">
        <w:t>; zauważa, że instytucje finansowe nadal badają przypadki użycia obejmujące modele GPAI, których większa złożoność wiąże się z wyższym ryzykiem operacyjnym i braku zgodności, ale zauważa również, że zastosowania te w dużej mierze pozostają na etapie testowania;</w:t>
      </w:r>
    </w:p>
    <w:p w14:paraId="05F142B8" w14:textId="77777777" w:rsidR="00D35AAB" w:rsidRPr="001E323F" w:rsidRDefault="00D35AAB" w:rsidP="00D35AAB">
      <w:pPr>
        <w:pStyle w:val="NormalHanging12a"/>
      </w:pPr>
      <w:r w:rsidRPr="001E323F">
        <w:t>2.</w:t>
      </w:r>
      <w:r w:rsidRPr="001E323F">
        <w:tab/>
        <w:t>uważa, że sztuczna inteligencja stanowi dla instytucji finansowych UE ważną okazję do opracowania bardziej innowacyjnych produktów, usprawnienia działań i poprawy konkurencyjności w skali globalnej; podkreśla, że wykorzystanie SI w usługach finansowych może przynieść korzyści społeczne, w tym skuteczniejsze wykrywanie nadużyć finansowych i zapobieganie im, kontrole w dziedzinie przeciwdziałania praniu pieniędzy i kontrole sankcji, wsparcie klienta, monitorowanie transakcji, spersonalizowane doradztwo finansowe, gromadzenie, analizę i sprawozdawczość w zakresie ochrony środowiska, polityki społecznej i ładu korporacyjnego, modele i strategie handlowe, pomoc w przestrzeganiu przepisów, nadzór rynku i monitorowanie nadużyć; uważa, że wykorzystanie SI w sektorze finansowym powinno zapewniać równowagę między innowacyjnością i konkurencyjnością z jednej strony a zarządzaniem ryzykiem, ochroną konsumentów i stabilnością finansową z drugiej strony; podkreśla, że korzyści płynące ze stosowania SI w usługach finansowych powinni odnosić przede wszystkim klienci końcowi, na przykład dzięki niższym cenom, lepszemu zakresowi ochrony, lepszemu doradztwu finansowemu, większemu włączeniu finansowemu i większemu dostępowi finansowemu oraz poprawie wiedzy finansowej;</w:t>
      </w:r>
    </w:p>
    <w:p w14:paraId="13994DCF" w14:textId="77777777" w:rsidR="00D35AAB" w:rsidRPr="001E323F" w:rsidRDefault="00D35AAB" w:rsidP="00D35AAB">
      <w:pPr>
        <w:pStyle w:val="NormalHanging12a"/>
      </w:pPr>
      <w:r w:rsidRPr="001E323F">
        <w:t>3.</w:t>
      </w:r>
      <w:r w:rsidRPr="001E323F">
        <w:tab/>
        <w:t xml:space="preserve">zauważa, że istnieje również ryzyko związane ze stosowaniem sztucznej inteligencji w usługach finansowych; podkreśla, że przed niedawnym przełomem w dziedzinie dużych modeli językowych ryzyko to wynikało z jakości, dokładności i reprezentatywności danych, na podstawie których trenowano modele, ponieważ wyniki SI niebędącej takim modelem są tak wiarygodne jak dane wejściowe; podkreśla, że niska jakość danych może prowadzić m.in. do wyników dyskryminacyjnych, niewłaściwej sprzedaży i nasilenia uprzedzeń systemowych, podczas gdy modele nieprzejrzyste i złożone mogłyby prowadzić do naruszeń prywatności i wykluczenia konsumentów podatnych na zagrożenia, na przykład poprzez dyskryminację cenową, zwiększając tym samym istniejące ryzyka lub tworząc nowe; podkreśla, że duże modele językowe wprowadzają znaczne zagrożenia dodatkowe, które mogą być trudne do zmierzenia, w tym halucynacje modeli, nawet w przypadku wysokiej jakości danych szkoleniowych; </w:t>
      </w:r>
      <w:r w:rsidRPr="001E323F">
        <w:lastRenderedPageBreak/>
        <w:t xml:space="preserve">podkreśla, że takie zagrożenia i wyniki muszą być skutecznie ograniczane; zauważa ponadto wyzwania związane z podatnościami na zagrożenia </w:t>
      </w:r>
      <w:proofErr w:type="spellStart"/>
      <w:r w:rsidRPr="001E323F">
        <w:t>cyberbezpieczeństwa</w:t>
      </w:r>
      <w:proofErr w:type="spellEnd"/>
      <w:r w:rsidRPr="001E323F">
        <w:t xml:space="preserve"> i </w:t>
      </w:r>
      <w:proofErr w:type="spellStart"/>
      <w:r w:rsidRPr="001E323F">
        <w:t>wyjaśnialnością</w:t>
      </w:r>
      <w:proofErr w:type="spellEnd"/>
      <w:r w:rsidRPr="001E323F">
        <w:t xml:space="preserve"> systemów sztucznej inteligencji; podkreśla w związku z tym potrzebę zapewnienia solidnego zarządzania danymi, rygorystycznego testowania i dokumentowania modeli SI, a także utrzymania roli człowieka w systemie i wysokich standardów przy stosowaniu systemów sztucznej inteligencji w zastosowaniach skierowanych do konsumentów;</w:t>
      </w:r>
    </w:p>
    <w:p w14:paraId="7B4AC42E" w14:textId="77777777" w:rsidR="00D35AAB" w:rsidRPr="001E323F" w:rsidRDefault="00D35AAB" w:rsidP="00D35AAB">
      <w:pPr>
        <w:pStyle w:val="NormalHanging12a"/>
      </w:pPr>
      <w:r w:rsidRPr="001E323F">
        <w:t>4.</w:t>
      </w:r>
      <w:r w:rsidRPr="001E323F">
        <w:tab/>
        <w:t>rozumie, że aby zapewnić zgodność z obowiązującymi przepisami przekrojowymi i sektorowymi, instytucje finansowe przyjęły wyważone podejście do opracowywania, testowania i wdrażania systemów SI; podkreśla, że to ostrożne podejście może również wynikać z braku znajomości popytu ze strony klientów oraz ze zmian ich oczekiwań i czynników ryzyka, które zarysowano powyżej;</w:t>
      </w:r>
    </w:p>
    <w:p w14:paraId="7E550B93" w14:textId="77777777" w:rsidR="00D35AAB" w:rsidRPr="001E323F" w:rsidRDefault="00D35AAB" w:rsidP="00D35AAB">
      <w:pPr>
        <w:pStyle w:val="NormalHanging12a"/>
      </w:pPr>
      <w:r w:rsidRPr="001E323F">
        <w:t>5.</w:t>
      </w:r>
      <w:r w:rsidRPr="001E323F">
        <w:tab/>
        <w:t>podkreśla, że rozwój SI wiąże się z wyzwaniami dla organów nadzoru, mając na względzie zwłaszcza brak wystarczającej wiedzy fachowej i adekwatnych narzędzi technologii nadzorczych dostosowanych do SI pozwalających ocenić zaawansowane modele uczenia maszynowego i generatywnej SI; wzywa europejskie i krajowe organy nadzoru do dostosowania się do rosnącego wykorzystania SI w usługach finansowych oraz do monitorowania, oceny i ograniczania ryzyka dla konsumentów i stabilności finansowej, mając jednocześnie na uwadze, że nie należy zniechęcać do innowacji poprzez nieproporcjonalne obciążenia związane z przestrzeganiem przepisów lub nadmiernie nakazowe podejście regulacyjne;</w:t>
      </w:r>
    </w:p>
    <w:p w14:paraId="1FA9F1C7" w14:textId="77777777" w:rsidR="00D35AAB" w:rsidRPr="001E323F" w:rsidRDefault="00D35AAB" w:rsidP="00D35AAB">
      <w:pPr>
        <w:pStyle w:val="NormalHanging12a"/>
      </w:pPr>
      <w:r w:rsidRPr="001E323F">
        <w:t>6.</w:t>
      </w:r>
      <w:r w:rsidRPr="001E323F">
        <w:tab/>
        <w:t xml:space="preserve">zauważa, że koncentracja wśród dostawców usług SI, którzy oferują doradztwo inwestycyjne, może prowadzić do </w:t>
      </w:r>
      <w:proofErr w:type="spellStart"/>
      <w:r w:rsidRPr="001E323F">
        <w:t>zachowań</w:t>
      </w:r>
      <w:proofErr w:type="spellEnd"/>
      <w:r w:rsidRPr="001E323F">
        <w:t xml:space="preserve"> stadnych, napędzanych podobnymi modelami i ograniczonym charakterem źródeł danych; wzywa europejskie i krajowe organy nadzoru do monitorowania tych zagrożeń i instytucji finansowych w celu uwzględnienia ich przy opracowywaniu narzędzi SI;</w:t>
      </w:r>
    </w:p>
    <w:p w14:paraId="55AD1E02" w14:textId="77777777" w:rsidR="00D35AAB" w:rsidRPr="001E323F" w:rsidRDefault="00D35AAB" w:rsidP="00D35AAB">
      <w:pPr>
        <w:pStyle w:val="NormalHanging12a"/>
      </w:pPr>
      <w:r w:rsidRPr="001E323F">
        <w:t>7.</w:t>
      </w:r>
      <w:r w:rsidRPr="001E323F">
        <w:tab/>
        <w:t>zwraca uwagę na zależność podmiotów finansowych UE od dostawców technologii będących osobą trzecią (TPP) w zakresie hostingu i opracowywania modeli SI oraz podkreśla, że jeśli chodzi o te usługi większość przedsiębiorstw finansowych jest zależna jedynie od kilku TPP, co może prowadzić do ryzyka koncentracji i zmniejszać siłę przetargową instytucji finansowych podczas negocjowania lub zmiany warunków umownych dotyczących usług SI; przestrzega przed poleganiem na niewielkiej liczbie dostawców danej usługi może prowadzić do ryzyka systemowego w przypadku zakłóceń w funkcjonowaniu tej usługi, zwłaszcza jeżeli nie jest możliwe szybkie przeniesienie się do alternatywnych dostawców;</w:t>
      </w:r>
    </w:p>
    <w:p w14:paraId="6D650DD6" w14:textId="77777777" w:rsidR="00D35AAB" w:rsidRPr="001E323F" w:rsidRDefault="00D35AAB" w:rsidP="00D35AAB">
      <w:pPr>
        <w:pStyle w:val="NormalHanging12a"/>
      </w:pPr>
      <w:r w:rsidRPr="001E323F">
        <w:t>8.</w:t>
      </w:r>
      <w:r w:rsidRPr="001E323F">
        <w:tab/>
        <w:t>zauważa, że niedawno uchwalony akt w sprawie operacyjnej odporności cyfrowej (DORA) zobowiązuje instytucje finansowe do wdrożenia środków mających na celu ograniczenie ryzyka koncentracji wynikającego z zewnętrznych dostawców technologii informacyjno-komunikacyjnych, w tym planów awaryjnych i ustaleń zapewniających ciągłość działania; zwraca się do Komisji i Europejskich Urzędów Nadzoru o ocenę w szczególności wykonalności stosowania strategii wyjścia i przepisów przejściowych określonych w DORA w odniesieniu do modeli SI obsługiwanych przez infrastrukturę dostawców zewnętrznych; zwłaszcza w związku ze znacznym stopniem uzależnienia od dostawców zewnętrznych z państw trzecich;</w:t>
      </w:r>
    </w:p>
    <w:p w14:paraId="58D0C626" w14:textId="77777777" w:rsidR="00D35AAB" w:rsidRPr="001E323F" w:rsidRDefault="00D35AAB" w:rsidP="00D35AAB">
      <w:pPr>
        <w:pStyle w:val="NormalHanging12a"/>
      </w:pPr>
      <w:r w:rsidRPr="001E323F">
        <w:lastRenderedPageBreak/>
        <w:t>9.</w:t>
      </w:r>
      <w:r w:rsidRPr="001E323F">
        <w:tab/>
        <w:t>podkreśla, że do rozwoju i wdrażania SI przedsiębiorstwa UE muszą być w stanie wykorzystywać istniejącą infrastrukturę chmur obliczeniowych; wzywa do aktywnego rozpoznania możliwości wzmocnienia kompatybilności i interoperacyjności modeli SI i ram zgodności z modelami międzynarodowych partnerów o podobnych poglądach, zwłaszcza tymi, którzy dążą do zapewnienia równie solidnych gwarancji regulacyjnych, zapewnienia instytucjom finansowym UE utrzymania dostępu do narzędzi i dostawców SI oraz z myślą o kształtowaniu zrównoważonych standardów globalnych przy jednoczesnym zagwarantowaniu europejskim przedsiębiorstwom pewności prawa;</w:t>
      </w:r>
    </w:p>
    <w:p w14:paraId="5C4E7FF0" w14:textId="77777777" w:rsidR="00D35AAB" w:rsidRPr="001E323F" w:rsidRDefault="00D35AAB" w:rsidP="00D35AAB">
      <w:pPr>
        <w:pStyle w:val="NormalHanging12a"/>
      </w:pPr>
      <w:r w:rsidRPr="001E323F">
        <w:t>10.</w:t>
      </w:r>
      <w:r w:rsidRPr="001E323F">
        <w:tab/>
        <w:t>popiera inicjatywy mające na celu pobudzenie rozwoju sztucznej inteligencji i chmur obliczeniowych w UE, zwłaszcza z myślą o rozwijaniu usług SI w pełni zgodnych z unijnymi ramami ochrony danych i praw podstawowych, przy jednoczesnym wzmocnieniu strategicznej autonomii i odporności;</w:t>
      </w:r>
    </w:p>
    <w:p w14:paraId="4A8EF5C0" w14:textId="77777777" w:rsidR="00D35AAB" w:rsidRPr="001E323F" w:rsidRDefault="00D35AAB" w:rsidP="00D35AAB">
      <w:pPr>
        <w:pStyle w:val="Normal12a"/>
      </w:pPr>
      <w:r w:rsidRPr="001E323F">
        <w:rPr>
          <w:b/>
          <w:i/>
        </w:rPr>
        <w:t xml:space="preserve"> Otoczenie regulacyjne sztucznej inteligencji w usługach finansowych</w:t>
      </w:r>
    </w:p>
    <w:p w14:paraId="69769F3D" w14:textId="77777777" w:rsidR="00D35AAB" w:rsidRPr="001E323F" w:rsidRDefault="00D35AAB" w:rsidP="00D35AAB">
      <w:pPr>
        <w:pStyle w:val="NormalHanging12a"/>
      </w:pPr>
      <w:r w:rsidRPr="001E323F">
        <w:t>11.</w:t>
      </w:r>
      <w:r w:rsidRPr="001E323F">
        <w:tab/>
        <w:t>podkreśla, że sektor usług finansowych jest ściśle uregulowany i podlega wielu przepisom sektorowym zarówno na szczeblu krajowym, jak i unijnym, które wymagają od podmiotów zarządzania ryzykiem w różnych obszarach, m.in. w zakresie ochrony danych, pochodzenia danych, ich jakości, zarządzania danymi, odporności operacyjnej, outsourcingu, ryzyka modelu, dyskryminujących wyników oraz ryzyka rynkowego i kredytowego, które razem tworzą ramy wdrażania SI i zarządzania nią w sektorze usług finansowych</w:t>
      </w:r>
      <w:r w:rsidRPr="001E323F">
        <w:rPr>
          <w:rStyle w:val="FootnoteReference"/>
        </w:rPr>
        <w:footnoteReference w:customMarkFollows="1" w:id="16"/>
        <w:t>16</w:t>
      </w:r>
      <w:r w:rsidRPr="001E323F">
        <w:t>; podkreśla jednak znaczenie stałego monitorowania luk regulacyjnych i zmieniających się przypadków użycia SI w sektorze finansowym, zwłaszcza pod kątem ochrony praw konsumentów i prawa do prywatności;</w:t>
      </w:r>
    </w:p>
    <w:p w14:paraId="06C7D4DC" w14:textId="77777777" w:rsidR="00D35AAB" w:rsidRPr="001E323F" w:rsidRDefault="00D35AAB" w:rsidP="00D35AAB">
      <w:pPr>
        <w:pStyle w:val="NormalHanging12a"/>
      </w:pPr>
      <w:r w:rsidRPr="001E323F">
        <w:t>12.</w:t>
      </w:r>
      <w:r w:rsidRPr="001E323F">
        <w:tab/>
        <w:t>zauważa, że UE przyjęła podejście do regulacji SI w większym stopniu oparte na analizie ryzyka niż inne jurysdykcje; podkreśla, że chociaż może to stwarzać wyzwania w zakresie przyjmowania i rozwoju SI w usługach finansowych, stwarza również możliwość budowania zaufania i wspierania innowacji, pod warunkiem że ramy te zostaną doprecyzowane i wdrożone w sposób zwiększający pewność prawa, proporcjonalność i zaufanie rynku; dostrzega, że akt w sprawie sztucznej inteligencji nie został jeszcze w pełni wdrożony, a jego praktyczne skutki ocenione;</w:t>
      </w:r>
    </w:p>
    <w:p w14:paraId="3B3DAC67" w14:textId="77777777" w:rsidR="00D35AAB" w:rsidRPr="001E323F" w:rsidRDefault="00D35AAB" w:rsidP="00D35AAB">
      <w:pPr>
        <w:pStyle w:val="NormalHanging12a"/>
      </w:pPr>
      <w:r w:rsidRPr="001E323F">
        <w:t>13.</w:t>
      </w:r>
      <w:r w:rsidRPr="001E323F">
        <w:tab/>
        <w:t xml:space="preserve">przypomina, że akt w sprawie sztucznej inteligencji wyraźnie bierze pod uwagę istniejący dorobek prawny w dziedzinie usług finansowych i ma na celu uniknięcie zbiegu wymogów, w szczególności w odniesieniu do procesów zarządzania wewnętrznego i zarządzania jakością, poprzez umożliwienie ograniczonych odstępstw dla instytucji finansowych, w zakresie, w jakim na mocy unijnych przepisów dotyczących usług finansowych określono wymogi równoważne; wyraża jednak zaniepokojenie, że dochodzi do zachodzenia zbiegów przepisów i braku wystarczających wytycznych dotyczących interpretacji rzeczonych zbiegów przepisów i </w:t>
      </w:r>
      <w:r w:rsidRPr="001E323F">
        <w:lastRenderedPageBreak/>
        <w:t>ich interakcji, powodujących nadmierną złożoność, obciążenia związane z przestrzeganiem przepisów i niepewność prawa, które utrudniają tym samym upowszechnienie SI w sektorze usług finansowych; podkreśla znaczenie zagwarantowania ram prawnych, regulacyjnych i administracyjnych opartych na pewności, przewidywalności i stabilności; zauważa, że rozszerzająca, a nie proporcjonalna, wykładnia aktu w sprawie sztucznej inteligencji może prowadzić do nadmiaru wymogów zgodności dla instytucji finansowych i powodować niepewność prawa; dostrzega wyzwanie wynikające z faktu, że agencje nadzoru mają różne interpretacje prawne i oczekiwania w zakresie stosowania wspólnotowego dorobku prawnego, które prowadzą do fragmentacji jednolitego rynku; zwraca się do Komisji i właściwych organów krajowe o zidentyfikowanie i wyeliminowanie wszelkich niespójności w trakcie wdrażania aktu w sprawie sztucznej inteligencji oraz w ramach przyszłego pakietu zbiorczego dotyczącego technologii cyfrowych;</w:t>
      </w:r>
    </w:p>
    <w:p w14:paraId="480BB2E6" w14:textId="77777777" w:rsidR="00D35AAB" w:rsidRPr="001E323F" w:rsidRDefault="00D35AAB" w:rsidP="00D35AAB">
      <w:pPr>
        <w:pStyle w:val="NormalHanging12a"/>
      </w:pPr>
      <w:r w:rsidRPr="001E323F">
        <w:t>14.</w:t>
      </w:r>
      <w:r w:rsidRPr="001E323F">
        <w:tab/>
        <w:t>popiera zalecenie zawarte w akcie w sprawie sztucznej inteligencji dotyczące wyznaczenia właściwych organów finansowych jako organów nadzoru rynku w odniesieniu do systemów sztucznej inteligencji wykorzystywanych w usługach finansowych uznawanych za obarczone wysokim ryzykiem; zauważa jednak, że za nadzorowanie systemów sztucznej inteligencji innych niż systemy wysokiego ryzyka odpowiedzialne będą inne właściwe organy krajowe; dostrzega wyzwania wynikające z funkcjonowania wielu agencji nadzorczych właściwych do stosowania dorobku prawnego UE; dostrzega ponadto wyzwania wynikające z różnych interpretacji prawnych i oczekiwań różnych agencji nadzoru, które mogą prowadzić do fragmentacji jednolitego rynku;</w:t>
      </w:r>
    </w:p>
    <w:p w14:paraId="03DB0656" w14:textId="77777777" w:rsidR="00D35AAB" w:rsidRPr="001E323F" w:rsidRDefault="00D35AAB" w:rsidP="00D35AAB">
      <w:pPr>
        <w:pStyle w:val="NormalHanging12a"/>
      </w:pPr>
      <w:r w:rsidRPr="001E323F">
        <w:t>15.</w:t>
      </w:r>
      <w:r w:rsidRPr="001E323F">
        <w:tab/>
        <w:t>zachęca organy nadzorcze do nasilenia koordynacji, współpracy i wymiany informacji, aby uniknąć sporów jurysdykcyjnych; wzywa ponadto Komisję i organy nadzoru do zacieśnienia współpracy z partnerami międzynarodowymi na globalnych forach normalizacyjnych w celu zapewnienia zbieżności i uniknięcia fragmentacji podejść regulacyjnych, a także do zadbania o to, by UE dotrzymała kroku globalnym zmianom regulacyjnym i dostosowała się do nich;</w:t>
      </w:r>
    </w:p>
    <w:p w14:paraId="048ED07C" w14:textId="77777777" w:rsidR="00D35AAB" w:rsidRPr="001E323F" w:rsidRDefault="00D35AAB" w:rsidP="00D35AAB">
      <w:pPr>
        <w:pStyle w:val="NormalHanging12a"/>
      </w:pPr>
      <w:r w:rsidRPr="001E323F">
        <w:t>16.</w:t>
      </w:r>
      <w:r w:rsidRPr="001E323F">
        <w:tab/>
        <w:t>zauważa, że ogólne rozporządzenie o ochronie danych i zawarte w nim wymogi dotyczące minimalizacji danych, ograniczenia celu, zgody klientów i przetwarzania danych osobowych przez instytucje finansowe nakładają ograniczenia na wykorzystywanie SI w usługach finansowych; uważa, że potrzebna jest właściwa równowaga między czerpaniem korzyści ze stosowania SI w usługach finansowych a ochroną danych konsumentów;</w:t>
      </w:r>
    </w:p>
    <w:p w14:paraId="75E0E435" w14:textId="77777777" w:rsidR="00D35AAB" w:rsidRPr="001E323F" w:rsidRDefault="00D35AAB" w:rsidP="00D35AAB">
      <w:pPr>
        <w:pStyle w:val="Normal12a"/>
      </w:pPr>
      <w:r w:rsidRPr="001E323F">
        <w:t>Zalecenia dotyczące zapewnienia odpowiedzialnego wykorzystania sztucznej inteligencji w usługach finansowych</w:t>
      </w:r>
    </w:p>
    <w:p w14:paraId="4F9FCA2D" w14:textId="77777777" w:rsidR="00D35AAB" w:rsidRPr="001E323F" w:rsidRDefault="00D35AAB" w:rsidP="00D35AAB">
      <w:pPr>
        <w:pStyle w:val="NormalHanging12a"/>
      </w:pPr>
      <w:r w:rsidRPr="001E323F">
        <w:t>17.</w:t>
      </w:r>
      <w:r w:rsidRPr="001E323F">
        <w:tab/>
        <w:t>ubolewa, że UE pozostaje w tyle pod względem innowacji i inwestycji w SI, o czym świadczy otrzymanie przez unijne przedsiębiorstwa opracowujące modele ogólnego przeznaczenia w latach 2018–2023 finansowania wysokiego ryzyka w wysokości jedynie 33 mld EUR, w porównaniu z ponad 120 mld EUR otrzymanymi przez ich odpowiedników amerykańskich</w:t>
      </w:r>
      <w:r w:rsidRPr="001E323F">
        <w:rPr>
          <w:rStyle w:val="FootnoteReference"/>
        </w:rPr>
        <w:footnoteReference w:customMarkFollows="1" w:id="17"/>
        <w:t>17</w:t>
      </w:r>
      <w:r w:rsidRPr="001E323F">
        <w:t xml:space="preserve">; uważa, że sektor usług finansowych, który przecież </w:t>
      </w:r>
      <w:r w:rsidRPr="001E323F">
        <w:lastRenderedPageBreak/>
        <w:t>przeznacza najwięcej środków na usługi i produkty ICT, może odegrać rolę katalizatora w mobilizowaniu prywatnych inwestycji w SI; w kontekście powolnych inwestycji w SI w sektorze finansowym UE wzywa do przedstawienia ambitnej propozycji ożywienia europejskiej sceny kapitału wysokiego ryzyka w ramach unii oszczędności i inwestycji;</w:t>
      </w:r>
    </w:p>
    <w:p w14:paraId="401C032E" w14:textId="77777777" w:rsidR="00D35AAB" w:rsidRPr="001E323F" w:rsidRDefault="00D35AAB" w:rsidP="00D35AAB">
      <w:pPr>
        <w:pStyle w:val="NormalHanging12a"/>
      </w:pPr>
      <w:r w:rsidRPr="001E323F">
        <w:t>18.</w:t>
      </w:r>
      <w:r w:rsidRPr="001E323F">
        <w:tab/>
        <w:t>wzywa Komisję do zapewnienia jasnych i praktycznych wytycznych, opracowanych w porozumieniu z europejskimi i krajowymi organami nadzoru oraz zainteresowanymi stronami, w sprawie stosowania obowiązujących przepisów dotyczących usług finansowych w odniesieniu do stosowania SI; uważa, że wyjaśnienia te powinny umożliwić wykorzystanie SI w sektorze usług finansowych, w tym w sposób etyczny, odpowiedzialny i przejrzysty; apeluje o spójne definicje i uproszczenie ram regulacyjnych, aby uniknąć powielania wymogów, m.in. wymogów dotyczących sprawozdawczości w zakresie oceny ryzyka, oraz przestrzega przed podejściem niezróżnicowanym, które nakładałoby nieproporcjonalne obciążenia na mniejsze i średnie instytucje finansowe; podkreśla potrzebę właściwej równowagi między odpowiedzialnym wykorzystaniem SI a zapewnieniem wystarczającej przestrzeni dla innowacji;</w:t>
      </w:r>
    </w:p>
    <w:p w14:paraId="0DB2C598" w14:textId="77777777" w:rsidR="00D35AAB" w:rsidRPr="001E323F" w:rsidRDefault="00D35AAB" w:rsidP="00D35AAB">
      <w:pPr>
        <w:pStyle w:val="NormalHanging12a"/>
      </w:pPr>
      <w:r w:rsidRPr="001E323F">
        <w:t>19.</w:t>
      </w:r>
      <w:r w:rsidRPr="001E323F">
        <w:tab/>
        <w:t>wzywa Komisję do zbadania, w jaki sposób narzędzia oparte na sztucznej inteligencji można wykorzystywać na rynkach finansowych, w dziedzinach takich jak pośrednictwo, zarządzanie portfelem i automatyzacja przestrzegania przepisów, w celu realizacji celów unii oszczędności i inwestycji, w tym poprzez wspieranie inwestorów detalicznych w podejmowaniu świadomych decyzji inwestycyjnych, poprawę edukacji finansowej, wspieranie innowacji wśród przedsiębiorstw, ograniczanie fragmentacji rynku i zapewnienie bezpiecznego środowiska konsumentom; podkreśla, że osiągnięcie tych celów wymaga ram regulacyjnych neutralnych pod względem technologicznym;</w:t>
      </w:r>
    </w:p>
    <w:p w14:paraId="1E530F71" w14:textId="77777777" w:rsidR="00D35AAB" w:rsidRPr="001E323F" w:rsidRDefault="00D35AAB" w:rsidP="00D35AAB">
      <w:pPr>
        <w:pStyle w:val="NormalHanging12a"/>
      </w:pPr>
      <w:r w:rsidRPr="001E323F">
        <w:t>20.</w:t>
      </w:r>
      <w:r w:rsidRPr="001E323F">
        <w:tab/>
        <w:t>uważa, że przepisy sektorowe regulujące wykorzystanie SI w usługach finansowych zasadniczo pozwalają już, aby uwzględnić wdrażanie SI w jej obecnej formie; podkreśla, że należy stale monitorować, czy w obecnych przepisach dotyczące usług finansowych mających zastosowanie do wdrażania SI występują zbiegi przepisów lub niedociągnięcia; podkreśla, że dodatkowe przepisy zwiększyłyby złożoność i niepewność, a ostatecznie groziłyby pozbawieniem sektora korzyści płynących ze stosowania SI; kładzie nacisk na fakt, że opieranie się na obecnych uregulowaniach wymaga stałej uwagi nadzorczej, skutecznego egzekwowania i jasnego podziału odpowiedzialności za zapewnienie zgodności, w szczególności w scenariuszach wdrażania SI w sposób transgraniczny lub zlecania go podmiotom zewnętrznym, a także monitorowania i oceny ewentualnych przyszłych luk wynikających z nowych rozwiązań w zakresie SI, jeżeli stwarzają one znaczne ryzyko dla konsumentów i stabilności finansowej; zdecydowanie zaleca Komisji i państwom członkowskim koordynację, która pozwoli uniknąć nadmiernie rygorystycznego wdrażania przepisów oraz zapobiec tworzeniu nowych barier na rynkach transgranicznych; zauważa, że zgodnie z aktem w sprawie sztucznej inteligencji Komisja może ocenić wykaz zastosowań wysokiego ryzyka zawarty w załączniku III do tego aktu;</w:t>
      </w:r>
    </w:p>
    <w:p w14:paraId="738436DE" w14:textId="77777777" w:rsidR="00D35AAB" w:rsidRPr="001E323F" w:rsidRDefault="00D35AAB" w:rsidP="00D35AAB">
      <w:pPr>
        <w:pStyle w:val="NormalHanging12a"/>
      </w:pPr>
      <w:r w:rsidRPr="001E323F">
        <w:t>21.</w:t>
      </w:r>
      <w:r w:rsidRPr="001E323F">
        <w:tab/>
        <w:t xml:space="preserve">wzywa europejskie i krajowe organy nadzoru, aby wspierały odpowiedzialne wdrażanie SI przez promowanie spójnej interpretacji i proporcjonalnego stosowania obecnych przepisów; uważa, że odpowiednie uregulowanie wdrażania SI w sektorze finansowym wspiera jej rozpowszechnianie i zaufanie społeczne do niej; podkreśla, że postawa i podejście organów nadzoru są równie ważne jak same przepisy; zaleca, aby w działaniach nadzorczych priorytetowo traktować konkretne zagrożenia operacyjne w </w:t>
      </w:r>
      <w:r w:rsidRPr="001E323F">
        <w:lastRenderedPageBreak/>
        <w:t>przypadku ich zidentyfikowania, a nie kwestie abstrakcyjne lub teoretyczne, a jednocześnie utrzymywać aktywne i proporcjonalne podejście do nadzoru poprzez zrównoważenie innowacji i ochrony konsumentów w celu zarządzania nieprzewidzianymi zagrożeniami wynikającymi z szerszego stosowania technologii SI; podkreśla rolę skutecznego monitorowania i przeciwdziałania zagrożeniom powiązanym ze sztuczną inteligencją, w tym związanym z nieprzejrzystością, koncentracją rynku i utratą rozliczalności, które mogą mieć wpływ na stabilność finansową;</w:t>
      </w:r>
    </w:p>
    <w:p w14:paraId="3239D42A" w14:textId="77777777" w:rsidR="00D35AAB" w:rsidRPr="001E323F" w:rsidRDefault="00D35AAB" w:rsidP="00D35AAB">
      <w:pPr>
        <w:pStyle w:val="NormalHanging12a"/>
      </w:pPr>
      <w:r w:rsidRPr="001E323F">
        <w:t>22.</w:t>
      </w:r>
      <w:r w:rsidRPr="001E323F">
        <w:tab/>
        <w:t xml:space="preserve">wzywa Komisję i państwa członkowskie do usunięcia w UE barier wejścia dla innowacyjnych przedsiębiorstw finansowych opartych na SI, w tym poprzez usprawnione udzielanie licencji, transgraniczne przedsiębiorstwa </w:t>
      </w:r>
      <w:proofErr w:type="spellStart"/>
      <w:r w:rsidRPr="001E323F">
        <w:t>scale-up</w:t>
      </w:r>
      <w:proofErr w:type="spellEnd"/>
      <w:r w:rsidRPr="001E323F">
        <w:t xml:space="preserve"> i włączenie do ośrodków innowacji w zakresie nadzoru;</w:t>
      </w:r>
    </w:p>
    <w:p w14:paraId="6F8D304A" w14:textId="77777777" w:rsidR="00D35AAB" w:rsidRPr="001E323F" w:rsidRDefault="00D35AAB" w:rsidP="00D35AAB">
      <w:pPr>
        <w:pStyle w:val="NormalHanging12a"/>
      </w:pPr>
      <w:r w:rsidRPr="001E323F">
        <w:t>23.</w:t>
      </w:r>
      <w:r w:rsidRPr="001E323F">
        <w:tab/>
        <w:t xml:space="preserve">popiera badania nad wpływem sztucznej inteligencji na środowisko, ze szczególnym uwzględnieniem </w:t>
      </w:r>
      <w:proofErr w:type="spellStart"/>
      <w:r w:rsidRPr="001E323F">
        <w:t>zasobochłonności</w:t>
      </w:r>
      <w:proofErr w:type="spellEnd"/>
      <w:r w:rsidRPr="001E323F">
        <w:t xml:space="preserve"> i długoterminowej </w:t>
      </w:r>
      <w:proofErr w:type="spellStart"/>
      <w:r w:rsidRPr="001E323F">
        <w:t>zrównoważoności</w:t>
      </w:r>
      <w:proofErr w:type="spellEnd"/>
      <w:r w:rsidRPr="001E323F">
        <w:t>, aby zwiększyć przejrzystość i pomóc instytucjom finansowym w ocenie tych aspektów i ich własnego śladu środowiskowego;</w:t>
      </w:r>
    </w:p>
    <w:p w14:paraId="16826957" w14:textId="77777777" w:rsidR="00D35AAB" w:rsidRPr="001E323F" w:rsidRDefault="00D35AAB" w:rsidP="00D35AAB">
      <w:pPr>
        <w:pStyle w:val="NormalHanging12a"/>
      </w:pPr>
      <w:r w:rsidRPr="001E323F">
        <w:t>24.</w:t>
      </w:r>
      <w:r w:rsidRPr="001E323F">
        <w:tab/>
        <w:t xml:space="preserve">uważa, że wzrost wykorzystania SI, który może mieć wpływ na rynek pracy w sektorze usług finansowych, wymaga dobrych umiejętności w zakresie SI, umiejętności cyfrowych i zaangażowania talentów, wspieranych zarówno przez inicjatywy w zakresie podnoszenia kwalifikacji w sektorze publicznym, jak i rozwiązania rynkowe; wspiera wysiłki przemysłu i ukierunkowane inicjatywy, w tym partnerstwa publiczno-prywatne i programy </w:t>
      </w:r>
      <w:proofErr w:type="spellStart"/>
      <w:r w:rsidRPr="001E323F">
        <w:t>przekwalifikowań</w:t>
      </w:r>
      <w:proofErr w:type="spellEnd"/>
      <w:r w:rsidRPr="001E323F">
        <w:t>, służące budowaniu wśród pracowników sektora finansowego kompetencji technicznych i etycznych w zakresie sztucznej inteligencji, zwłaszcza w odniesieniu do praw i ryzyka; podkreśla znaczenie opracowania strategii SI, które zwiększają wydajność, a jednocześnie wspierają dostosowanie, podnoszenie kwalifikacji i realokację pracowników, a równocześnie zapewniają znaczący nadzór i kontrolę człowieka; zwraca się o większą jasność w odniesieniu do wymogów aktu w sprawie sztucznej inteligencji, zgodnie z którymi instytucje finansowe muszą spełniać wymogi dotyczące umiejętności korzystania ze sztucznej inteligencji; podkreśla ponadto znaczenie zapewnienia i promowania równego dostępu do narzędzi i usług SI, w tym dla mniej zdolnych cyfrowo segmentów społeczeństwa;</w:t>
      </w:r>
    </w:p>
    <w:p w14:paraId="240FFC29" w14:textId="77777777" w:rsidR="00D35AAB" w:rsidRPr="001E323F" w:rsidRDefault="00D35AAB" w:rsidP="00D35AAB">
      <w:pPr>
        <w:pStyle w:val="NormalHanging12a"/>
      </w:pPr>
      <w:r w:rsidRPr="001E323F">
        <w:t>25.</w:t>
      </w:r>
      <w:r w:rsidRPr="001E323F">
        <w:tab/>
        <w:t>wzywa Komisję oraz europejskie i krajowe organy nadzoru do oceny wartości dodanej piaskownic regulacyjnych specyficznych dla SI, centrów innowacji i transgranicznych środowisk testujących usługi finansowe, aby umożliwić eksperymentowanie z innowacjami finansowymi opartymi na SI, cele zarówno dopomożenia przedsiębiorstwom typu start-</w:t>
      </w:r>
      <w:proofErr w:type="spellStart"/>
      <w:r w:rsidRPr="001E323F">
        <w:t>up</w:t>
      </w:r>
      <w:proofErr w:type="spellEnd"/>
      <w:r w:rsidRPr="001E323F">
        <w:t xml:space="preserve"> w testowaniu ich produktów, jak i umożliwienia obecnym instytucjom badania nowych zastosowań w kontrolowanym środowisku, przy jednoczesnym zapewnieniu ochrony konsumentów i integralności rynku; uważa, że odpowiednie wykorzystanie piaskownic regulacyjnych w zakresie SI mogłoby zaoferować uporządkowanie nadzorowane środowisko testowe niezbędne do innowacji i odpowiedzialnego wdrażania SI w sektorze usług finansowych; zachęca europejskie i krajowe organy nadzoru do rozbudowy narzędzi i technologii nadzoru (</w:t>
      </w:r>
      <w:proofErr w:type="spellStart"/>
      <w:r w:rsidRPr="001E323F">
        <w:t>SupTech</w:t>
      </w:r>
      <w:proofErr w:type="spellEnd"/>
      <w:r w:rsidRPr="001E323F">
        <w:t>) poprzez wykorzystanie SI oraz do włączenia ich do codziennych działań nadzorczych w celu poprawy wydajności i skuteczności nadzoru finansowego; zauważa, że narzędzia te mają na celu wspieranie, a nie zastępowanie ludzkich pracowników nadzoru;</w:t>
      </w:r>
    </w:p>
    <w:p w14:paraId="1449644C" w14:textId="77777777" w:rsidR="00D35AAB" w:rsidRPr="001E323F" w:rsidRDefault="00D35AAB" w:rsidP="00D35AAB">
      <w:pPr>
        <w:pStyle w:val="NormalCenter12a"/>
      </w:pPr>
      <w:r w:rsidRPr="001E323F">
        <w:lastRenderedPageBreak/>
        <w:t>°</w:t>
      </w:r>
    </w:p>
    <w:p w14:paraId="5E998250" w14:textId="77777777" w:rsidR="00D35AAB" w:rsidRPr="001E323F" w:rsidRDefault="00D35AAB" w:rsidP="00D35AAB">
      <w:pPr>
        <w:pStyle w:val="NormalCenter12a"/>
      </w:pPr>
      <w:r w:rsidRPr="001E323F">
        <w:t>°</w:t>
      </w:r>
      <w:r w:rsidRPr="001E323F">
        <w:tab/>
        <w:t>°</w:t>
      </w:r>
    </w:p>
    <w:p w14:paraId="42291493" w14:textId="69D0DA93" w:rsidR="001E323F" w:rsidRPr="001E323F" w:rsidRDefault="00D35AAB" w:rsidP="001E323F">
      <w:pPr>
        <w:pStyle w:val="NormalHanging12a"/>
      </w:pPr>
      <w:r w:rsidRPr="001E323F">
        <w:t>26.</w:t>
      </w:r>
      <w:r w:rsidRPr="001E323F">
        <w:tab/>
        <w:t>zobowiązuje swoją przewodniczącą do przekazania niniejszej rezolucji Radzie i Komisji oraz rządom i parlamentom państw członkowskich.</w:t>
      </w:r>
    </w:p>
    <w:p w14:paraId="11B3962E" w14:textId="160E9E31" w:rsidR="00E365E1" w:rsidRPr="001E323F" w:rsidRDefault="00E365E1" w:rsidP="009739E1"/>
    <w:sectPr w:rsidR="00E365E1" w:rsidRPr="001E323F" w:rsidSect="001E32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50652" w14:textId="77777777" w:rsidR="009739E1" w:rsidRPr="001E323F" w:rsidRDefault="009739E1">
      <w:r w:rsidRPr="001E323F">
        <w:separator/>
      </w:r>
    </w:p>
  </w:endnote>
  <w:endnote w:type="continuationSeparator" w:id="0">
    <w:p w14:paraId="12604C7C" w14:textId="77777777" w:rsidR="009739E1" w:rsidRPr="001E323F" w:rsidRDefault="009739E1">
      <w:r w:rsidRPr="001E3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8FBAE" w14:textId="77777777" w:rsidR="00064002" w:rsidRPr="001E32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65740" w14:textId="77777777" w:rsidR="00064002" w:rsidRPr="001E32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C31C" w14:textId="77777777" w:rsidR="00064002" w:rsidRPr="001E32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2FC6F" w14:textId="77777777" w:rsidR="009739E1" w:rsidRPr="001E323F" w:rsidRDefault="009739E1">
      <w:r w:rsidRPr="001E323F">
        <w:separator/>
      </w:r>
    </w:p>
  </w:footnote>
  <w:footnote w:type="continuationSeparator" w:id="0">
    <w:p w14:paraId="3B5B3AE6" w14:textId="77777777" w:rsidR="009739E1" w:rsidRPr="001E323F" w:rsidRDefault="009739E1">
      <w:r w:rsidRPr="001E323F">
        <w:continuationSeparator/>
      </w:r>
    </w:p>
  </w:footnote>
  <w:footnote w:id="1">
    <w:p w14:paraId="5460A1E3" w14:textId="47F8BD6B" w:rsidR="00D35AAB" w:rsidRPr="00FC03A8" w:rsidRDefault="00D35AAB" w:rsidP="001E323F">
      <w:pPr>
        <w:pStyle w:val="FootnoteText"/>
        <w:ind w:left="567" w:hanging="567"/>
        <w:rPr>
          <w:sz w:val="24"/>
          <w:lang w:val="fi-FI"/>
        </w:rPr>
      </w:pPr>
      <w:r w:rsidRPr="00FC03A8">
        <w:rPr>
          <w:sz w:val="24"/>
          <w:vertAlign w:val="superscript"/>
          <w:lang w:val="fi-FI"/>
        </w:rPr>
        <w:t>1</w:t>
      </w:r>
      <w:r w:rsidR="001E323F" w:rsidRPr="00FC03A8">
        <w:rPr>
          <w:sz w:val="24"/>
          <w:vertAlign w:val="superscript"/>
          <w:lang w:val="fi-FI"/>
        </w:rPr>
        <w:t xml:space="preserve"> </w:t>
      </w:r>
      <w:r w:rsidR="001E323F" w:rsidRPr="00FC03A8">
        <w:rPr>
          <w:sz w:val="24"/>
          <w:vertAlign w:val="superscript"/>
          <w:lang w:val="fi-FI"/>
        </w:rPr>
        <w:tab/>
      </w:r>
      <w:hyperlink r:id="rId1" w:tgtFrame="http://data.europa.eu/eli/reg/2024/1624/oj" w:history="1">
        <w:r w:rsidRPr="00FC03A8">
          <w:rPr>
            <w:rStyle w:val="Hyperlink"/>
            <w:sz w:val="24"/>
            <w:lang w:val="fi-FI"/>
          </w:rPr>
          <w:t>Dz.U. L, 2024/1624, 19.6.2024, ELI: http://data.europa.eu/eli/reg/2024/1624/oj.</w:t>
        </w:r>
      </w:hyperlink>
    </w:p>
  </w:footnote>
  <w:footnote w:id="2">
    <w:p w14:paraId="1A2F620D" w14:textId="64CE7065" w:rsidR="00D35AAB" w:rsidRPr="00FC03A8" w:rsidRDefault="00D35AAB" w:rsidP="001E323F">
      <w:pPr>
        <w:pStyle w:val="FootnoteText"/>
        <w:ind w:left="567" w:hanging="567"/>
        <w:rPr>
          <w:sz w:val="24"/>
          <w:lang w:val="fi-FI"/>
        </w:rPr>
      </w:pPr>
      <w:r w:rsidRPr="00FC03A8">
        <w:rPr>
          <w:sz w:val="24"/>
          <w:vertAlign w:val="superscript"/>
          <w:lang w:val="fi-FI"/>
        </w:rPr>
        <w:t>2</w:t>
      </w:r>
      <w:r w:rsidR="001E323F" w:rsidRPr="00FC03A8">
        <w:rPr>
          <w:sz w:val="24"/>
          <w:vertAlign w:val="superscript"/>
          <w:lang w:val="fi-FI"/>
        </w:rPr>
        <w:t xml:space="preserve"> </w:t>
      </w:r>
      <w:r w:rsidR="001E323F" w:rsidRPr="00FC03A8">
        <w:rPr>
          <w:sz w:val="24"/>
          <w:vertAlign w:val="superscript"/>
          <w:lang w:val="fi-FI"/>
        </w:rPr>
        <w:tab/>
      </w:r>
      <w:hyperlink r:id="rId2" w:tgtFrame="http://data.europa.eu/eli/reg/2024/1689/oj" w:history="1">
        <w:r w:rsidRPr="00FC03A8">
          <w:rPr>
            <w:rStyle w:val="Hyperlink"/>
            <w:sz w:val="24"/>
            <w:lang w:val="fi-FI"/>
          </w:rPr>
          <w:t>Dz.U. L, 2024/1689, 12.7.2024, ELI: http://data.europa.eu/eli/reg/2024/1689/oj.</w:t>
        </w:r>
      </w:hyperlink>
    </w:p>
  </w:footnote>
  <w:footnote w:id="3">
    <w:p w14:paraId="26D1455F" w14:textId="3BF51E02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3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333 z 27.12.2022, s. 1, ELI: http://data.europa.eu/eli/reg/2022/2554/oj.</w:t>
      </w:r>
    </w:p>
  </w:footnote>
  <w:footnote w:id="4">
    <w:p w14:paraId="455F0D47" w14:textId="4E0E3505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4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hyperlink r:id="rId3" w:tgtFrame="http://data.europa.eu/eli/reg/2016/679/oj" w:history="1">
        <w:r w:rsidRPr="001E323F">
          <w:rPr>
            <w:rStyle w:val="Hyperlink"/>
            <w:sz w:val="24"/>
            <w:lang w:val="pl-PL"/>
          </w:rPr>
          <w:t>Dz.U. L 119 z 4.5.2016, s. 1, ELI: http://data.europa.eu/eli/reg/2016/679/oj.</w:t>
        </w:r>
      </w:hyperlink>
    </w:p>
  </w:footnote>
  <w:footnote w:id="5">
    <w:p w14:paraId="6A8D265F" w14:textId="480C0E90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5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26 z 2.2.2016, s. 19, ELI: http://data.europa.eu/eli/dir/2016/97/oj.</w:t>
      </w:r>
    </w:p>
  </w:footnote>
  <w:footnote w:id="6">
    <w:p w14:paraId="4405F296" w14:textId="7A937669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6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173 z 12.6.2014, s. 84, ELI: http://data.europa.eu/eli/reg/2014/600/oj.</w:t>
      </w:r>
    </w:p>
  </w:footnote>
  <w:footnote w:id="7">
    <w:p w14:paraId="333849CC" w14:textId="5AE2C1E9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7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173 z 12.6.2014, s. 349, ELI: http://data.europa.eu/eli/dir/2014/65/oj.</w:t>
      </w:r>
    </w:p>
  </w:footnote>
  <w:footnote w:id="8">
    <w:p w14:paraId="1173E0C4" w14:textId="5790B2C7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8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176 z 27.6.2013, s. 1, ELI: http://data.europa.eu/eli/reg/2013/575/oj.</w:t>
      </w:r>
    </w:p>
  </w:footnote>
  <w:footnote w:id="9">
    <w:p w14:paraId="258287E3" w14:textId="30A48D96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9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176 z 27.6.2013, s. 338, ELI: http://data.europa.eu/eli/dir/2013/36/oj.</w:t>
      </w:r>
    </w:p>
  </w:footnote>
  <w:footnote w:id="10">
    <w:p w14:paraId="1BA3CA49" w14:textId="1371018C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10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 xml:space="preserve">Dz.U. L 174 z 1.7.2011, s. 1, ELI: </w:t>
      </w:r>
      <w:hyperlink r:id="rId4" w:tgtFrame="http://data.europa.eu/eli/dir/2011/61/oj" w:history="1">
        <w:r w:rsidRPr="001E323F">
          <w:rPr>
            <w:rStyle w:val="Hyperlink"/>
            <w:sz w:val="24"/>
            <w:lang w:val="pl-PL"/>
          </w:rPr>
          <w:t>http://data.europa.eu/eli/dir/2011/61/oj</w:t>
        </w:r>
      </w:hyperlink>
      <w:r w:rsidRPr="001E323F">
        <w:rPr>
          <w:sz w:val="24"/>
          <w:lang w:val="pl-PL"/>
        </w:rPr>
        <w:t>.</w:t>
      </w:r>
    </w:p>
  </w:footnote>
  <w:footnote w:id="11">
    <w:p w14:paraId="75941C8C" w14:textId="69F66D81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11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Dz.U. L 335 z 17.12.2009, s. 1, ELI: http://data.europa.eu/eli/dir/2009/138/oj.</w:t>
      </w:r>
    </w:p>
  </w:footnote>
  <w:footnote w:id="12">
    <w:p w14:paraId="4E181262" w14:textId="311F9060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12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 xml:space="preserve">Dz.U. L 302 z 17.11.2009, s. 32, ELI: </w:t>
      </w:r>
      <w:hyperlink r:id="rId5" w:tgtFrame="http://data.europa.eu/eli/dir/2009/65/oj" w:history="1">
        <w:r w:rsidRPr="001E323F">
          <w:rPr>
            <w:rStyle w:val="Hyperlink"/>
            <w:sz w:val="24"/>
            <w:lang w:val="pl-PL"/>
          </w:rPr>
          <w:t>http://data.europa.eu/eli/dir/2009/65/oj</w:t>
        </w:r>
      </w:hyperlink>
      <w:r w:rsidRPr="001E323F">
        <w:rPr>
          <w:sz w:val="24"/>
          <w:lang w:val="pl-PL"/>
        </w:rPr>
        <w:t>.</w:t>
      </w:r>
    </w:p>
  </w:footnote>
  <w:footnote w:id="13">
    <w:p w14:paraId="0C860642" w14:textId="49CE8B0A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13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 xml:space="preserve">Dz.U. L 337 z 23.12.2015, s. 35, ELI: </w:t>
      </w:r>
      <w:hyperlink r:id="rId6" w:tgtFrame="http://data.europa.eu/eli/dir/2015/2366/oj" w:history="1">
        <w:r w:rsidRPr="001E323F">
          <w:rPr>
            <w:rStyle w:val="Hyperlink"/>
            <w:sz w:val="24"/>
            <w:lang w:val="pl-PL"/>
          </w:rPr>
          <w:t>http://data.europa.eu/eli/dir/2015/2366/oj</w:t>
        </w:r>
      </w:hyperlink>
      <w:r w:rsidRPr="001E323F">
        <w:rPr>
          <w:sz w:val="24"/>
          <w:lang w:val="pl-PL"/>
        </w:rPr>
        <w:t>.</w:t>
      </w:r>
    </w:p>
  </w:footnote>
  <w:footnote w:id="14">
    <w:p w14:paraId="0CAABE7D" w14:textId="32FF8688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14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hyperlink r:id="rId7" w:tgtFrame="https://eur-lex.europa.eu/legal-content/EN/TXT/?uri=CELEX%3A52022IP0140&amp;qid=1747297485130" w:history="1">
        <w:r w:rsidRPr="001E323F">
          <w:rPr>
            <w:rStyle w:val="Hyperlink"/>
            <w:sz w:val="24"/>
            <w:lang w:val="pl-PL"/>
          </w:rPr>
          <w:t>Dz.U. C 465 z 6.12.2022, s. 65.</w:t>
        </w:r>
      </w:hyperlink>
    </w:p>
  </w:footnote>
  <w:footnote w:id="15">
    <w:p w14:paraId="0D5A70D8" w14:textId="0BA1D3CB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15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Kwestionariusz EUNB dotyczący oceny ryzyka, jesień 2024 r.; sprawozdanie EIOPA w sprawie cyfryzacji europejskiego sektora ubezpieczeń; sprawozdanie ESMA na temat sztucznej inteligencji w funduszach inwestycyjnych UE.</w:t>
      </w:r>
    </w:p>
  </w:footnote>
  <w:footnote w:id="16">
    <w:p w14:paraId="61A7C11E" w14:textId="669CDC7C" w:rsidR="00D35AAB" w:rsidRPr="001E323F" w:rsidRDefault="00D35AAB" w:rsidP="001E323F">
      <w:pPr>
        <w:pStyle w:val="FootnoteText"/>
        <w:ind w:left="567" w:hanging="567"/>
        <w:rPr>
          <w:sz w:val="24"/>
          <w:lang w:val="pl-PL"/>
        </w:rPr>
      </w:pPr>
      <w:r w:rsidRPr="001E323F">
        <w:rPr>
          <w:sz w:val="24"/>
          <w:vertAlign w:val="superscript"/>
          <w:lang w:val="pl-PL"/>
        </w:rPr>
        <w:t>16</w:t>
      </w:r>
      <w:r w:rsidR="001E323F" w:rsidRPr="001E323F">
        <w:rPr>
          <w:sz w:val="24"/>
          <w:vertAlign w:val="superscript"/>
          <w:lang w:val="pl-PL"/>
        </w:rPr>
        <w:t xml:space="preserve"> </w:t>
      </w:r>
      <w:r w:rsidR="001E323F" w:rsidRPr="001E323F">
        <w:rPr>
          <w:sz w:val="24"/>
          <w:vertAlign w:val="superscript"/>
          <w:lang w:val="pl-PL"/>
        </w:rPr>
        <w:tab/>
      </w:r>
      <w:r w:rsidRPr="001E323F">
        <w:rPr>
          <w:sz w:val="24"/>
          <w:lang w:val="pl-PL"/>
        </w:rPr>
        <w:t>przykładami przepisów sektorowych są między innymi, ale nie tylko: rozporządzenie w sprawie wymogów kapitałowych, dyrektywa w sprawie wymogów kapitałowych, dyrektywa Wypłacalność II, dyrektywa w sprawie dystrybucji ubezpieczeń, rozporządzenie w sprawie rynków instrumentów finansowych, dyrektywa w sprawie rynków instrumentów finansowych, akt w sprawie operacyjnej odporności cyfrowej, dyrektywa dotycząca zarządzających alternatywnymi funduszami inwestycyjnymi, dyrektywa UCITS i dyrektywa o usługach płatniczych, a także towarzyszące im wytyczne i regulacyjne standardy techniczne europejskich agencji nadzoru.</w:t>
      </w:r>
    </w:p>
  </w:footnote>
  <w:footnote w:id="17">
    <w:p w14:paraId="7BA89401" w14:textId="23AAC654" w:rsidR="00D35AAB" w:rsidRPr="00FC03A8" w:rsidRDefault="00D35AAB" w:rsidP="001E323F">
      <w:pPr>
        <w:pStyle w:val="FootnoteText"/>
        <w:ind w:left="567" w:hanging="567"/>
        <w:rPr>
          <w:sz w:val="24"/>
          <w:lang w:val="en-GB"/>
        </w:rPr>
      </w:pPr>
      <w:r w:rsidRPr="00FC03A8">
        <w:rPr>
          <w:sz w:val="24"/>
          <w:vertAlign w:val="superscript"/>
          <w:lang w:val="en-GB"/>
        </w:rPr>
        <w:t>17</w:t>
      </w:r>
      <w:r w:rsidR="001E323F" w:rsidRPr="00FC03A8">
        <w:rPr>
          <w:sz w:val="24"/>
          <w:vertAlign w:val="superscript"/>
          <w:lang w:val="en-GB"/>
        </w:rPr>
        <w:t xml:space="preserve"> </w:t>
      </w:r>
      <w:r w:rsidR="001E323F" w:rsidRPr="00FC03A8">
        <w:rPr>
          <w:sz w:val="24"/>
          <w:vertAlign w:val="superscript"/>
          <w:lang w:val="en-GB"/>
        </w:rPr>
        <w:tab/>
      </w:r>
      <w:r w:rsidRPr="00FC03A8">
        <w:rPr>
          <w:sz w:val="24"/>
          <w:lang w:val="en-GB"/>
        </w:rPr>
        <w:t>Christine Lagarde, „The transformative power of AI”, 2025, https://www.ecb.europa.eu/press/key/date/2025/html/ecb.sp250401_1~d6c9d8df11.en.html.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356DC" w14:textId="77777777" w:rsidR="00064002" w:rsidRPr="001E32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D7B0" w14:textId="77777777" w:rsidR="00064002" w:rsidRPr="001E32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68D9D" w14:textId="77777777" w:rsidR="00064002" w:rsidRPr="001E32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700343">
    <w:abstractNumId w:val="9"/>
  </w:num>
  <w:num w:numId="2" w16cid:durableId="2114812617">
    <w:abstractNumId w:val="9"/>
  </w:num>
  <w:num w:numId="3" w16cid:durableId="1964730630">
    <w:abstractNumId w:val="7"/>
  </w:num>
  <w:num w:numId="4" w16cid:durableId="205029188">
    <w:abstractNumId w:val="7"/>
  </w:num>
  <w:num w:numId="5" w16cid:durableId="2142141179">
    <w:abstractNumId w:val="6"/>
  </w:num>
  <w:num w:numId="6" w16cid:durableId="1455632100">
    <w:abstractNumId w:val="6"/>
  </w:num>
  <w:num w:numId="7" w16cid:durableId="990140085">
    <w:abstractNumId w:val="5"/>
  </w:num>
  <w:num w:numId="8" w16cid:durableId="713505494">
    <w:abstractNumId w:val="5"/>
  </w:num>
  <w:num w:numId="9" w16cid:durableId="481822261">
    <w:abstractNumId w:val="4"/>
  </w:num>
  <w:num w:numId="10" w16cid:durableId="965434124">
    <w:abstractNumId w:val="4"/>
  </w:num>
  <w:num w:numId="11" w16cid:durableId="1148866596">
    <w:abstractNumId w:val="8"/>
  </w:num>
  <w:num w:numId="12" w16cid:durableId="1075469307">
    <w:abstractNumId w:val="8"/>
  </w:num>
  <w:num w:numId="13" w16cid:durableId="509444068">
    <w:abstractNumId w:val="3"/>
  </w:num>
  <w:num w:numId="14" w16cid:durableId="1420757088">
    <w:abstractNumId w:val="3"/>
  </w:num>
  <w:num w:numId="15" w16cid:durableId="780565453">
    <w:abstractNumId w:val="2"/>
  </w:num>
  <w:num w:numId="16" w16cid:durableId="1324506986">
    <w:abstractNumId w:val="2"/>
  </w:num>
  <w:num w:numId="17" w16cid:durableId="1160584445">
    <w:abstractNumId w:val="1"/>
  </w:num>
  <w:num w:numId="18" w16cid:durableId="1694649302">
    <w:abstractNumId w:val="1"/>
  </w:num>
  <w:num w:numId="19" w16cid:durableId="546336706">
    <w:abstractNumId w:val="0"/>
  </w:num>
  <w:num w:numId="20" w16cid:durableId="1751922391">
    <w:abstractNumId w:val="0"/>
  </w:num>
  <w:num w:numId="21" w16cid:durableId="367418361">
    <w:abstractNumId w:val="9"/>
  </w:num>
  <w:num w:numId="22" w16cid:durableId="183835960">
    <w:abstractNumId w:val="7"/>
  </w:num>
  <w:num w:numId="23" w16cid:durableId="1726249947">
    <w:abstractNumId w:val="6"/>
  </w:num>
  <w:num w:numId="24" w16cid:durableId="1660426498">
    <w:abstractNumId w:val="5"/>
  </w:num>
  <w:num w:numId="25" w16cid:durableId="1036193691">
    <w:abstractNumId w:val="4"/>
  </w:num>
  <w:num w:numId="26" w16cid:durableId="1103068961">
    <w:abstractNumId w:val="8"/>
  </w:num>
  <w:num w:numId="27" w16cid:durableId="1601373686">
    <w:abstractNumId w:val="3"/>
  </w:num>
  <w:num w:numId="28" w16cid:durableId="107698460">
    <w:abstractNumId w:val="2"/>
  </w:num>
  <w:num w:numId="29" w16cid:durableId="2044551221">
    <w:abstractNumId w:val="1"/>
  </w:num>
  <w:num w:numId="30" w16cid:durableId="213085616">
    <w:abstractNumId w:val="0"/>
  </w:num>
  <w:num w:numId="31" w16cid:durableId="1472601353">
    <w:abstractNumId w:val="9"/>
  </w:num>
  <w:num w:numId="32" w16cid:durableId="1526941851">
    <w:abstractNumId w:val="7"/>
  </w:num>
  <w:num w:numId="33" w16cid:durableId="839124875">
    <w:abstractNumId w:val="6"/>
  </w:num>
  <w:num w:numId="34" w16cid:durableId="1252858702">
    <w:abstractNumId w:val="5"/>
  </w:num>
  <w:num w:numId="35" w16cid:durableId="1627002956">
    <w:abstractNumId w:val="4"/>
  </w:num>
  <w:num w:numId="36" w16cid:durableId="1934628628">
    <w:abstractNumId w:val="8"/>
  </w:num>
  <w:num w:numId="37" w16cid:durableId="473450414">
    <w:abstractNumId w:val="3"/>
  </w:num>
  <w:num w:numId="38" w16cid:durableId="745146949">
    <w:abstractNumId w:val="2"/>
  </w:num>
  <w:num w:numId="39" w16cid:durableId="1461338942">
    <w:abstractNumId w:val="1"/>
  </w:num>
  <w:num w:numId="40" w16cid:durableId="48847064">
    <w:abstractNumId w:val="0"/>
  </w:num>
  <w:num w:numId="41" w16cid:durableId="296182734">
    <w:abstractNumId w:val="10"/>
  </w:num>
  <w:num w:numId="42" w16cid:durableId="2070112745">
    <w:abstractNumId w:val="10"/>
  </w:num>
  <w:num w:numId="43" w16cid:durableId="1692758490">
    <w:abstractNumId w:val="10"/>
  </w:num>
  <w:num w:numId="44" w16cid:durableId="3442869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5/2025"/>
    <w:docVar w:name="dvlangue" w:val="PL"/>
    <w:docVar w:name="dvnumam" w:val="0"/>
    <w:docVar w:name="dvpe" w:val="773.328"/>
    <w:docVar w:name="dvrapporteur" w:val="Sprawozdawca: "/>
    <w:docVar w:name="dvtitre" w:val="Rezolucja Parlamentu Europejskiego z dnia  2025 r. w sprawie wpływu sztucznej inteligencji na sektor finansowy(2025/2056(INI))"/>
  </w:docVars>
  <w:rsids>
    <w:rsidRoot w:val="009739E1"/>
    <w:rsid w:val="00002272"/>
    <w:rsid w:val="00064002"/>
    <w:rsid w:val="000677B9"/>
    <w:rsid w:val="000831BA"/>
    <w:rsid w:val="000A42CC"/>
    <w:rsid w:val="000E7DD9"/>
    <w:rsid w:val="0010095E"/>
    <w:rsid w:val="00125B37"/>
    <w:rsid w:val="00157649"/>
    <w:rsid w:val="00187494"/>
    <w:rsid w:val="001E323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9E1"/>
    <w:rsid w:val="00981893"/>
    <w:rsid w:val="009F2FBB"/>
    <w:rsid w:val="00A1687D"/>
    <w:rsid w:val="00A43E52"/>
    <w:rsid w:val="00A4678D"/>
    <w:rsid w:val="00A5445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AA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3A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51BB1"/>
  <w15:chartTrackingRefBased/>
  <w15:docId w15:val="{4EC951CB-996C-43A6-9A0E-BEAF4B63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35AA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35AA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35AAB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35AA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35AA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35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6/679/oj" TargetMode="External"/><Relationship Id="rId7" Type="http://schemas.openxmlformats.org/officeDocument/2006/relationships/hyperlink" Target="https://eur-lex.europa.eu/legal-content/EN/TXT/?uri=CELEX%3A52022IP0140&amp;qid=1747297485130" TargetMode="External"/><Relationship Id="rId2" Type="http://schemas.openxmlformats.org/officeDocument/2006/relationships/hyperlink" Target="http://data.europa.eu/eli/reg/2024/1689/oj" TargetMode="External"/><Relationship Id="rId1" Type="http://schemas.openxmlformats.org/officeDocument/2006/relationships/hyperlink" Target="http://data.europa.eu/eli/reg/2024/1624/oj" TargetMode="External"/><Relationship Id="rId6" Type="http://schemas.openxmlformats.org/officeDocument/2006/relationships/hyperlink" Target="http://data.europa.eu/eli/dir/2015/2366/oj" TargetMode="External"/><Relationship Id="rId5" Type="http://schemas.openxmlformats.org/officeDocument/2006/relationships/hyperlink" Target="http://data.europa.eu/eli/dir/2009/65/oj" TargetMode="External"/><Relationship Id="rId4" Type="http://schemas.openxmlformats.org/officeDocument/2006/relationships/hyperlink" Target="http://data.europa.eu/eli/dir/2011/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3713</Words>
  <Characters>25798</Characters>
  <Application>Microsoft Office Word</Application>
  <DocSecurity>0</DocSecurity>
  <Lines>214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2025-11-25T16:14:00Z</dcterms:created>
  <dcterms:modified xsi:type="dcterms:W3CDTF">2025-11-25T16:14:00Z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A10-0225/2025</vt:lpwstr>
  </property>
  <property fmtid="{D5CDD505-2E9C-101B-9397-08002B2CF9AE}" pid="4" name="&lt;Type&gt;">
    <vt:lpwstr>RR</vt:lpwstr>
  </property>
</Properties>
</file>