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71EB" w14:paraId="6B89FC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363702" w14:textId="77777777" w:rsidR="00751A4A" w:rsidRPr="00EB71EB" w:rsidRDefault="007E4414" w:rsidP="0010095E">
            <w:pPr>
              <w:pStyle w:val="EPName"/>
            </w:pPr>
            <w:r w:rsidRPr="00EB71EB">
              <w:t>Európsky parlament</w:t>
            </w:r>
          </w:p>
          <w:p w14:paraId="5DE943CE" w14:textId="77777777" w:rsidR="00751A4A" w:rsidRPr="00EB71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71EB">
              <w:t>2024</w:t>
            </w:r>
            <w:r w:rsidR="00817416" w:rsidRPr="00EB71EB">
              <w:t>-202</w:t>
            </w:r>
            <w:r w:rsidRPr="00EB71EB">
              <w:t>9</w:t>
            </w:r>
          </w:p>
        </w:tc>
        <w:tc>
          <w:tcPr>
            <w:tcW w:w="2268" w:type="dxa"/>
            <w:shd w:val="clear" w:color="auto" w:fill="auto"/>
          </w:tcPr>
          <w:p w14:paraId="58DB2E3F" w14:textId="77777777" w:rsidR="00751A4A" w:rsidRPr="00EB71EB" w:rsidRDefault="00187494" w:rsidP="0010095E">
            <w:pPr>
              <w:pStyle w:val="EPLogo"/>
            </w:pPr>
            <w:r w:rsidRPr="00EB71EB">
              <w:rPr>
                <w:noProof/>
                <w:lang w:eastAsia="ja-JP"/>
              </w:rPr>
              <w:drawing>
                <wp:inline distT="0" distB="0" distL="0" distR="0" wp14:anchorId="090B9629" wp14:editId="1C8C4F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25819" w14:textId="77777777" w:rsidR="00D058B8" w:rsidRPr="00EB71EB" w:rsidRDefault="00D058B8" w:rsidP="004C5D52">
      <w:pPr>
        <w:pStyle w:val="LineTop"/>
      </w:pPr>
    </w:p>
    <w:p w14:paraId="7FEA84C7" w14:textId="77777777" w:rsidR="00680577" w:rsidRPr="00EB71EB" w:rsidRDefault="007E4414" w:rsidP="00680577">
      <w:pPr>
        <w:pStyle w:val="EPBodyTA1"/>
      </w:pPr>
      <w:r w:rsidRPr="00EB71EB">
        <w:t>PRIJATÉ TEXTY</w:t>
      </w:r>
    </w:p>
    <w:p w14:paraId="62F4D45B" w14:textId="77777777" w:rsidR="00D058B8" w:rsidRPr="00EB71EB" w:rsidRDefault="00D058B8" w:rsidP="00D058B8">
      <w:pPr>
        <w:pStyle w:val="LineBottom"/>
      </w:pPr>
    </w:p>
    <w:p w14:paraId="65838FE2" w14:textId="2755920D" w:rsidR="007E4414" w:rsidRPr="00EB71EB" w:rsidRDefault="007E4414" w:rsidP="007E4414">
      <w:pPr>
        <w:pStyle w:val="ATHeading1"/>
      </w:pPr>
      <w:bookmarkStart w:id="0" w:name="TANumber"/>
      <w:r w:rsidRPr="00EB71EB">
        <w:t>P10_TA(2025)0</w:t>
      </w:r>
      <w:r w:rsidR="00EB71EB" w:rsidRPr="00EB71EB">
        <w:t>286</w:t>
      </w:r>
      <w:bookmarkEnd w:id="0"/>
    </w:p>
    <w:p w14:paraId="0333AF5E" w14:textId="77777777" w:rsidR="007E4414" w:rsidRPr="00EB71EB" w:rsidRDefault="007E4414" w:rsidP="007E4414">
      <w:pPr>
        <w:pStyle w:val="ATHeading2"/>
      </w:pPr>
      <w:bookmarkStart w:id="1" w:name="title"/>
      <w:r w:rsidRPr="00EB71EB">
        <w:t>Vplyv umelej inteligencie na finančný sektor</w:t>
      </w:r>
      <w:bookmarkEnd w:id="1"/>
    </w:p>
    <w:p w14:paraId="70DB4997" w14:textId="77777777" w:rsidR="007E4414" w:rsidRPr="00EB71EB" w:rsidRDefault="007E4414" w:rsidP="007E4414">
      <w:pPr>
        <w:rPr>
          <w:i/>
          <w:vanish/>
        </w:rPr>
      </w:pPr>
      <w:r w:rsidRPr="00EB71EB">
        <w:rPr>
          <w:i/>
        </w:rPr>
        <w:fldChar w:fldCharType="begin"/>
      </w:r>
      <w:r w:rsidRPr="00EB71EB">
        <w:rPr>
          <w:i/>
        </w:rPr>
        <w:instrText xml:space="preserve"> TC"(</w:instrText>
      </w:r>
      <w:bookmarkStart w:id="2" w:name="DocNumber"/>
      <w:r w:rsidRPr="00EB71EB">
        <w:rPr>
          <w:i/>
        </w:rPr>
        <w:instrText>A10-0225/2025</w:instrText>
      </w:r>
      <w:bookmarkEnd w:id="2"/>
      <w:r w:rsidRPr="00EB71EB">
        <w:rPr>
          <w:i/>
        </w:rPr>
        <w:instrText xml:space="preserve"> - Spravodajkyňa: Arba Kokalari)"\l3 \n&gt; \* MERGEFORMAT </w:instrText>
      </w:r>
      <w:r w:rsidRPr="00EB71EB">
        <w:rPr>
          <w:i/>
        </w:rPr>
        <w:fldChar w:fldCharType="end"/>
      </w:r>
    </w:p>
    <w:p w14:paraId="27A318A6" w14:textId="77777777" w:rsidR="007E4414" w:rsidRPr="00EB71EB" w:rsidRDefault="007E4414" w:rsidP="007E4414">
      <w:pPr>
        <w:rPr>
          <w:vanish/>
        </w:rPr>
      </w:pPr>
      <w:bookmarkStart w:id="3" w:name="Commission"/>
      <w:r w:rsidRPr="00EB71EB">
        <w:rPr>
          <w:vanish/>
        </w:rPr>
        <w:t>Výbor pre hospodárske a menové veci</w:t>
      </w:r>
      <w:bookmarkEnd w:id="3"/>
    </w:p>
    <w:p w14:paraId="36F56D59" w14:textId="77777777" w:rsidR="007E4414" w:rsidRPr="00EB71EB" w:rsidRDefault="007E4414" w:rsidP="007E4414">
      <w:pPr>
        <w:rPr>
          <w:vanish/>
        </w:rPr>
      </w:pPr>
      <w:bookmarkStart w:id="4" w:name="PE"/>
      <w:r w:rsidRPr="00EB71EB">
        <w:rPr>
          <w:vanish/>
        </w:rPr>
        <w:t>PE773.328</w:t>
      </w:r>
      <w:bookmarkEnd w:id="4"/>
    </w:p>
    <w:p w14:paraId="0070CF65" w14:textId="236A084E" w:rsidR="007E4414" w:rsidRPr="00EB71EB" w:rsidRDefault="007E4414" w:rsidP="007E4414">
      <w:pPr>
        <w:pStyle w:val="ATHeading3"/>
      </w:pPr>
      <w:bookmarkStart w:id="5" w:name="Sujet"/>
      <w:r w:rsidRPr="00EB71EB">
        <w:t>Uznesenie Európskeho parlamentu z</w:t>
      </w:r>
      <w:r w:rsidR="00EB71EB" w:rsidRPr="00EB71EB">
        <w:t> 25</w:t>
      </w:r>
      <w:r w:rsidRPr="00EB71EB">
        <w:t>. novembra 2025 o vplyve umelej inteligencie na finančný sektor</w:t>
      </w:r>
      <w:bookmarkEnd w:id="5"/>
      <w:r w:rsidRPr="00EB71EB">
        <w:t xml:space="preserve"> </w:t>
      </w:r>
      <w:bookmarkStart w:id="6" w:name="References"/>
      <w:r w:rsidRPr="00EB71EB">
        <w:t>(2025/2056(INI))</w:t>
      </w:r>
      <w:bookmarkEnd w:id="6"/>
    </w:p>
    <w:p w14:paraId="27C5B1D1" w14:textId="77777777" w:rsidR="004F0997" w:rsidRPr="00EB71EB" w:rsidRDefault="004F0997" w:rsidP="004F0997">
      <w:pPr>
        <w:pStyle w:val="Normal12"/>
      </w:pPr>
      <w:r w:rsidRPr="00EB71EB">
        <w:rPr>
          <w:i/>
        </w:rPr>
        <w:t>Európsky parlament</w:t>
      </w:r>
      <w:r w:rsidRPr="00EB71EB">
        <w:t>,</w:t>
      </w:r>
    </w:p>
    <w:p w14:paraId="66436FD9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oznámenie Komisie z 9. apríla 2025 s názvom Akčný plán pre kontinent umelej inteligencie (COM(2025)0165),</w:t>
      </w:r>
    </w:p>
    <w:p w14:paraId="4426B844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oznámenie Komisie z 24. septembra 2020 o stratégii v oblasti digitálnych financií pre EÚ (COM(2020)0591),</w:t>
      </w:r>
    </w:p>
    <w:p w14:paraId="1C77D9C7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správu Európskeho orgánu pre cenné papiere a trhy (ESMA) z 25. februára 2025 s názvom Umelá inteligencia v investičných fondoch EÚ: prijatie, stratégie a portfólio expozícií,</w:t>
      </w:r>
    </w:p>
    <w:p w14:paraId="3CEA6F4D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verejné vyhlásenie orgánu ESMA z 30. mája 2024 o používaní umelej inteligencie pri poskytovaní </w:t>
      </w:r>
      <w:proofErr w:type="spellStart"/>
      <w:r w:rsidRPr="00EB71EB">
        <w:t>retailových</w:t>
      </w:r>
      <w:proofErr w:type="spellEnd"/>
      <w:r w:rsidRPr="00EB71EB">
        <w:t xml:space="preserve"> investičných služieb,</w:t>
      </w:r>
    </w:p>
    <w:p w14:paraId="08BCA5CF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správu Európskeho orgánu pre poisťovníctvo a dôchodkové poistenie zamestnancov (EIOPA) z 10. februára 2025 s názvom Posúdenie vplyvu stanoviska orgánu EIOPA k riadeniu umelej inteligencie a riadeniu rizík,</w:t>
      </w:r>
    </w:p>
    <w:p w14:paraId="48319897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správu orgánu EIOPA z 30. apríla 2024 s názvom Správa o digitalizácii európskeho poisťovníctva,</w:t>
      </w:r>
    </w:p>
    <w:p w14:paraId="31B7C102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správu Európskeho orgánu pre bankovníctvo (EBA) z 29. novembra 2024 s názvom Risk </w:t>
      </w:r>
      <w:proofErr w:type="spellStart"/>
      <w:r w:rsidRPr="00EB71EB">
        <w:t>Assessment</w:t>
      </w:r>
      <w:proofErr w:type="spellEnd"/>
      <w:r w:rsidRPr="00EB71EB">
        <w:t xml:space="preserve"> </w:t>
      </w:r>
      <w:proofErr w:type="spellStart"/>
      <w:r w:rsidRPr="00EB71EB">
        <w:t>Questionnaire</w:t>
      </w:r>
      <w:proofErr w:type="spellEnd"/>
      <w:r w:rsidRPr="00EB71EB">
        <w:t>, RAQ (Dotazník na hodnotenie rizík), jeseň 2024,</w:t>
      </w:r>
    </w:p>
    <w:p w14:paraId="71742FA2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správu orgánu EBA zo 4. augusta 2023 s názvom </w:t>
      </w:r>
      <w:proofErr w:type="spellStart"/>
      <w:r w:rsidRPr="00EB71EB">
        <w:t>Machine</w:t>
      </w:r>
      <w:proofErr w:type="spellEnd"/>
      <w:r w:rsidRPr="00EB71EB">
        <w:t xml:space="preserve"> </w:t>
      </w:r>
      <w:proofErr w:type="spellStart"/>
      <w:r w:rsidRPr="00EB71EB">
        <w:t>learning</w:t>
      </w:r>
      <w:proofErr w:type="spellEnd"/>
      <w:r w:rsidRPr="00EB71EB">
        <w:t xml:space="preserve"> </w:t>
      </w:r>
      <w:proofErr w:type="spellStart"/>
      <w:r w:rsidRPr="00EB71EB">
        <w:t>for</w:t>
      </w:r>
      <w:proofErr w:type="spellEnd"/>
      <w:r w:rsidRPr="00EB71EB">
        <w:t xml:space="preserve"> </w:t>
      </w:r>
      <w:proofErr w:type="spellStart"/>
      <w:r w:rsidRPr="00EB71EB">
        <w:t>internal</w:t>
      </w:r>
      <w:proofErr w:type="spellEnd"/>
      <w:r w:rsidRPr="00EB71EB">
        <w:t xml:space="preserve"> rating-</w:t>
      </w:r>
      <w:proofErr w:type="spellStart"/>
      <w:r w:rsidRPr="00EB71EB">
        <w:t>based</w:t>
      </w:r>
      <w:proofErr w:type="spellEnd"/>
      <w:r w:rsidRPr="00EB71EB">
        <w:t xml:space="preserve"> </w:t>
      </w:r>
      <w:proofErr w:type="spellStart"/>
      <w:r w:rsidRPr="00EB71EB">
        <w:t>models</w:t>
      </w:r>
      <w:proofErr w:type="spellEnd"/>
      <w:r w:rsidRPr="00EB71EB">
        <w:t xml:space="preserve"> (Strojové učenie pre modely na základe interných ratingov),</w:t>
      </w:r>
    </w:p>
    <w:p w14:paraId="115445C0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článok Elizabeth </w:t>
      </w:r>
      <w:proofErr w:type="spellStart"/>
      <w:r w:rsidRPr="00EB71EB">
        <w:t>McCaulovej</w:t>
      </w:r>
      <w:proofErr w:type="spellEnd"/>
      <w:r w:rsidRPr="00EB71EB">
        <w:t xml:space="preserve">, členky Rady pre dohľad Európskej centrálnej banky (ECB), z 26. februára 2024 s názvom </w:t>
      </w:r>
      <w:proofErr w:type="spellStart"/>
      <w:r w:rsidRPr="00EB71EB">
        <w:t>From</w:t>
      </w:r>
      <w:proofErr w:type="spellEnd"/>
      <w:r w:rsidRPr="00EB71EB">
        <w:t xml:space="preserve"> </w:t>
      </w:r>
      <w:proofErr w:type="spellStart"/>
      <w:r w:rsidRPr="00EB71EB">
        <w:t>data</w:t>
      </w:r>
      <w:proofErr w:type="spellEnd"/>
      <w:r w:rsidRPr="00EB71EB">
        <w:t xml:space="preserve"> to </w:t>
      </w:r>
      <w:proofErr w:type="spellStart"/>
      <w:r w:rsidRPr="00EB71EB">
        <w:t>decisions</w:t>
      </w:r>
      <w:proofErr w:type="spellEnd"/>
      <w:r w:rsidRPr="00EB71EB">
        <w:t xml:space="preserve">: AI and </w:t>
      </w:r>
      <w:proofErr w:type="spellStart"/>
      <w:r w:rsidRPr="00EB71EB">
        <w:t>supervision</w:t>
      </w:r>
      <w:proofErr w:type="spellEnd"/>
      <w:r w:rsidRPr="00EB71EB">
        <w:t xml:space="preserve"> (Od údajov k rozhodnutiam: umelá inteligencia a dohľad),</w:t>
      </w:r>
    </w:p>
    <w:p w14:paraId="69049FCE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publikáciu ECB zo 7. mája 2024 s názvom Umelá inteligencia na vzostupe: prínosy a riziká pre finančnú stabilitu,</w:t>
      </w:r>
    </w:p>
    <w:p w14:paraId="71737F7E" w14:textId="77777777" w:rsidR="004F0997" w:rsidRPr="00EB71EB" w:rsidRDefault="004F0997" w:rsidP="004F0997">
      <w:pPr>
        <w:pStyle w:val="NormalHanging"/>
      </w:pPr>
      <w:r w:rsidRPr="00EB71EB">
        <w:lastRenderedPageBreak/>
        <w:t>–</w:t>
      </w:r>
      <w:r w:rsidRPr="00EB71EB">
        <w:tab/>
        <w:t xml:space="preserve">so zreteľom na pracovný dokument Organizácie pre hospodársku spoluprácu a rozvoj z 15. decembra 2023 s názvom </w:t>
      </w:r>
      <w:proofErr w:type="spellStart"/>
      <w:r w:rsidRPr="00EB71EB">
        <w:t>Generative</w:t>
      </w:r>
      <w:proofErr w:type="spellEnd"/>
      <w:r w:rsidRPr="00EB71EB">
        <w:t xml:space="preserve"> </w:t>
      </w:r>
      <w:proofErr w:type="spellStart"/>
      <w:r w:rsidRPr="00EB71EB">
        <w:t>Artificial</w:t>
      </w:r>
      <w:proofErr w:type="spellEnd"/>
      <w:r w:rsidRPr="00EB71EB">
        <w:t xml:space="preserve"> </w:t>
      </w:r>
      <w:proofErr w:type="spellStart"/>
      <w:r w:rsidRPr="00EB71EB">
        <w:t>Intelligence</w:t>
      </w:r>
      <w:proofErr w:type="spellEnd"/>
      <w:r w:rsidRPr="00EB71EB">
        <w:t xml:space="preserve"> in </w:t>
      </w:r>
      <w:proofErr w:type="spellStart"/>
      <w:r w:rsidRPr="00EB71EB">
        <w:t>finance</w:t>
      </w:r>
      <w:proofErr w:type="spellEnd"/>
      <w:r w:rsidRPr="00EB71EB">
        <w:t xml:space="preserve"> (Generatívna umelá inteligencia vo finančníctve),</w:t>
      </w:r>
    </w:p>
    <w:p w14:paraId="76EF06EC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správu Banky pre medzinárodné zúčtovanie z 12. decembra 2024 s názvom Regulácia umelej inteligencie vo finančnom sektore: najnovší vývoj a hlavné výzvy,</w:t>
      </w:r>
    </w:p>
    <w:p w14:paraId="4AE97934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správu Banky pre medzinárodné zúčtovanie z 13. júna 2024 s názvom </w:t>
      </w:r>
      <w:proofErr w:type="spellStart"/>
      <w:r w:rsidRPr="00EB71EB">
        <w:t>Intelligent</w:t>
      </w:r>
      <w:proofErr w:type="spellEnd"/>
      <w:r w:rsidRPr="00EB71EB">
        <w:t xml:space="preserve"> </w:t>
      </w:r>
      <w:proofErr w:type="spellStart"/>
      <w:r w:rsidRPr="00EB71EB">
        <w:t>financial</w:t>
      </w:r>
      <w:proofErr w:type="spellEnd"/>
      <w:r w:rsidRPr="00EB71EB">
        <w:t xml:space="preserve"> </w:t>
      </w:r>
      <w:proofErr w:type="spellStart"/>
      <w:r w:rsidRPr="00EB71EB">
        <w:t>system</w:t>
      </w:r>
      <w:proofErr w:type="spellEnd"/>
      <w:r w:rsidRPr="00EB71EB">
        <w:t xml:space="preserve">: </w:t>
      </w:r>
      <w:proofErr w:type="spellStart"/>
      <w:r w:rsidRPr="00EB71EB">
        <w:t>how</w:t>
      </w:r>
      <w:proofErr w:type="spellEnd"/>
      <w:r w:rsidRPr="00EB71EB">
        <w:t xml:space="preserve"> AI </w:t>
      </w:r>
      <w:proofErr w:type="spellStart"/>
      <w:r w:rsidRPr="00EB71EB">
        <w:t>is</w:t>
      </w:r>
      <w:proofErr w:type="spellEnd"/>
      <w:r w:rsidRPr="00EB71EB">
        <w:t xml:space="preserve"> </w:t>
      </w:r>
      <w:proofErr w:type="spellStart"/>
      <w:r w:rsidRPr="00EB71EB">
        <w:t>transforming</w:t>
      </w:r>
      <w:proofErr w:type="spellEnd"/>
      <w:r w:rsidRPr="00EB71EB">
        <w:t xml:space="preserve"> </w:t>
      </w:r>
      <w:proofErr w:type="spellStart"/>
      <w:r w:rsidRPr="00EB71EB">
        <w:t>finance</w:t>
      </w:r>
      <w:proofErr w:type="spellEnd"/>
      <w:r w:rsidRPr="00EB71EB">
        <w:t xml:space="preserve"> (Inteligentný finančný systém: ako umelá inteligencia transformuje finančníctvo),</w:t>
      </w:r>
    </w:p>
    <w:p w14:paraId="79DBA843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správu skupiny expertov na vysokej úrovni pre skupinu G7 z 19. decembra 2024 s názvom </w:t>
      </w:r>
      <w:proofErr w:type="spellStart"/>
      <w:r w:rsidRPr="00EB71EB">
        <w:t>Artificial</w:t>
      </w:r>
      <w:proofErr w:type="spellEnd"/>
      <w:r w:rsidRPr="00EB71EB">
        <w:t xml:space="preserve"> </w:t>
      </w:r>
      <w:proofErr w:type="spellStart"/>
      <w:r w:rsidRPr="00EB71EB">
        <w:t>Intelligence</w:t>
      </w:r>
      <w:proofErr w:type="spellEnd"/>
      <w:r w:rsidRPr="00EB71EB">
        <w:t xml:space="preserve"> and </w:t>
      </w:r>
      <w:proofErr w:type="spellStart"/>
      <w:r w:rsidRPr="00EB71EB">
        <w:t>Economic</w:t>
      </w:r>
      <w:proofErr w:type="spellEnd"/>
      <w:r w:rsidRPr="00EB71EB">
        <w:t xml:space="preserve"> and </w:t>
      </w:r>
      <w:proofErr w:type="spellStart"/>
      <w:r w:rsidRPr="00EB71EB">
        <w:t>Financial</w:t>
      </w:r>
      <w:proofErr w:type="spellEnd"/>
      <w:r w:rsidRPr="00EB71EB">
        <w:t xml:space="preserve"> </w:t>
      </w:r>
      <w:proofErr w:type="spellStart"/>
      <w:r w:rsidRPr="00EB71EB">
        <w:t>Policy</w:t>
      </w:r>
      <w:proofErr w:type="spellEnd"/>
      <w:r w:rsidRPr="00EB71EB">
        <w:t xml:space="preserve"> </w:t>
      </w:r>
      <w:proofErr w:type="spellStart"/>
      <w:r w:rsidRPr="00EB71EB">
        <w:t>Making</w:t>
      </w:r>
      <w:proofErr w:type="spellEnd"/>
      <w:r w:rsidRPr="00EB71EB">
        <w:t xml:space="preserve"> (Umelá inteligencia a tvorba hospodárskej a finančnej politiky),</w:t>
      </w:r>
    </w:p>
    <w:p w14:paraId="7AD31383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správu Rady pre finančnú stabilitu zo 14. novembra 2024 s názvom </w:t>
      </w:r>
      <w:proofErr w:type="spellStart"/>
      <w:r w:rsidRPr="00EB71EB">
        <w:t>Financial</w:t>
      </w:r>
      <w:proofErr w:type="spellEnd"/>
      <w:r w:rsidRPr="00EB71EB">
        <w:t xml:space="preserve"> Stability </w:t>
      </w:r>
      <w:proofErr w:type="spellStart"/>
      <w:r w:rsidRPr="00EB71EB">
        <w:t>Implications</w:t>
      </w:r>
      <w:proofErr w:type="spellEnd"/>
      <w:r w:rsidRPr="00EB71EB">
        <w:t xml:space="preserve"> of </w:t>
      </w:r>
      <w:proofErr w:type="spellStart"/>
      <w:r w:rsidRPr="00EB71EB">
        <w:t>Artificial</w:t>
      </w:r>
      <w:proofErr w:type="spellEnd"/>
      <w:r w:rsidRPr="00EB71EB">
        <w:t xml:space="preserve"> </w:t>
      </w:r>
      <w:proofErr w:type="spellStart"/>
      <w:r w:rsidRPr="00EB71EB">
        <w:t>Intelligence</w:t>
      </w:r>
      <w:proofErr w:type="spellEnd"/>
      <w:r w:rsidRPr="00EB71EB">
        <w:t xml:space="preserve"> (Vplyv umelej inteligencie na finančnú stabilitu),</w:t>
      </w:r>
    </w:p>
    <w:p w14:paraId="0EA08E7D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nariadenie Európskeho parlamentu a Rady (EÚ) 2024/1624 z 31. mája 2024 o predchádzaní využívaniu finančného systému na účely prania špinavých peňazí alebo financovania terorizmu</w:t>
      </w:r>
      <w:r w:rsidRPr="00EB71EB">
        <w:rPr>
          <w:rStyle w:val="FootnoteReference"/>
        </w:rPr>
        <w:footnoteReference w:customMarkFollows="1" w:id="1"/>
        <w:t>1</w:t>
      </w:r>
      <w:r w:rsidRPr="00EB71EB">
        <w:t>,</w:t>
      </w:r>
    </w:p>
    <w:p w14:paraId="40871BAA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nariadenie Európskeho parlamentu a Rady (EÚ) 2024/1689 z 13. júna 2024, ktorým sa stanovujú harmonizované pravidlá v oblasti umelej inteligencie a ktorým sa menia nariadenia (ES) č. 300/2008, (EÚ) č. 167/2013, (EÚ) č. 168/2013, (EÚ) 2018/858, (EÚ) 2018/1139 a (EÚ) 2019/2144 a smernice 2014/90/EÚ, (EÚ) 2016/797 a (EÚ) 2020/1828 (akt o umelej inteligencii)</w:t>
      </w:r>
      <w:r w:rsidRPr="00EB71EB">
        <w:rPr>
          <w:rStyle w:val="FootnoteReference"/>
        </w:rPr>
        <w:footnoteReference w:customMarkFollows="1" w:id="2"/>
        <w:t>2</w:t>
      </w:r>
      <w:r w:rsidRPr="00EB71EB">
        <w:t>,</w:t>
      </w:r>
    </w:p>
    <w:p w14:paraId="1A3D22D3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nariadenie Európskeho parlamentu a Rady (EÚ) 2022/2554 zo 14. decembra 2022 o digitálnej prevádzkovej odolnosti finančného sektora a o zmene nariadení (ES) č. 1060/2009, (EÚ) č. 648/2012, (EÚ) č. 600/2014, (EÚ) č. 909/2014 a (EÚ) 2016/1011</w:t>
      </w:r>
      <w:r w:rsidRPr="00EB71EB">
        <w:rPr>
          <w:rStyle w:val="FootnoteReference"/>
        </w:rPr>
        <w:footnoteReference w:customMarkFollows="1" w:id="3"/>
        <w:t>3</w:t>
      </w:r>
      <w:r w:rsidRPr="00EB71EB">
        <w:t xml:space="preserve"> (nariadenie o digitálnej prevádzkovej odolnosti),</w:t>
      </w:r>
    </w:p>
    <w:p w14:paraId="366DB8DE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nariadenie Európskeho parlamentu a Rady (EÚ) 2016/679 z 27. apríla 2016 o ochrane fyzických osôb pri spracúvaní osobných údajov a o voľnom pohybe takýchto údajov, ktorým sa zrušuje smernica 95/46/ES (všeobecné nariadenie o ochrane údajov)</w:t>
      </w:r>
      <w:r w:rsidRPr="00EB71EB">
        <w:rPr>
          <w:rStyle w:val="FootnoteReference"/>
        </w:rPr>
        <w:footnoteReference w:customMarkFollows="1" w:id="4"/>
        <w:t>4</w:t>
      </w:r>
      <w:r w:rsidRPr="00EB71EB">
        <w:t>,</w:t>
      </w:r>
    </w:p>
    <w:p w14:paraId="2A59E9AD" w14:textId="40597B7A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nariadenie Európskeho parlamentu a Rady (EÚ) 2016/97 z 20. januára 2016 o výmenných poplatkoch za platobné transakcie viazané na kartu</w:t>
      </w:r>
      <w:r w:rsidRPr="00EB71EB">
        <w:rPr>
          <w:rStyle w:val="FootnoteReference"/>
        </w:rPr>
        <w:footnoteReference w:customMarkFollows="1" w:id="5"/>
        <w:t>5</w:t>
      </w:r>
      <w:r w:rsidRPr="00EB71EB">
        <w:t xml:space="preserve"> (smernica o distribúcii poistenia),</w:t>
      </w:r>
    </w:p>
    <w:p w14:paraId="56666132" w14:textId="77777777" w:rsidR="004F0997" w:rsidRPr="00EB71EB" w:rsidRDefault="004F0997" w:rsidP="004F0997">
      <w:pPr>
        <w:pStyle w:val="NormalHanging"/>
      </w:pPr>
      <w:r w:rsidRPr="00EB71EB">
        <w:lastRenderedPageBreak/>
        <w:t>–</w:t>
      </w:r>
      <w:r w:rsidRPr="00EB71EB">
        <w:tab/>
        <w:t>so zreteľom na nariadenie Európskeho parlamentu a Rady (EÚ) č. 600/2014 z 15. mája 2014 o trhoch s finančnými nástrojmi, ktorým sa mení nariadenie (EÚ) č. 648/2012</w:t>
      </w:r>
      <w:r w:rsidRPr="00EB71EB">
        <w:rPr>
          <w:rStyle w:val="FootnoteReference"/>
        </w:rPr>
        <w:footnoteReference w:customMarkFollows="1" w:id="6"/>
        <w:t>6</w:t>
      </w:r>
      <w:r w:rsidRPr="00EB71EB">
        <w:t xml:space="preserve"> (nariadenie o trhoch s finančnými nástrojmi),</w:t>
      </w:r>
    </w:p>
    <w:p w14:paraId="30ABA2B7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 Rady 2014/65/EÚ z 15. mája 2014 o trhoch s finančnými nástrojmi, ktorou sa mení smernica 2002/92/ES a smernica 2011/61/EÚ</w:t>
      </w:r>
      <w:r w:rsidRPr="00EB71EB">
        <w:rPr>
          <w:rStyle w:val="FootnoteReference"/>
        </w:rPr>
        <w:footnoteReference w:customMarkFollows="1" w:id="7"/>
        <w:t>7</w:t>
      </w:r>
      <w:r w:rsidRPr="00EB71EB">
        <w:t xml:space="preserve"> (smernica o trhoch s finančnými nástrojmi),</w:t>
      </w:r>
    </w:p>
    <w:p w14:paraId="438E215E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 xml:space="preserve">so zreteľom na nariadenie Európskeho parlamentu a Rady (EÚ) č. 575/2013 z 26. júna 2013 o </w:t>
      </w:r>
      <w:proofErr w:type="spellStart"/>
      <w:r w:rsidRPr="00EB71EB">
        <w:t>prudenciálnych</w:t>
      </w:r>
      <w:proofErr w:type="spellEnd"/>
      <w:r w:rsidRPr="00EB71EB">
        <w:t xml:space="preserve"> požiadavkách na úverové inštitúcie a investičné spoločnosti a o zmene nariadenia (EÚ) č. 648/2012</w:t>
      </w:r>
      <w:r w:rsidRPr="00EB71EB">
        <w:rPr>
          <w:rStyle w:val="FootnoteReference"/>
        </w:rPr>
        <w:footnoteReference w:customMarkFollows="1" w:id="8"/>
        <w:t>8</w:t>
      </w:r>
      <w:r w:rsidRPr="00EB71EB">
        <w:t xml:space="preserve"> (nariadenie o kapitálových požiadavkách),</w:t>
      </w:r>
    </w:p>
    <w:p w14:paraId="3EA2F9A7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 Rady 2013/36/EÚ z 26. júna 2013 o prístupe k činnosti úverových inštitúcií a </w:t>
      </w:r>
      <w:proofErr w:type="spellStart"/>
      <w:r w:rsidRPr="00EB71EB">
        <w:t>prudenciálnom</w:t>
      </w:r>
      <w:proofErr w:type="spellEnd"/>
      <w:r w:rsidRPr="00EB71EB">
        <w:t xml:space="preserve"> dohľade nad úverovými inštitúciami a investičnými spoločnosťami, o zmene smernice 2002/87/ES a o zrušení smerníc 2006/48/ES a 2006/49/ES</w:t>
      </w:r>
      <w:r w:rsidRPr="00EB71EB">
        <w:rPr>
          <w:rStyle w:val="FootnoteReference"/>
        </w:rPr>
        <w:footnoteReference w:customMarkFollows="1" w:id="9"/>
        <w:t>9</w:t>
      </w:r>
      <w:r w:rsidRPr="00EB71EB">
        <w:t xml:space="preserve"> (smernica o kapitálových požiadavkách),</w:t>
      </w:r>
    </w:p>
    <w:p w14:paraId="0D5041BB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 Rady 2011/61/EÚ z 8. júna 2011 o správcoch alternatívnych investičných fondov a o zmene smerníc 2003/41/ES a 2009/65/ES a nariadení (ES) č. 1060/2009 a (EÚ) č. 1095/2010</w:t>
      </w:r>
      <w:r w:rsidRPr="00EB71EB">
        <w:rPr>
          <w:rStyle w:val="FootnoteReference"/>
        </w:rPr>
        <w:footnoteReference w:customMarkFollows="1" w:id="10"/>
        <w:t>10</w:t>
      </w:r>
      <w:r w:rsidRPr="00EB71EB">
        <w:t xml:space="preserve"> (smernica o správcoch alternatívnych investičných fondov),</w:t>
      </w:r>
    </w:p>
    <w:p w14:paraId="5AF6500A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 Rady 2009/138/ES z 25. novembra 2009 o začatí a vykonávaní poistenia a zaistenia (Solventnosť II)</w:t>
      </w:r>
      <w:r w:rsidRPr="00EB71EB">
        <w:rPr>
          <w:rStyle w:val="FootnoteReference"/>
        </w:rPr>
        <w:footnoteReference w:customMarkFollows="1" w:id="11"/>
        <w:t>11</w:t>
      </w:r>
      <w:r w:rsidRPr="00EB71EB">
        <w:t>,</w:t>
      </w:r>
    </w:p>
    <w:p w14:paraId="366976CF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 Rady 2009/65/ES z 13. júla 2009 o koordinácii zákonov, iných právnych predpisov a správnych opatrení týkajúcich sa podnikov kolektívneho investovania do prevoditeľných cenných papierov (PKIPCP)</w:t>
      </w:r>
      <w:r w:rsidRPr="00EB71EB">
        <w:rPr>
          <w:rStyle w:val="FootnoteReference"/>
        </w:rPr>
        <w:footnoteReference w:customMarkFollows="1" w:id="12"/>
        <w:t>12</w:t>
      </w:r>
      <w:r w:rsidRPr="00EB71EB">
        <w:t>,</w:t>
      </w:r>
    </w:p>
    <w:p w14:paraId="06FFC19D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smernicu Európskeho parlamentu a Rady (EÚ) 2015/2366 z 25. novembra 2015 o platobných službách na vnútornom trhu, ktorou sa menia smernice 2002/65/ES, 2009/110/ES a 2013/36/EÚ a nariadenie (EÚ) č. 1093/2010, a ktorou sa zrušuje smernica 2007/64/ES</w:t>
      </w:r>
      <w:r w:rsidRPr="00EB71EB">
        <w:rPr>
          <w:rStyle w:val="FootnoteReference"/>
        </w:rPr>
        <w:footnoteReference w:customMarkFollows="1" w:id="13"/>
        <w:t>13</w:t>
      </w:r>
      <w:r w:rsidRPr="00EB71EB">
        <w:t xml:space="preserve"> (smernica o platobných službách),</w:t>
      </w:r>
    </w:p>
    <w:p w14:paraId="1CB3526B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svoje uznesenie z 3. mája 2022 o umelej inteligencii v digitálnom veku</w:t>
      </w:r>
      <w:r w:rsidRPr="00EB71EB">
        <w:rPr>
          <w:rStyle w:val="FootnoteReference"/>
        </w:rPr>
        <w:footnoteReference w:customMarkFollows="1" w:id="14"/>
        <w:t>14</w:t>
      </w:r>
      <w:r w:rsidRPr="00EB71EB">
        <w:t>,</w:t>
      </w:r>
    </w:p>
    <w:p w14:paraId="266D970F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článok 55 rokovacieho poriadku,</w:t>
      </w:r>
    </w:p>
    <w:p w14:paraId="5548D92A" w14:textId="77777777" w:rsidR="004F0997" w:rsidRPr="00EB71EB" w:rsidRDefault="004F0997" w:rsidP="004F0997">
      <w:pPr>
        <w:pStyle w:val="NormalHanging"/>
      </w:pPr>
      <w:r w:rsidRPr="00EB71EB">
        <w:t>–</w:t>
      </w:r>
      <w:r w:rsidRPr="00EB71EB">
        <w:tab/>
        <w:t>so zreteľom na správu Výboru pre hospodárske a menové veci (A10-0225/2025),</w:t>
      </w:r>
    </w:p>
    <w:p w14:paraId="66BFFB5E" w14:textId="0AC541E9" w:rsidR="004F0997" w:rsidRPr="00EB71EB" w:rsidRDefault="004F0997" w:rsidP="004F0997">
      <w:pPr>
        <w:pStyle w:val="NormalHanging"/>
      </w:pPr>
      <w:r w:rsidRPr="00EB71EB">
        <w:lastRenderedPageBreak/>
        <w:t>A.</w:t>
      </w:r>
      <w:r w:rsidRPr="00EB71EB">
        <w:tab/>
        <w:t>keďže aktom EÚ o umelej inteligencii (</w:t>
      </w:r>
      <w:r w:rsidR="00C15389" w:rsidRPr="00EB71EB">
        <w:t>ďalej len „</w:t>
      </w:r>
      <w:r w:rsidRPr="00EB71EB">
        <w:t>akt o AI</w:t>
      </w:r>
      <w:r w:rsidR="00C15389" w:rsidRPr="00EB71EB">
        <w:t>“</w:t>
      </w:r>
      <w:r w:rsidRPr="00EB71EB">
        <w:t>) sa zavádza prvý komplexný regulačný rámec pre umelú inteligenciu na svete;</w:t>
      </w:r>
    </w:p>
    <w:p w14:paraId="6E1B408E" w14:textId="77777777" w:rsidR="004F0997" w:rsidRPr="00EB71EB" w:rsidRDefault="004F0997" w:rsidP="004F0997">
      <w:pPr>
        <w:pStyle w:val="NormalHanging"/>
      </w:pPr>
      <w:r w:rsidRPr="00EB71EB">
        <w:t>B.</w:t>
      </w:r>
      <w:r w:rsidRPr="00EB71EB">
        <w:tab/>
        <w:t>keďže v bode 5 písm. b) a c) prílohy III k aktu o AI sú vymedzené dva vysokorizikové prípady použitia v sektore finančných služieb, a to používanie systémov AI na stanovenie bodového hodnotenia kreditného rizika spotrebiteľov a hodnotenie ich úverovej bonity a ich používanie na hodnotenie rizika a stanovovanie cien životného a zdravotného poistenia;</w:t>
      </w:r>
    </w:p>
    <w:p w14:paraId="268867A5" w14:textId="77777777" w:rsidR="004F0997" w:rsidRPr="00EB71EB" w:rsidRDefault="004F0997" w:rsidP="004F0997">
      <w:pPr>
        <w:pStyle w:val="NormalHanging"/>
      </w:pPr>
      <w:r w:rsidRPr="00EB71EB">
        <w:t>C.</w:t>
      </w:r>
      <w:r w:rsidRPr="00EB71EB">
        <w:tab/>
        <w:t xml:space="preserve">keďže systém AI je v akte o AI vymedzený ako strojový systém, ktorý je </w:t>
      </w:r>
      <w:proofErr w:type="spellStart"/>
      <w:r w:rsidRPr="00EB71EB">
        <w:t>dizajnovaný</w:t>
      </w:r>
      <w:proofErr w:type="spellEnd"/>
      <w:r w:rsidRPr="00EB71EB">
        <w:t xml:space="preserve"> na prevádzku s rôznymi úrovňami autonómnosti, ktorý môže po nasadení prejavovať adaptabilitu a ktorý pre explicitné alebo implicitné ciele odvodzuje zo vstupov, ktoré dostáva, spôsob generovania výstupov, ako sú predpovede, obsah, odporúčania alebo rozhodnutia, ktoré môžu ovplyvniť fyzické alebo virtuálne prostredie;</w:t>
      </w:r>
    </w:p>
    <w:p w14:paraId="59FCF9AF" w14:textId="77777777" w:rsidR="004F0997" w:rsidRPr="00EB71EB" w:rsidRDefault="004F0997" w:rsidP="004F0997">
      <w:pPr>
        <w:pStyle w:val="NormalHanging"/>
      </w:pPr>
      <w:r w:rsidRPr="00EB71EB">
        <w:t>D.</w:t>
      </w:r>
      <w:r w:rsidRPr="00EB71EB">
        <w:tab/>
        <w:t>keďže model AI na všeobecné účely je vymedzený ako model AI vrátane modelov trénovaných veľkým množstvom údajov s použitím samokontroly vo veľkom rozsahu, ktorý má významnú všeobecnú povahu a je schopný kompetentne vykonávať širokú škálu odlišných úloh bez ohľadu na spôsob, akým sa model uvádza na trh, a ktorý možno integrovať do rôznych nadväzujúcich systémov alebo aplikácií, ale nezahŕňa modely AI, ktoré sa využívajú na účely výskumných, vývojových a prototypových činností pred ich uvedením na trh;</w:t>
      </w:r>
    </w:p>
    <w:p w14:paraId="5903991F" w14:textId="77777777" w:rsidR="004F0997" w:rsidRPr="00EB71EB" w:rsidRDefault="004F0997" w:rsidP="004F0997">
      <w:pPr>
        <w:pStyle w:val="NormalHanging"/>
      </w:pPr>
      <w:r w:rsidRPr="00EB71EB">
        <w:t>E.</w:t>
      </w:r>
      <w:r w:rsidRPr="00EB71EB">
        <w:tab/>
        <w:t>keďže systémy používané na zlepšenie matematickej optimalizácie alebo na urýchlenie a aproximáciu tradičných, zavedených metód optimalizácie, ako sú lineárne alebo logistické regresné metódy, nepatria do rozsahu vymedzenia systému umelej inteligencie;</w:t>
      </w:r>
    </w:p>
    <w:p w14:paraId="7A161F56" w14:textId="77777777" w:rsidR="004F0997" w:rsidRPr="00EB71EB" w:rsidRDefault="004F0997" w:rsidP="004F0997">
      <w:pPr>
        <w:pStyle w:val="Normal12a"/>
      </w:pPr>
      <w:r w:rsidRPr="00EB71EB">
        <w:rPr>
          <w:b/>
          <w:i/>
        </w:rPr>
        <w:t>Stav zavádzania umelej inteligencie vo finančných službách</w:t>
      </w:r>
    </w:p>
    <w:p w14:paraId="3DBD27B8" w14:textId="77777777" w:rsidR="004F0997" w:rsidRPr="00EB71EB" w:rsidRDefault="004F0997" w:rsidP="004F0997">
      <w:pPr>
        <w:pStyle w:val="NormalHanging12a"/>
      </w:pPr>
      <w:r w:rsidRPr="00EB71EB">
        <w:t>1.</w:t>
      </w:r>
      <w:r w:rsidRPr="00EB71EB">
        <w:tab/>
        <w:t xml:space="preserve">berie na vedomie široké a rôznorodé zavádzanie umelej inteligencie v celom sektore finančných služieb EÚ s finančnými inštitúciami, ktoré už dlhšie obdobie využívajú klasické strojové učenie, pričom v súčasnosti postupne experimentujú s využívaním generatívnej umelej inteligencie vrátane veľkých jazykových modelov (LLM) a iných základných modelov ako podporného nástroja; zdôrazňuje, že cieľom použitia umelej inteligencie je vo väčšine súčasných prípadov zefektívniť procesy </w:t>
      </w:r>
      <w:proofErr w:type="spellStart"/>
      <w:r w:rsidRPr="00EB71EB">
        <w:t>back-office</w:t>
      </w:r>
      <w:proofErr w:type="spellEnd"/>
      <w:r w:rsidRPr="00EB71EB">
        <w:t>, pričom vo väčšine prípadov ide skôr o ľahko dosiahnuteľnú možnosť, a nie vysokorizikovú inováciu; konštatuje však, že využívanie umelej inteligencie na hodnotenie úverovej bonity fyzických osôb alebo stanovenie ich bodového hodnotenia kreditného rizika, ktoré je v súčasnosti v akte o AI vymedzené ako vysokorizikové, prevláda a zvyšuje sa; zdôrazňuje, že zavádzanie plne autonómnych systémov AI vo finančnom sektore by malo podliehať ľudskému dohľadu</w:t>
      </w:r>
      <w:r w:rsidRPr="00EB71EB">
        <w:rPr>
          <w:rStyle w:val="FootnoteReference"/>
        </w:rPr>
        <w:footnoteReference w:customMarkFollows="1" w:id="15"/>
        <w:t>15</w:t>
      </w:r>
      <w:r w:rsidRPr="00EB71EB">
        <w:t>; konštatuje, že finančné inštitúcie naďalej skúmajú prípady použitia modelov AI na všeobecné účely, ktorých väčšia zložitosť so sebou prináša vyššie operačné riziko a riziko dodržiavania predpisov, ale tiež konštatuje, že tieto aplikácie zostávajú vo veľkej miere vo fáze testovania;</w:t>
      </w:r>
    </w:p>
    <w:p w14:paraId="1CA992E4" w14:textId="77777777" w:rsidR="004F0997" w:rsidRPr="00EB71EB" w:rsidRDefault="004F0997" w:rsidP="004F0997">
      <w:pPr>
        <w:pStyle w:val="NormalHanging12a"/>
      </w:pPr>
      <w:r w:rsidRPr="00EB71EB">
        <w:lastRenderedPageBreak/>
        <w:t>2.</w:t>
      </w:r>
      <w:r w:rsidRPr="00EB71EB">
        <w:tab/>
        <w:t xml:space="preserve">domnieva sa, že umelá inteligencia je pre finančné inštitúcie EÚ významnou príležitosťou na vývoj inovatívnejších produktov, zefektívnenie operácií a zlepšenie konkurencieschopnosti v celosvetovom meradle; zdôrazňuje, že využívanie umelej inteligencie vo finančných službách má potenciál priniesť spoločenské výhody vrátane účinnejšieho odhaľovania podvodov a predchádzania podvodom, kontrol a sankcií v oblasti boja proti praniu špinavých peňazí, podpory zákazníkov, monitorovania transakcií, </w:t>
      </w:r>
      <w:proofErr w:type="spellStart"/>
      <w:r w:rsidRPr="00EB71EB">
        <w:t>personalizovaného</w:t>
      </w:r>
      <w:proofErr w:type="spellEnd"/>
      <w:r w:rsidRPr="00EB71EB">
        <w:t xml:space="preserve"> finančného poradenstva, zberu environmentálnych, sociálnych a správnych údajov, analýzy a podávania správ, obchodných modelov a stratégií, pomoci pri dodržiavaní právnych predpisov, dohľadu nad trhom a monitorovania zneužívania; domnieva sa, že využívanie umelej inteligencie vo finančnom sektore by malo zabezpečiť rovnováhu medzi inováciou a konkurencieschopnosťou na jednej strane a riadením rizík, ochranou spotrebiteľa a finančnou stabilitou na strane druhej; zdôrazňuje, že výhody využívania umelej inteligencie vo finančných službách by sa mali prenášať predovšetkým na koncových zákazníkov, napríklad prostredníctvom nižších cien, lepšieho pokrytia, lepšieho finančného poradenstva, väčšieho finančného začlenenia a prístupu a lepšej finančnej gramotnosti;</w:t>
      </w:r>
    </w:p>
    <w:p w14:paraId="3074EE86" w14:textId="77777777" w:rsidR="004F0997" w:rsidRPr="00EB71EB" w:rsidRDefault="004F0997" w:rsidP="004F0997">
      <w:pPr>
        <w:pStyle w:val="NormalHanging12a"/>
      </w:pPr>
      <w:r w:rsidRPr="00EB71EB">
        <w:t>3.</w:t>
      </w:r>
      <w:r w:rsidRPr="00EB71EB">
        <w:tab/>
        <w:t xml:space="preserve">konštatuje, že existujú aj riziká vyplývajúce z používania umelej inteligencie vo finančných službách; zdôrazňuje, že pred nedávnym prelomom v oblasti modelov LLM tieto riziká vyplývali z kvality, presnosti a reprezentatívnosti údajov, na ktorých boli modely trénované, keďže výstupy umelej inteligencie, ktoré nie sú LLM, sú len také spoľahlivé ako vstupné údaje; zdôrazňuje, že zlá kvalita údajov by okrem iného mohla viesť k diskriminačným výsledkom, nesprávnemu predaju a posilneniu systémových predsudkov, zatiaľ čo neprehľadné a zložité modely by mohli viesť k narušeniu súkromia a vylúčeniu zraniteľných spotrebiteľov napríklad prostredníctvom cenovej diskriminácie, čím by sa zhoršili existujúce riziká alebo vytvorili nové riziká; zdôrazňuje, že modely LLM prinášajú významné dodatočné riziká, ktoré možno ťažko merať, vrátane modelových halucinácií, a to aj v prípade vysokokvalitných tréningových údajov; zdôrazňuje, že takéto riziká a výsledky sa musia účinne zmierniť; pozoruje ďalšie výzvy súvisiace s citlivými miestami v oblasti kybernetickej bezpečnosti a </w:t>
      </w:r>
      <w:proofErr w:type="spellStart"/>
      <w:r w:rsidRPr="00EB71EB">
        <w:t>vysvetliteľnosťou</w:t>
      </w:r>
      <w:proofErr w:type="spellEnd"/>
      <w:r w:rsidRPr="00EB71EB">
        <w:t xml:space="preserve"> systémov AI; zdôrazňuje preto, že je potrebné zabezpečiť spoľahlivé riadenie údajov, prísne testovanie a dokumentáciu modelov umelej inteligencie spolu s udržaním ľudského prvku a dodržiavaním vysokej normy pre používanie systémov umelej inteligencie v aplikáciách orientovaných na spotrebiteľa;</w:t>
      </w:r>
    </w:p>
    <w:p w14:paraId="10EF5F47" w14:textId="77777777" w:rsidR="004F0997" w:rsidRPr="00EB71EB" w:rsidRDefault="004F0997" w:rsidP="004F0997">
      <w:pPr>
        <w:pStyle w:val="NormalHanging12a"/>
      </w:pPr>
      <w:r w:rsidRPr="00EB71EB">
        <w:t>4.</w:t>
      </w:r>
      <w:r w:rsidRPr="00EB71EB">
        <w:tab/>
        <w:t>chápe, že finančné inštitúcie prijali merateľný prístup k vývoju, testovaniu a zavádzaniu systémov AI s cieľom zabezpečiť súlad s existujúcimi prierezovými a odvetvovými právnymi predpismi; zdôrazňuje, že tento obozretný prístup môže vychádzať aj z nepreukázaného dopytu zákazníkov, vyvíjajúcich sa očakávaní zákazníkov a zvažovania rizík, ktoré boli načrtnuté vyššie;</w:t>
      </w:r>
    </w:p>
    <w:p w14:paraId="4A26DD0A" w14:textId="77777777" w:rsidR="004F0997" w:rsidRPr="00EB71EB" w:rsidRDefault="004F0997" w:rsidP="004F0997">
      <w:pPr>
        <w:pStyle w:val="NormalHanging12a"/>
      </w:pPr>
      <w:r w:rsidRPr="00EB71EB">
        <w:t>5.</w:t>
      </w:r>
      <w:r w:rsidRPr="00EB71EB">
        <w:tab/>
        <w:t>zdôrazňuje, že nárast umelej inteligencie predstavuje výzvy pre dozorné orgány, najmä vzhľadom na nedostatok odborných znalostí špecifických pre umelú inteligenciu a primeraných nástrojov dohľadu na posudzovanie pokročilých modelov strojového učenia a generatívnej umelej inteligencie; vyzýva európske a vnútroštátne orgány dohľadu, aby sa prispôsobili rastúcemu využívaniu umelej inteligencie vo finančných službách a monitorovali, posudzovali a zmierňovali riziká pre spotrebiteľov a finančnú stabilitu, pričom by nemali odrádzať od inovácií prostredníctvom neprimeranej záťaže spojenej s dodržiavaním predpisov alebo príliš normatívnych regulačných prístupov;</w:t>
      </w:r>
    </w:p>
    <w:p w14:paraId="4FFAB5F4" w14:textId="77777777" w:rsidR="004F0997" w:rsidRPr="00EB71EB" w:rsidRDefault="004F0997" w:rsidP="004F0997">
      <w:pPr>
        <w:pStyle w:val="NormalHanging12a"/>
      </w:pPr>
      <w:r w:rsidRPr="00EB71EB">
        <w:lastRenderedPageBreak/>
        <w:t>6.</w:t>
      </w:r>
      <w:r w:rsidRPr="00EB71EB">
        <w:tab/>
        <w:t>konštatuje, že koncentrácia medzi poskytovateľmi služieb umelej inteligencie, ktorí ponúkajú investičné poradenstvo, môže viesť k tzv. stádovému správaniu, ktoré je motivované podobnými modelmi a obmedzenými zdrojmi údajov; naliehavo vyzýva európske a vnútroštátne orgány dohľadu, aby monitorovali tieto riziká a finančné inštitúcie s cieľom zohľadniť ich pri vývoji nástrojov umelej inteligencie;</w:t>
      </w:r>
    </w:p>
    <w:p w14:paraId="60232C01" w14:textId="77777777" w:rsidR="004F0997" w:rsidRPr="00EB71EB" w:rsidRDefault="004F0997" w:rsidP="004F0997">
      <w:pPr>
        <w:pStyle w:val="NormalHanging12a"/>
      </w:pPr>
      <w:r w:rsidRPr="00EB71EB">
        <w:t>7.</w:t>
      </w:r>
      <w:r w:rsidRPr="00EB71EB">
        <w:tab/>
        <w:t>berie na vedomie závislosť finančných aktérov EÚ od externých poskytovateľov technológií, pokiaľ ide o hosťovanie a vývoj ich modelov umelej inteligencie, a zdôrazňuje, že väčšina finančných spoločností je pri týchto službách závislá len od niekoľkých externých poskytovateľov, čo môže viesť k riziku koncentrácie a znížiť vyjednávaciu silu finančných inštitúcií pri rokovaniach o zmluvných podmienkach služieb umelej inteligencie alebo pri ich zmene; upozorňuje, že spoliehanie sa na malý počet poskytovateľov danej služby by mohlo viesť k systémovým rizikám v prípade narušení, najmä ak nie je možná rýchla migrácia k alternatívnym poskytovateľom;</w:t>
      </w:r>
    </w:p>
    <w:p w14:paraId="405BFE73" w14:textId="77777777" w:rsidR="004F0997" w:rsidRPr="00EB71EB" w:rsidRDefault="004F0997" w:rsidP="004F0997">
      <w:pPr>
        <w:pStyle w:val="NormalHanging12a"/>
      </w:pPr>
      <w:r w:rsidRPr="00EB71EB">
        <w:t>8.</w:t>
      </w:r>
      <w:r w:rsidRPr="00EB71EB">
        <w:tab/>
        <w:t>konštatuje, že v nedávno prijatom akte o digitálnej prevádzkovej odolnosti (DORA) sa od finančných inštitúcií vyžaduje, aby vykonávali opatrenia na zmiernenie rizika koncentrácie vyplývajúceho z externých poskytovateľov informačných a komunikačných technológií (IKT) vrátane pohotovostných plánov a opatrení na zabezpečenie kontinuity činností; žiada Komisiu a európske orgány dohľadu, aby posúdili najmä uskutočniteľnosť uplatňovania stratégií ukončenia angažovanosti a prechodných ustanovení stanovených v nariadení DORA na modely umelej inteligencie, ktoré sú hosťované infraštruktúrou poskytovateľov, ktorí sú treťou stranou, najmä pokiaľ ide o značnú závislosť od externých poskytovateľov služieb umelej inteligencie z tretích krajín;</w:t>
      </w:r>
    </w:p>
    <w:p w14:paraId="243D64AF" w14:textId="77777777" w:rsidR="004F0997" w:rsidRPr="00EB71EB" w:rsidRDefault="004F0997" w:rsidP="004F0997">
      <w:pPr>
        <w:pStyle w:val="NormalHanging12a"/>
      </w:pPr>
      <w:r w:rsidRPr="00EB71EB">
        <w:t>9.</w:t>
      </w:r>
      <w:r w:rsidRPr="00EB71EB">
        <w:tab/>
        <w:t xml:space="preserve">zdôrazňuje, že spoločnosti EÚ musia byť schopné využívať existujúcu cloudovú infraštruktúru na vývoj a zavádzanie umelej inteligencie; vyzýva na aktívne preskúmanie možností posilnenia kompatibility a </w:t>
      </w:r>
      <w:proofErr w:type="spellStart"/>
      <w:r w:rsidRPr="00EB71EB">
        <w:t>interoperability</w:t>
      </w:r>
      <w:proofErr w:type="spellEnd"/>
      <w:r w:rsidRPr="00EB71EB">
        <w:t xml:space="preserve"> modelov umelej inteligencie a rámcov súladu s modelmi a rámcami dodržiavania predpisov podobne zmýšľajúcich medzinárodných partnerov, najmä tých, ktorí sa snažia poskytnúť rovnako spoľahlivé regulačné záruky, s cieľom zabezpečiť, aby si finančné inštitúcie EÚ zachovali prístup k nástrojom umelej inteligencie a dodávateľom, a s cieľom formovať vyvážené globálne normy a zároveň chrániť právnu istotu pre európske podniky;</w:t>
      </w:r>
    </w:p>
    <w:p w14:paraId="624C5E6C" w14:textId="77777777" w:rsidR="004F0997" w:rsidRPr="00EB71EB" w:rsidRDefault="004F0997" w:rsidP="004F0997">
      <w:pPr>
        <w:pStyle w:val="NormalHanging12a"/>
      </w:pPr>
      <w:r w:rsidRPr="00EB71EB">
        <w:t>10.</w:t>
      </w:r>
      <w:r w:rsidRPr="00EB71EB">
        <w:tab/>
        <w:t xml:space="preserve">podporuje iniciatívy na posilnenie rozvoja umelej inteligencie a </w:t>
      </w:r>
      <w:proofErr w:type="spellStart"/>
      <w:r w:rsidRPr="00EB71EB">
        <w:t>cloudu</w:t>
      </w:r>
      <w:proofErr w:type="spellEnd"/>
      <w:r w:rsidRPr="00EB71EB">
        <w:t xml:space="preserve"> v EÚ, najmä s cieľom rozvíjať služby umelej inteligencie, ktoré sú plne v súlade s rámcami EÚ v oblasti ochrany údajov a základných práv, a zároveň posilňovať strategickú autonómiu a odolnosť;</w:t>
      </w:r>
    </w:p>
    <w:p w14:paraId="26CF2EB3" w14:textId="1A629C27" w:rsidR="004F0997" w:rsidRPr="00EB71EB" w:rsidRDefault="004F0997" w:rsidP="004F0997">
      <w:pPr>
        <w:pStyle w:val="Normal12a"/>
      </w:pPr>
      <w:r w:rsidRPr="00EB71EB">
        <w:rPr>
          <w:b/>
          <w:i/>
        </w:rPr>
        <w:t>Regulačné prostredie týkajúce sa umelej inteligencie vo finančných službách</w:t>
      </w:r>
    </w:p>
    <w:p w14:paraId="753F5E38" w14:textId="77777777" w:rsidR="004F0997" w:rsidRPr="00EB71EB" w:rsidRDefault="004F0997" w:rsidP="004F0997">
      <w:pPr>
        <w:pStyle w:val="NormalHanging12a"/>
      </w:pPr>
      <w:r w:rsidRPr="00EB71EB">
        <w:t>11.</w:t>
      </w:r>
      <w:r w:rsidRPr="00EB71EB">
        <w:tab/>
        <w:t xml:space="preserve">zdôrazňuje, že sektor finančných služieb je vysoko regulovaný, podlieha viacerým odvetvovým právnym predpisom na vnútroštátnej úrovni aj na úrovni EÚ, v ktorých sa od aktérov vyžaduje, aby riadili riziká v rôznych oblastiach vrátane ochrany údajov, pôvodu údajov, kvality údajov, správy údajov, prevádzkovej odolnosti, outsourcingu, rizika modelu, diskriminačných výsledkov a trhového a úverového rizika, ktoré spolu </w:t>
      </w:r>
      <w:r w:rsidRPr="00EB71EB">
        <w:lastRenderedPageBreak/>
        <w:t>tvoria rámec pre zavádzanie a správu umelej inteligencie v sektore finančných služieb</w:t>
      </w:r>
      <w:r w:rsidRPr="00EB71EB">
        <w:rPr>
          <w:rStyle w:val="FootnoteReference"/>
        </w:rPr>
        <w:footnoteReference w:customMarkFollows="1" w:id="16"/>
        <w:t>16</w:t>
      </w:r>
      <w:r w:rsidRPr="00EB71EB">
        <w:t>; zdôrazňuje však význam nepretržitého monitorovania regulačných medzier a vyvíjajúcich sa prípadov využívania umelej inteligencie vo financovaní, najmä s cieľom chrániť práva spotrebiteľov a právo na súkromie;</w:t>
      </w:r>
    </w:p>
    <w:p w14:paraId="1B0E7857" w14:textId="77777777" w:rsidR="004F0997" w:rsidRPr="00EB71EB" w:rsidRDefault="004F0997" w:rsidP="004F0997">
      <w:pPr>
        <w:pStyle w:val="NormalHanging12a"/>
      </w:pPr>
      <w:r w:rsidRPr="00EB71EB">
        <w:t>12.</w:t>
      </w:r>
      <w:r w:rsidRPr="00EB71EB">
        <w:tab/>
        <w:t>konštatuje, že EÚ prijala prístup k regulácii umelej inteligencie viac založený na riziku než iné jurisdikcie; zdôrazňuje, že hoci to môže predstavovať výzvy pre prijatie a rozvoj umelej inteligencie v oblasti finančných služieb, ponúka aj príležitosť budovať dôveru a podporovať inovácie za predpokladu, že rámec sa objasní a bude vykonávať spôsobom, ktorý podporuje právnu istotu, proporcionalitu a dôveru trhu; uznáva, že akt o AI ešte nebol v plnej miere vykonaný a že jeho praktické dôsledky ešte neboli posúdené;</w:t>
      </w:r>
    </w:p>
    <w:p w14:paraId="152B6DF6" w14:textId="77777777" w:rsidR="004F0997" w:rsidRPr="00EB71EB" w:rsidRDefault="004F0997" w:rsidP="004F0997">
      <w:pPr>
        <w:pStyle w:val="NormalHanging12a"/>
      </w:pPr>
      <w:r w:rsidRPr="00EB71EB">
        <w:t>13.</w:t>
      </w:r>
      <w:r w:rsidRPr="00EB71EB">
        <w:tab/>
        <w:t xml:space="preserve">pripomína, že v akte o AI sa výslovne zohľadňuje súčasné </w:t>
      </w:r>
      <w:proofErr w:type="spellStart"/>
      <w:r w:rsidRPr="00EB71EB">
        <w:rPr>
          <w:i/>
        </w:rPr>
        <w:t>acquis</w:t>
      </w:r>
      <w:proofErr w:type="spellEnd"/>
      <w:r w:rsidRPr="00EB71EB">
        <w:t xml:space="preserve"> v oblasti finančných služieb a jeho cieľom je zabrániť duplicite požiadaviek, najmä pokiaľ ide o vnútorné riadenie a procesy riadenia kvality, a to umožnením obmedzených výnimiek pre finančné inštitúcie, pokiaľ sú v právnych predpisoch EÚ v oblasti finančných služieb stanovené rovnocenné požiadavky; vyjadruje znepokojenie nad tým, že napriek tomu dochádza k prekrývaniu právnych predpisov a nedostatku dostatočných usmernení k výkladu týchto regulačných prekrývaní a interakcií, čo spôsobuje neprimeranú zložitosť, záťaž spojenú s dodržiavaním predpisov a právnu neistotu, čo bráni zavádzaniu umelej inteligencie v sektore finančných služieb; zdôrazňuje, že je dôležité zaručiť právny, regulačný a administratívny rámec založený na istote, predvídateľnosti a stabilite; konštatuje, že extenzívny výklad aktu o AI, a nie proporcionálny výklad, môže viesť k neprimeraným požiadavkám na dodržiavanie predpisov pre finančné inštitúcie a spôsobiť právnu neistotu; berie na vedomie výzvu vyplývajúcu zo skutočnosti, že agentúry dohľadu majú rôzne právne výklady a očakávania, pokiaľ ide o uplatňovanie </w:t>
      </w:r>
      <w:proofErr w:type="spellStart"/>
      <w:r w:rsidRPr="00EB71EB">
        <w:rPr>
          <w:i/>
        </w:rPr>
        <w:t>acquis</w:t>
      </w:r>
      <w:proofErr w:type="spellEnd"/>
      <w:r w:rsidRPr="00EB71EB">
        <w:t>, čo vedie k roztrieštenosti jednotného trhu; žiada Komisiu a príslušné vnútroštátne orgány, aby identifikovali a riešili akékoľvek nezrovnalosti počas vykonávania aktu o AI a ako súčasť nadchádzajúceho súhrnného balíka o digitálnych technológiách;</w:t>
      </w:r>
    </w:p>
    <w:p w14:paraId="3E262D5D" w14:textId="77777777" w:rsidR="004F0997" w:rsidRPr="00EB71EB" w:rsidRDefault="004F0997" w:rsidP="004F0997">
      <w:pPr>
        <w:pStyle w:val="NormalHanging12a"/>
      </w:pPr>
      <w:r w:rsidRPr="00EB71EB">
        <w:t>14.</w:t>
      </w:r>
      <w:r w:rsidRPr="00EB71EB">
        <w:tab/>
        <w:t xml:space="preserve">podporuje odporúčanie aktu o AI určiť príslušné finančné orgány za orgány dohľadu nad trhom pre systémy AI používané vo finančných službách považovaných za vysokorizikové; konštatuje však, že za dohľad nad systémami AI, ktoré nie sú vysokorizikové, budú zodpovedné iné vnútroštátne príslušné orgány; uznáva výzvy vyplývajúce z toho, že viaceré dozorné agentúry majú právomoci v oblasti uplatňovania </w:t>
      </w:r>
      <w:proofErr w:type="spellStart"/>
      <w:r w:rsidRPr="00EB71EB">
        <w:rPr>
          <w:i/>
        </w:rPr>
        <w:t>acquis</w:t>
      </w:r>
      <w:proofErr w:type="spellEnd"/>
      <w:r w:rsidRPr="00EB71EB">
        <w:t>; okrem toho uznáva výzvy vyplývajúce z rozdielnych právnych výkladov a očakávaní rôznych dozorných agentúr, ktoré by mohli viesť k fragmentácii jednotného trhu;</w:t>
      </w:r>
    </w:p>
    <w:p w14:paraId="59A72F10" w14:textId="77777777" w:rsidR="004F0997" w:rsidRPr="00EB71EB" w:rsidRDefault="004F0997" w:rsidP="004F0997">
      <w:pPr>
        <w:pStyle w:val="NormalHanging12a"/>
      </w:pPr>
      <w:r w:rsidRPr="00EB71EB">
        <w:t>15.</w:t>
      </w:r>
      <w:r w:rsidRPr="00EB71EB">
        <w:tab/>
        <w:t xml:space="preserve">nabáda orgány dohľadu, aby posilnili koordináciu, spoluprácu a výmenu informácií s cieľom zabrániť prekrývaniu nárokov na súdnu právomoc; okrem toho naliehavo vyzýva Komisiu a orgány dohľadu, aby posilnili spoluprácu s medzinárodnými </w:t>
      </w:r>
      <w:r w:rsidRPr="00EB71EB">
        <w:lastRenderedPageBreak/>
        <w:t>partnermi na globálnych fórach pre stanovovanie noriem s cieľom zabezpečiť zosúladenie a zabrániť fragmentácii regulačných prístupov, ako aj zabezpečiť, aby EÚ držala tempo a zosúladila sa s globálnym vývojom v oblasti regulácie;</w:t>
      </w:r>
    </w:p>
    <w:p w14:paraId="7DC55053" w14:textId="77777777" w:rsidR="004F0997" w:rsidRPr="00EB71EB" w:rsidRDefault="004F0997" w:rsidP="004F0997">
      <w:pPr>
        <w:pStyle w:val="NormalHanging12a"/>
      </w:pPr>
      <w:r w:rsidRPr="00EB71EB">
        <w:t>16.</w:t>
      </w:r>
      <w:r w:rsidRPr="00EB71EB">
        <w:tab/>
        <w:t>konštatuje, že všeobecné nariadenie o ochrane údajov a jeho požiadavky na minimalizáciu údajov, obmedzenie účelu, súhlas zákazníkov a spracúvanie osobných údajov finančnými inštitúciami obmedzujú používanie umelej inteligencie vo finančných službách; domnieva sa, že je potrebná správna rovnováha medzi využívaním prínosov využívania umelej inteligencie vo finančných službách a ochranou údajov spotrebiteľov;</w:t>
      </w:r>
    </w:p>
    <w:p w14:paraId="15A7865A" w14:textId="77777777" w:rsidR="004F0997" w:rsidRPr="00EB71EB" w:rsidRDefault="004F0997" w:rsidP="004F0997">
      <w:pPr>
        <w:pStyle w:val="Normal12a"/>
        <w:rPr>
          <w:b/>
          <w:bCs/>
        </w:rPr>
      </w:pPr>
      <w:r w:rsidRPr="00EB71EB">
        <w:rPr>
          <w:b/>
          <w:bCs/>
          <w:i/>
        </w:rPr>
        <w:t>Odporúčania na zabezpečenie zodpovedného používania umelej inteligencie vo finančných službách</w:t>
      </w:r>
    </w:p>
    <w:p w14:paraId="56D9EA75" w14:textId="77777777" w:rsidR="004F0997" w:rsidRPr="00EB71EB" w:rsidRDefault="004F0997" w:rsidP="004F0997">
      <w:pPr>
        <w:pStyle w:val="NormalHanging12a"/>
      </w:pPr>
      <w:r w:rsidRPr="00EB71EB">
        <w:t>17.</w:t>
      </w:r>
      <w:r w:rsidRPr="00EB71EB">
        <w:tab/>
        <w:t>vyjadruje poľutovanie nad tým, že EÚ zaostáva, pokiaľ ide o inovácie a investície v oblasti umelej inteligencie, o čom svedčí 33 miliárd EUR vo forme rizikového financovania, ktoré dostali spoločnosti z EÚ vyvíjajúce základné modely v rokoch 2018 až 2023, v porovnaní s viac ako 120 miliardami EUR, ktoré dostali ich americké protistrany</w:t>
      </w:r>
      <w:r w:rsidRPr="00EB71EB">
        <w:rPr>
          <w:rStyle w:val="FootnoteReference"/>
        </w:rPr>
        <w:footnoteReference w:customMarkFollows="1" w:id="17"/>
        <w:t>17</w:t>
      </w:r>
      <w:r w:rsidRPr="00EB71EB">
        <w:t>; domnieva sa, že sektor finančných služieb, v ktorom sa vynakladá najviac prostriedkov na služby a produkty IKT, má potenciál pôsobiť ako katalyzátor pri mobilizácii súkromných investícií do umelej inteligencie; v kontexte pomalých investícií do umelej inteligencie vo finančnom sektore EÚ požaduje ambiciózny návrh na spustenie európskej scény rizikového kapitálu v rámci únie úspor a investícií;</w:t>
      </w:r>
    </w:p>
    <w:p w14:paraId="01047A73" w14:textId="77777777" w:rsidR="004F0997" w:rsidRPr="00EB71EB" w:rsidRDefault="004F0997" w:rsidP="004F0997">
      <w:pPr>
        <w:pStyle w:val="NormalHanging12a"/>
      </w:pPr>
      <w:r w:rsidRPr="00EB71EB">
        <w:t>18.</w:t>
      </w:r>
      <w:r w:rsidRPr="00EB71EB">
        <w:tab/>
        <w:t>vyzýva Komisiu, aby poskytla jasné a praktické usmernenia vypracované po konzultácii s európskymi a vnútroštátnymi orgánmi dohľadu a zainteresovanými stranami o uplatňovaní existujúcich právnych predpisov v oblasti finančných služieb, pokiaľ ide o používanie umelej inteligencie; domnieva sa, že cieľom takýchto usmernení by malo byť umožniť používanie umelej inteligencie v sektore finančných služieb, a to etickým, zodpovedným a transparentným spôsobom; požaduje jednotné vymedzenie pojmov a zjednodušenie regulačného rámca s cieľom zabrániť duplicitným požiadavkám vrátane požiadaviek na podávanie správ o hodnotení rizika a varuje pred univerzálnym prístupom, ktorý neprimerane zaťažuje menšie a stredné finančné inštitúcie; zdôrazňuje potrebu dobrej rovnováhy medzi zodpovedným využívaním umelej inteligencie a poskytnutím dostatočného priestoru na inovácie;</w:t>
      </w:r>
    </w:p>
    <w:p w14:paraId="23DA4F7E" w14:textId="77777777" w:rsidR="004F0997" w:rsidRPr="00EB71EB" w:rsidRDefault="004F0997" w:rsidP="004F0997">
      <w:pPr>
        <w:pStyle w:val="NormalHanging12a"/>
      </w:pPr>
      <w:r w:rsidRPr="00EB71EB">
        <w:t>19.</w:t>
      </w:r>
      <w:r w:rsidRPr="00EB71EB">
        <w:tab/>
        <w:t xml:space="preserve">vyzýva Komisiu, aby preskúmala, ako možno nástroje založené na umelej inteligencii používať na finančných trhoch, ako je sprostredkovanie, správa portfólia a automatizácia dodržiavania predpisov, s cieľom prispieť k cieľom únie úspor a investícií, a to aj podporou </w:t>
      </w:r>
      <w:proofErr w:type="spellStart"/>
      <w:r w:rsidRPr="00EB71EB">
        <w:t>retailových</w:t>
      </w:r>
      <w:proofErr w:type="spellEnd"/>
      <w:r w:rsidRPr="00EB71EB">
        <w:t xml:space="preserve"> investorov pri prijímaní informovaných investičných rozhodnutí, posilnením finančného vzdelávania, podporou inovácií medzi spoločnosťami, znížením fragmentácie trhu a zaistením bezpečného prostredia pre spotrebiteľov; zdôrazňuje, že dosiahnutie týchto cieľov si vyžaduje technologicky neutrálny regulačný rámec;</w:t>
      </w:r>
    </w:p>
    <w:p w14:paraId="092853B8" w14:textId="77777777" w:rsidR="004F0997" w:rsidRPr="00EB71EB" w:rsidRDefault="004F0997" w:rsidP="004F0997">
      <w:pPr>
        <w:pStyle w:val="NormalHanging12a"/>
      </w:pPr>
      <w:r w:rsidRPr="00EB71EB">
        <w:t>20.</w:t>
      </w:r>
      <w:r w:rsidRPr="00EB71EB">
        <w:tab/>
        <w:t xml:space="preserve">domnieva sa, že odvetvové právne predpisy upravujúce používanie umelej inteligencie vo finančných službách postačujú najmä na pokrytie zavádzania umelej inteligencie v </w:t>
      </w:r>
      <w:r w:rsidRPr="00EB71EB">
        <w:lastRenderedPageBreak/>
        <w:t xml:space="preserve">jej súčasnej podobe; zdôrazňuje, že by sa malo vykonávať nepretržité monitorovanie s cieľom zistiť, či existujú duplicity alebo nedostatky v súčasných právnych predpisoch o finančných službách uplatniteľných na zavádzanie umelej inteligencie; zdôrazňuje, že dodatočné právne predpisy by zvýšili zložitosť a neistotu a v konečnom dôsledku by mohli zbaviť sektor prínosu používania umelej inteligencie; zdôrazňuje, že spoliehanie sa na súčasné rámce si vyžaduje neustálu pozornosť dohľadu, účinné presadzovanie a jasné rozdelenie zodpovednosti za zabezpečenie súladu, najmä v prípade cezhraničných alebo externe zabezpečovaných scenárov zavádzania umelej inteligencie, ako aj monitorovanie a posudzovanie možných budúcich nedostatkov spôsobených novým vývojom v oblasti umelej inteligencie, ak vytvárajú značné riziká pre spotrebiteľov a finančnú stabilitu; dôrazne odporúča Komisii a členským štátom, aby sa skoordinovali s cieľom zabrániť </w:t>
      </w:r>
      <w:proofErr w:type="spellStart"/>
      <w:r w:rsidRPr="00EB71EB">
        <w:t>gold-platingu</w:t>
      </w:r>
      <w:proofErr w:type="spellEnd"/>
      <w:r w:rsidRPr="00EB71EB">
        <w:t xml:space="preserve"> a predísť vytváraniu nových prekážok na cezhraničných trhoch; konštatuje, že Komisia môže podľa aktu o umelej inteligencii posúdiť zoznam vysokorizikových aplikácií podľa prílohy III k aktu o AI;</w:t>
      </w:r>
    </w:p>
    <w:p w14:paraId="6B2068A2" w14:textId="77777777" w:rsidR="004F0997" w:rsidRPr="00EB71EB" w:rsidRDefault="004F0997" w:rsidP="004F0997">
      <w:pPr>
        <w:pStyle w:val="NormalHanging12a"/>
      </w:pPr>
      <w:r w:rsidRPr="00EB71EB">
        <w:t>21.</w:t>
      </w:r>
      <w:r w:rsidRPr="00EB71EB">
        <w:tab/>
        <w:t>vyzýva európske a vnútroštátne orgány dohľadu, aby podporovali zodpovedné zavádzanie umelej inteligencie tak, že budú presadzovať konzistentný výklad a nebudú uplatňovať príliš prísne existujúce právne predpisy; domnieva sa, že primeraná regulácia zavádzania umelej inteligencie v sektore finančných služieb podporuje jej využívanie a dôveru spoločnosti v umelú inteligenciu; zdôrazňuje, že postoj a prístup orgánov dohľadu sú rovnako dôležité ako samotné pravidlá; odporúča, aby sa v úsilí o dohľad uprednostnili konkrétne operačné riziká, ak boli identifikované, a nie abstraktné alebo teoretické obavy, pričom sa zachová aktívny a primeraný prístup k dohľadu, a to vyvážením inovácií a ochrany spotrebiteľa, s cieľom riadiť nepredvídané riziká vyplývajúce z rozšírenia využívania technológií umelej inteligencie; zdôrazňuje úlohu účinného monitorovania a riešenia rizík súvisiacich s umelou inteligenciou vrátane rizík súvisiacich s nepriehľadnosťou, koncentráciou trhu a stratou zodpovednosti, ktoré by mohli ovplyvniť finančnú stabilitu;</w:t>
      </w:r>
    </w:p>
    <w:p w14:paraId="555B0C8B" w14:textId="77777777" w:rsidR="004F0997" w:rsidRPr="00EB71EB" w:rsidRDefault="004F0997" w:rsidP="004F0997">
      <w:pPr>
        <w:pStyle w:val="NormalHanging12a"/>
      </w:pPr>
      <w:r w:rsidRPr="00EB71EB">
        <w:t>22.</w:t>
      </w:r>
      <w:r w:rsidRPr="00EB71EB">
        <w:tab/>
        <w:t>vyzýva Komisiu a členské štáty, aby odstránili prekážky vstupu inovačných finančných podnikov založených na umelej inteligencii v rámci EÚ, a to aj prostredníctvom zjednodušeného udeľovania licencií, cezhraničných rozširujúcich sa podnikov a začlenenia do inovačných centier dohľadu;</w:t>
      </w:r>
    </w:p>
    <w:p w14:paraId="20FD1221" w14:textId="77777777" w:rsidR="004F0997" w:rsidRPr="00EB71EB" w:rsidRDefault="004F0997" w:rsidP="004F0997">
      <w:pPr>
        <w:pStyle w:val="NormalHanging12a"/>
      </w:pPr>
      <w:r w:rsidRPr="00EB71EB">
        <w:t>23.</w:t>
      </w:r>
      <w:r w:rsidRPr="00EB71EB">
        <w:tab/>
        <w:t>podporuje výskum vplyvu využívania umelej inteligencie na životné prostredie so zameraním na intenzitu zdrojov a dlhodobú udržateľnosť s cieľom zvýšiť transparentnosť a pomôcť finančným inštitúciám pri posudzovaní týchto aspektov a ich vlastnej environmentálnej stopy;</w:t>
      </w:r>
    </w:p>
    <w:p w14:paraId="27AD4977" w14:textId="77777777" w:rsidR="004F0997" w:rsidRPr="00EB71EB" w:rsidRDefault="004F0997" w:rsidP="004F0997">
      <w:pPr>
        <w:pStyle w:val="NormalHanging12a"/>
      </w:pPr>
      <w:r w:rsidRPr="00EB71EB">
        <w:t>24.</w:t>
      </w:r>
      <w:r w:rsidRPr="00EB71EB">
        <w:tab/>
        <w:t xml:space="preserve">domnieva sa, že rastúce využívanie umelej inteligencie, ktoré môže mať vplyv na trh práce s finančnými službami, si vyžaduje silnú gramotnosť v oblasti umelej inteligencie, digitálne zručnosti a zapojenie talentov, ktoré podporujú iniciatívy verejného sektora zamerané na zvyšovanie úrovne zručností, ako aj trhové riešenia; podporuje úsilie priemyslu a cielené iniciatívy vrátane verejno-súkromných partnerstiev a programov rekvalifikácie pracovnej sily vo finančnej oblasti s cieľom budovať technické a etické kompetencie v oblasti umelej inteligencie, najmä pokiaľ ide o práva a riziká; zdôrazňuje, že je dôležité vypracovať stratégie v oblasti umelej inteligencie, ktoré zvyšujú produktivitu a zároveň podporujú adaptáciu, zvyšovanie úrovne zručností a prerozdelenie pracovníkov a zároveň zabezpečujú zmysluplný ľudský dohľad a kontrolu; požaduje väčšiu jasnosť v prípade požiadaviek stanovených v akte o AI, aby finančné inštitúcie spĺňali požiadavky na gramotnosť v oblasti umelej inteligencie; </w:t>
      </w:r>
      <w:r w:rsidRPr="00EB71EB">
        <w:lastRenderedPageBreak/>
        <w:t>okrem toho zdôrazňuje, že je dôležité zabezpečiť a podporovať rovnaký prístup k nástrojom a službám umelej inteligencie, a to aj pre skupiny obyvateľstva, ktoré sú menej digitálne schopné;</w:t>
      </w:r>
    </w:p>
    <w:p w14:paraId="3DE82D07" w14:textId="77777777" w:rsidR="004F0997" w:rsidRPr="00EB71EB" w:rsidRDefault="004F0997" w:rsidP="004F0997">
      <w:pPr>
        <w:pStyle w:val="NormalHanging12a"/>
      </w:pPr>
      <w:r w:rsidRPr="00EB71EB">
        <w:t>25.</w:t>
      </w:r>
      <w:r w:rsidRPr="00EB71EB">
        <w:tab/>
        <w:t>vyzýva Komisiu a európske a vnútroštátne orgány dohľadu, aby posúdili pridanú hodnotu experimentálnych regulačných prostredí špecifických pre umelú inteligenciu, inovačných centier a cezhraničných testovacích prostredí pre finančné služby pri umožňovaní experimentovania s finančnými inováciami založenými na umelej inteligencii, a to s cieľom pomôcť startupom testovať ich produkty a umožniť existujúcim inštitúciám preskúmať nové použitie v kontrolovanom prostredí pri súčasnom zabezpečení ochrany spotrebiteľa a integrity trhu; domnieva sa, že riadne využívanie experimentálnych regulačných prostredí pre umelú inteligenciu by mohlo poskytnúť štruktúrované testovacie prostredie pod dohľadom potrebné na uľahčenie inovácií a zodpovedného zavádzania umelej inteligencie v sektore finančných služieb; nabáda európske a vnútroštátne orgány dohľadu, aby zlepšili nástroje a technológie dohľadu (</w:t>
      </w:r>
      <w:proofErr w:type="spellStart"/>
      <w:r w:rsidRPr="00EB71EB">
        <w:t>SupTech</w:t>
      </w:r>
      <w:proofErr w:type="spellEnd"/>
      <w:r w:rsidRPr="00EB71EB">
        <w:t>) prostredníctvom využívania umelej inteligencie a začlenili ich do každodenných činností dohľadu s cieľom zlepšiť efektívnosť a účinnosť finančného dohľadu; konštatuje, že tieto nástroje sú určené na podporu, nie nahradenie ľudských orgánov dohľadu;</w:t>
      </w:r>
    </w:p>
    <w:p w14:paraId="761DC967" w14:textId="6FC4748B" w:rsidR="00441E0F" w:rsidRPr="00EB71EB" w:rsidRDefault="00441E0F" w:rsidP="00441E0F">
      <w:pPr>
        <w:pStyle w:val="NormalHanging12a"/>
        <w:ind w:left="0" w:firstLine="0"/>
        <w:jc w:val="center"/>
      </w:pPr>
      <w:r w:rsidRPr="00EB71EB">
        <w:t>°</w:t>
      </w:r>
    </w:p>
    <w:p w14:paraId="508DD6A3" w14:textId="6C701E27" w:rsidR="00441E0F" w:rsidRPr="00EB71EB" w:rsidRDefault="00441E0F" w:rsidP="00441E0F">
      <w:pPr>
        <w:pStyle w:val="NormalHanging12a"/>
        <w:ind w:left="0" w:firstLine="0"/>
        <w:jc w:val="center"/>
      </w:pPr>
      <w:r w:rsidRPr="00EB71EB">
        <w:t>°     °</w:t>
      </w:r>
    </w:p>
    <w:p w14:paraId="668D95C9" w14:textId="5F02888C" w:rsidR="00E365E1" w:rsidRPr="00EB71EB" w:rsidRDefault="004F0997" w:rsidP="00441E0F">
      <w:pPr>
        <w:pStyle w:val="NormalHanging12a"/>
      </w:pPr>
      <w:r w:rsidRPr="00EB71EB">
        <w:t>26.</w:t>
      </w:r>
      <w:r w:rsidRPr="00EB71EB">
        <w:tab/>
        <w:t>poveruje svoju predsedníčku, aby postúpila toto uznesenie Rade, Komisii a vládam a parlamentom členských štátov.</w:t>
      </w:r>
    </w:p>
    <w:sectPr w:rsidR="00E365E1" w:rsidRPr="00EB71EB" w:rsidSect="00B432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D792F" w14:textId="77777777" w:rsidR="007E4414" w:rsidRPr="00B4329C" w:rsidRDefault="007E4414">
      <w:r w:rsidRPr="00B4329C">
        <w:separator/>
      </w:r>
    </w:p>
  </w:endnote>
  <w:endnote w:type="continuationSeparator" w:id="0">
    <w:p w14:paraId="151DF8FA" w14:textId="77777777" w:rsidR="007E4414" w:rsidRPr="00B4329C" w:rsidRDefault="007E4414">
      <w:r w:rsidRPr="00B432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825F" w14:textId="77777777" w:rsidR="00064002" w:rsidRPr="00B432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AF2F" w14:textId="77777777" w:rsidR="00064002" w:rsidRPr="00B432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767E" w14:textId="77777777" w:rsidR="00064002" w:rsidRPr="00B432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B7287" w14:textId="77777777" w:rsidR="007E4414" w:rsidRPr="00B4329C" w:rsidRDefault="007E4414">
      <w:r w:rsidRPr="00B4329C">
        <w:separator/>
      </w:r>
    </w:p>
  </w:footnote>
  <w:footnote w:type="continuationSeparator" w:id="0">
    <w:p w14:paraId="6739A54F" w14:textId="77777777" w:rsidR="007E4414" w:rsidRPr="00B4329C" w:rsidRDefault="007E4414">
      <w:r w:rsidRPr="00B4329C">
        <w:continuationSeparator/>
      </w:r>
    </w:p>
  </w:footnote>
  <w:footnote w:id="1">
    <w:p w14:paraId="1440D078" w14:textId="39A4ADA9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="00E938D8" w:rsidRPr="00EB71EB">
        <w:rPr>
          <w:sz w:val="24"/>
          <w:szCs w:val="24"/>
          <w:lang w:val="fi-FI"/>
        </w:rPr>
        <w:t xml:space="preserve">Ú. v. EÚ L, 2024/1624, 19.6.2024,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"http://data.europa.eu/eli/reg/2024/1624/oj"</w:instrText>
      </w:r>
      <w:r w:rsidR="00CE29F1">
        <w:fldChar w:fldCharType="separate"/>
      </w:r>
      <w:r w:rsidR="00E938D8" w:rsidRPr="00EB71EB">
        <w:rPr>
          <w:rStyle w:val="Hyperlink"/>
          <w:sz w:val="24"/>
          <w:szCs w:val="24"/>
          <w:lang w:val="sk-SK"/>
        </w:rPr>
        <w:t>http://data.europa.eu/eli/reg/2024/1624/oj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="00E938D8" w:rsidRPr="00EB71EB">
        <w:rPr>
          <w:sz w:val="24"/>
          <w:szCs w:val="24"/>
          <w:lang w:val="fi-FI"/>
        </w:rPr>
        <w:t>.</w:t>
      </w:r>
    </w:p>
  </w:footnote>
  <w:footnote w:id="2">
    <w:p w14:paraId="158A3AF4" w14:textId="56BD1E20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2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="00E938D8" w:rsidRPr="00EB71EB">
        <w:rPr>
          <w:sz w:val="24"/>
          <w:szCs w:val="24"/>
          <w:lang w:val="fi-FI"/>
        </w:rPr>
        <w:t>Ú. v. EÚ L</w:t>
      </w:r>
      <w:r w:rsidR="00352530">
        <w:rPr>
          <w:sz w:val="24"/>
          <w:szCs w:val="24"/>
          <w:lang w:val="fi-FI"/>
        </w:rPr>
        <w:t>,</w:t>
      </w:r>
      <w:r w:rsidR="00E938D8" w:rsidRPr="00EB71EB">
        <w:rPr>
          <w:sz w:val="24"/>
          <w:szCs w:val="24"/>
          <w:lang w:val="fi-FI"/>
        </w:rPr>
        <w:t xml:space="preserve"> 2024/1689, 12.7.2024,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"http://data.europa.eu/eli/reg/2024/1689/oj"</w:instrText>
      </w:r>
      <w:r w:rsidR="00CE29F1">
        <w:fldChar w:fldCharType="separate"/>
      </w:r>
      <w:r w:rsidR="00E938D8" w:rsidRPr="00EB71EB">
        <w:rPr>
          <w:rStyle w:val="Hyperlink"/>
          <w:sz w:val="24"/>
          <w:szCs w:val="24"/>
          <w:lang w:val="sk-SK"/>
        </w:rPr>
        <w:t>http://data.europa.eu/eli/reg/2024/1689/oj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="00E938D8" w:rsidRPr="00EB71EB">
        <w:rPr>
          <w:sz w:val="24"/>
          <w:szCs w:val="24"/>
          <w:lang w:val="fi-FI"/>
        </w:rPr>
        <w:t>.</w:t>
      </w:r>
    </w:p>
  </w:footnote>
  <w:footnote w:id="3">
    <w:p w14:paraId="73044E52" w14:textId="1771C0FB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3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333, 27.12.2022, s. 1,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"http://data.europa.eu/eli/reg/2022/2554/oj"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http://data.europa.eu/eli/reg/2022/2554/oj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4">
    <w:p w14:paraId="073D9C06" w14:textId="0D140D0C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4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="00E938D8" w:rsidRPr="00EB71EB">
        <w:rPr>
          <w:sz w:val="24"/>
          <w:szCs w:val="24"/>
          <w:lang w:val="fi-FI"/>
        </w:rPr>
        <w:t xml:space="preserve">Ú. v. EÚ L 119, 4.5.2016, s. 1,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"http://data.europa.eu/eli/reg/2016/679/oj"</w:instrText>
      </w:r>
      <w:r w:rsidR="00CE29F1">
        <w:fldChar w:fldCharType="separate"/>
      </w:r>
      <w:r w:rsidR="00E938D8" w:rsidRPr="00EB71EB">
        <w:rPr>
          <w:rStyle w:val="Hyperlink"/>
          <w:sz w:val="24"/>
          <w:szCs w:val="24"/>
          <w:lang w:val="sk-SK"/>
        </w:rPr>
        <w:t>http://data.europa.eu/eli/reg/2016/679/oj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="00E938D8" w:rsidRPr="00EB71EB">
        <w:rPr>
          <w:sz w:val="24"/>
          <w:szCs w:val="24"/>
          <w:lang w:val="fi-FI"/>
        </w:rPr>
        <w:t>.</w:t>
      </w:r>
    </w:p>
  </w:footnote>
  <w:footnote w:id="5">
    <w:p w14:paraId="61974BF3" w14:textId="5BD4D10D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5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26, 2.2.2016, s. 19,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"http://data.europa.eu/eli/dir/2016/97/oj"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http://data.europa.eu/eli/dir/2016/97/oj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6">
    <w:p w14:paraId="044984D8" w14:textId="42663862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6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173, 12.6.2014, s. 84,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"http://data.europa.eu/eli/reg/2014/600/oj"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http://data.europa.eu/eli/reg/2014/600/oj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7">
    <w:p w14:paraId="137A0499" w14:textId="1D3DEEA2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7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173, 12.6.2014, s. 349,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"http://data.europa.eu/eli/dir/2014/65/oj"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http://data.europa.eu/eli/dir/2014/65/oj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8">
    <w:p w14:paraId="4B0F28EA" w14:textId="3DA54EDC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8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176, 27.6.2013, s. 1,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"http://data.europa.eu/eli/reg/2013/575/oj"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http://data.europa.eu/eli/reg/2013/575/oj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9">
    <w:p w14:paraId="1FA16FDA" w14:textId="519761E8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9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176, 27.6.2013, s. 338,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"http://data.europa.eu/eli/dir/2013/36/oj"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http://data.europa.eu/eli/dir/2013/36/oj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10">
    <w:p w14:paraId="0F4CC5AE" w14:textId="5A309D9E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10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174, 1.7.2011, s. 1,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"http://data.europa.eu/eli/dir/2011/61/oj" \t "http://data.europa.eu/eli/dir/2011/61/oj"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http://data.europa.eu/eli/dir/2011/61/oj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11">
    <w:p w14:paraId="0F4862A1" w14:textId="372C35AC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11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335, 17.12.2009, s. 1,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"http://data.europa.eu/eli/dir/2009/138/oj"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http://data.europa.eu/eli/dir/2009/138/oj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12">
    <w:p w14:paraId="66FC79BA" w14:textId="4FC5526A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12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 v. EÚ L 302, 17.11.2009, s. 32,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"http://data.europa.eu/eli/dir/2009/65/oj" \t "http://data.europa.eu/eli/dir/2009/65/oj"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http://data.europa.eu/eli/dir/2009/65/oj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13">
    <w:p w14:paraId="7ED6BA18" w14:textId="3590BA04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13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 xml:space="preserve">Ú. v. EÚ L 337, 23.12.2015, s. 35, ELI: </w:t>
      </w:r>
      <w:r w:rsidR="00CE29F1">
        <w:fldChar w:fldCharType="begin"/>
      </w:r>
      <w:r w:rsidR="00CE29F1" w:rsidRPr="00CE29F1">
        <w:rPr>
          <w:lang w:val="fi-FI"/>
        </w:rPr>
        <w:instrText>HYPERLINK "http://data.europa.eu/eli/dir/2015/2366/oj" \t "http://data.europa.eu/eli/dir/2015/2366/oj"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http://data.europa.eu/eli/dir/2015/2366/oj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  <w:footnote w:id="14">
    <w:p w14:paraId="0EAE2FA5" w14:textId="5545462C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14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="004D7173" w:rsidRPr="00EB71EB">
        <w:rPr>
          <w:sz w:val="24"/>
          <w:szCs w:val="24"/>
          <w:lang w:val="sk-SK"/>
        </w:rPr>
        <w:t>Ú. v. EÚ C 465, 6.12.2022, s. 65.</w:t>
      </w:r>
    </w:p>
  </w:footnote>
  <w:footnote w:id="15">
    <w:p w14:paraId="4B668968" w14:textId="2148974D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15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Pr="00EB71EB">
        <w:rPr>
          <w:sz w:val="24"/>
          <w:szCs w:val="24"/>
          <w:lang w:val="sk-SK"/>
        </w:rPr>
        <w:t>Dotazník EBA na hodnotenie rizík, jeseň 2024; Správa EIOPA o digitalizácii európskeho poisťovníctva; Správa orgánu ESMA o umelej inteligencii v investičných fondoch EÚ.</w:t>
      </w:r>
    </w:p>
  </w:footnote>
  <w:footnote w:id="16">
    <w:p w14:paraId="37B24B06" w14:textId="26C3CB70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16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r w:rsidR="00441E0F" w:rsidRPr="00EB71EB">
        <w:rPr>
          <w:sz w:val="24"/>
          <w:szCs w:val="24"/>
          <w:lang w:val="sk-SK"/>
        </w:rPr>
        <w:t>S</w:t>
      </w:r>
      <w:r w:rsidRPr="00EB71EB">
        <w:rPr>
          <w:sz w:val="24"/>
          <w:szCs w:val="24"/>
          <w:lang w:val="sk-SK"/>
        </w:rPr>
        <w:t>pomedzi príslušných odvetvových právnych predpisov stoja za zmienku okrem iného napríklad nariadenie o kapitálových požiadavkách, smernica o kapitálových požiadavkách, smernica Solventnosť II, smernica o distribúcii poistenia, nariadenie o trhoch s finančnými nástrojmi, smernica o trhoch s finančnými nástrojmi, akt o digitálnej prevádzkovej odolnosti, smernica o správcoch alternatívnych investičných fondov, smernica o PKIPCP a smernica o platobných službách, ako aj sprievodné usmernenia a regulačné technické predpisy európskych orgánov dohľadu</w:t>
      </w:r>
      <w:r w:rsidR="00441E0F" w:rsidRPr="00EB71EB">
        <w:rPr>
          <w:sz w:val="24"/>
          <w:szCs w:val="24"/>
          <w:lang w:val="sk-SK"/>
        </w:rPr>
        <w:t>.</w:t>
      </w:r>
    </w:p>
  </w:footnote>
  <w:footnote w:id="17">
    <w:p w14:paraId="4DF502C4" w14:textId="0ECC3AEC" w:rsidR="004F0997" w:rsidRPr="00EB71EB" w:rsidRDefault="004F0997" w:rsidP="00B4329C">
      <w:pPr>
        <w:pStyle w:val="FootnoteText"/>
        <w:ind w:left="567" w:hanging="567"/>
        <w:rPr>
          <w:sz w:val="24"/>
          <w:szCs w:val="24"/>
          <w:lang w:val="sk-SK"/>
        </w:rPr>
      </w:pPr>
      <w:r w:rsidRPr="00EB71EB">
        <w:rPr>
          <w:sz w:val="24"/>
          <w:szCs w:val="24"/>
          <w:vertAlign w:val="superscript"/>
          <w:lang w:val="sk-SK"/>
        </w:rPr>
        <w:t>17</w:t>
      </w:r>
      <w:r w:rsidR="00B4329C" w:rsidRPr="00EB71EB">
        <w:rPr>
          <w:sz w:val="24"/>
          <w:szCs w:val="24"/>
          <w:vertAlign w:val="superscript"/>
          <w:lang w:val="sk-SK"/>
        </w:rPr>
        <w:t xml:space="preserve"> </w:t>
      </w:r>
      <w:r w:rsidR="00B4329C" w:rsidRPr="00EB71EB">
        <w:rPr>
          <w:sz w:val="24"/>
          <w:szCs w:val="24"/>
          <w:vertAlign w:val="superscript"/>
          <w:lang w:val="sk-SK"/>
        </w:rPr>
        <w:tab/>
      </w:r>
      <w:proofErr w:type="spellStart"/>
      <w:r w:rsidRPr="00EB71EB">
        <w:rPr>
          <w:sz w:val="24"/>
          <w:szCs w:val="24"/>
          <w:lang w:val="sk-SK"/>
        </w:rPr>
        <w:t>Christine</w:t>
      </w:r>
      <w:proofErr w:type="spellEnd"/>
      <w:r w:rsidRPr="00EB71EB">
        <w:rPr>
          <w:sz w:val="24"/>
          <w:szCs w:val="24"/>
          <w:lang w:val="sk-SK"/>
        </w:rPr>
        <w:t xml:space="preserve"> </w:t>
      </w:r>
      <w:proofErr w:type="spellStart"/>
      <w:r w:rsidRPr="00EB71EB">
        <w:rPr>
          <w:sz w:val="24"/>
          <w:szCs w:val="24"/>
          <w:lang w:val="sk-SK"/>
        </w:rPr>
        <w:t>Lagarde</w:t>
      </w:r>
      <w:proofErr w:type="spellEnd"/>
      <w:r w:rsidRPr="00EB71EB">
        <w:rPr>
          <w:sz w:val="24"/>
          <w:szCs w:val="24"/>
          <w:lang w:val="sk-SK"/>
        </w:rPr>
        <w:t xml:space="preserve">, </w:t>
      </w:r>
      <w:proofErr w:type="spellStart"/>
      <w:r w:rsidRPr="00EB71EB">
        <w:rPr>
          <w:sz w:val="24"/>
          <w:szCs w:val="24"/>
          <w:lang w:val="sk-SK"/>
        </w:rPr>
        <w:t>The</w:t>
      </w:r>
      <w:proofErr w:type="spellEnd"/>
      <w:r w:rsidRPr="00EB71EB">
        <w:rPr>
          <w:sz w:val="24"/>
          <w:szCs w:val="24"/>
          <w:lang w:val="sk-SK"/>
        </w:rPr>
        <w:t xml:space="preserve"> </w:t>
      </w:r>
      <w:proofErr w:type="spellStart"/>
      <w:r w:rsidRPr="00EB71EB">
        <w:rPr>
          <w:sz w:val="24"/>
          <w:szCs w:val="24"/>
          <w:lang w:val="sk-SK"/>
        </w:rPr>
        <w:t>transformative</w:t>
      </w:r>
      <w:proofErr w:type="spellEnd"/>
      <w:r w:rsidRPr="00EB71EB">
        <w:rPr>
          <w:sz w:val="24"/>
          <w:szCs w:val="24"/>
          <w:lang w:val="sk-SK"/>
        </w:rPr>
        <w:t xml:space="preserve"> </w:t>
      </w:r>
      <w:proofErr w:type="spellStart"/>
      <w:r w:rsidRPr="00EB71EB">
        <w:rPr>
          <w:sz w:val="24"/>
          <w:szCs w:val="24"/>
          <w:lang w:val="sk-SK"/>
        </w:rPr>
        <w:t>power</w:t>
      </w:r>
      <w:proofErr w:type="spellEnd"/>
      <w:r w:rsidRPr="00EB71EB">
        <w:rPr>
          <w:sz w:val="24"/>
          <w:szCs w:val="24"/>
          <w:lang w:val="sk-SK"/>
        </w:rPr>
        <w:t xml:space="preserve"> of AI (Transformačná sila AI), 2025, </w:t>
      </w:r>
      <w:r w:rsidR="00CE29F1">
        <w:fldChar w:fldCharType="begin"/>
      </w:r>
      <w:r w:rsidR="00CE29F1" w:rsidRPr="00CE29F1">
        <w:rPr>
          <w:lang w:val="sk-SK"/>
        </w:rPr>
        <w:instrText>HYPERLINK "https://www.ecb.europa.eu/press/key/date/2025/html/ecb.sp250401_1~d6c9d8df11.en.html"</w:instrText>
      </w:r>
      <w:r w:rsidR="00CE29F1">
        <w:fldChar w:fldCharType="separate"/>
      </w:r>
      <w:r w:rsidRPr="00EB71EB">
        <w:rPr>
          <w:rStyle w:val="Hyperlink"/>
          <w:sz w:val="24"/>
          <w:szCs w:val="24"/>
          <w:lang w:val="sk-SK"/>
        </w:rPr>
        <w:t>https://www.ecb.europa.eu/press/key/date/2025/html/ecb.sp250401_1~d6c9d8df11.en.html</w:t>
      </w:r>
      <w:r w:rsidR="00CE29F1">
        <w:rPr>
          <w:rStyle w:val="Hyperlink"/>
          <w:sz w:val="24"/>
          <w:szCs w:val="24"/>
          <w:lang w:val="sk-SK"/>
        </w:rPr>
        <w:fldChar w:fldCharType="end"/>
      </w:r>
      <w:r w:rsidRPr="00EB71EB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2B25" w14:textId="77777777" w:rsidR="00064002" w:rsidRPr="00B432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0ED93" w14:textId="77777777" w:rsidR="00064002" w:rsidRPr="00B432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A6300" w14:textId="77777777" w:rsidR="00064002" w:rsidRPr="00B432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4648946">
    <w:abstractNumId w:val="9"/>
  </w:num>
  <w:num w:numId="2" w16cid:durableId="1066028918">
    <w:abstractNumId w:val="9"/>
  </w:num>
  <w:num w:numId="3" w16cid:durableId="1101534505">
    <w:abstractNumId w:val="7"/>
  </w:num>
  <w:num w:numId="4" w16cid:durableId="853495363">
    <w:abstractNumId w:val="7"/>
  </w:num>
  <w:num w:numId="5" w16cid:durableId="672997643">
    <w:abstractNumId w:val="6"/>
  </w:num>
  <w:num w:numId="6" w16cid:durableId="1975404493">
    <w:abstractNumId w:val="6"/>
  </w:num>
  <w:num w:numId="7" w16cid:durableId="276955556">
    <w:abstractNumId w:val="5"/>
  </w:num>
  <w:num w:numId="8" w16cid:durableId="962887573">
    <w:abstractNumId w:val="5"/>
  </w:num>
  <w:num w:numId="9" w16cid:durableId="2049647797">
    <w:abstractNumId w:val="4"/>
  </w:num>
  <w:num w:numId="10" w16cid:durableId="203059468">
    <w:abstractNumId w:val="4"/>
  </w:num>
  <w:num w:numId="11" w16cid:durableId="749079584">
    <w:abstractNumId w:val="8"/>
  </w:num>
  <w:num w:numId="12" w16cid:durableId="500047246">
    <w:abstractNumId w:val="8"/>
  </w:num>
  <w:num w:numId="13" w16cid:durableId="1924531522">
    <w:abstractNumId w:val="3"/>
  </w:num>
  <w:num w:numId="14" w16cid:durableId="513616091">
    <w:abstractNumId w:val="3"/>
  </w:num>
  <w:num w:numId="15" w16cid:durableId="1807311835">
    <w:abstractNumId w:val="2"/>
  </w:num>
  <w:num w:numId="16" w16cid:durableId="1303072059">
    <w:abstractNumId w:val="2"/>
  </w:num>
  <w:num w:numId="17" w16cid:durableId="1825660269">
    <w:abstractNumId w:val="1"/>
  </w:num>
  <w:num w:numId="18" w16cid:durableId="601186433">
    <w:abstractNumId w:val="1"/>
  </w:num>
  <w:num w:numId="19" w16cid:durableId="1566136089">
    <w:abstractNumId w:val="0"/>
  </w:num>
  <w:num w:numId="20" w16cid:durableId="680544243">
    <w:abstractNumId w:val="0"/>
  </w:num>
  <w:num w:numId="21" w16cid:durableId="168637765">
    <w:abstractNumId w:val="9"/>
  </w:num>
  <w:num w:numId="22" w16cid:durableId="28385657">
    <w:abstractNumId w:val="7"/>
  </w:num>
  <w:num w:numId="23" w16cid:durableId="784690629">
    <w:abstractNumId w:val="6"/>
  </w:num>
  <w:num w:numId="24" w16cid:durableId="1463307342">
    <w:abstractNumId w:val="5"/>
  </w:num>
  <w:num w:numId="25" w16cid:durableId="846167123">
    <w:abstractNumId w:val="4"/>
  </w:num>
  <w:num w:numId="26" w16cid:durableId="470175941">
    <w:abstractNumId w:val="8"/>
  </w:num>
  <w:num w:numId="27" w16cid:durableId="67460705">
    <w:abstractNumId w:val="3"/>
  </w:num>
  <w:num w:numId="28" w16cid:durableId="1808009915">
    <w:abstractNumId w:val="2"/>
  </w:num>
  <w:num w:numId="29" w16cid:durableId="653140383">
    <w:abstractNumId w:val="1"/>
  </w:num>
  <w:num w:numId="30" w16cid:durableId="889459876">
    <w:abstractNumId w:val="0"/>
  </w:num>
  <w:num w:numId="31" w16cid:durableId="1712262379">
    <w:abstractNumId w:val="9"/>
  </w:num>
  <w:num w:numId="32" w16cid:durableId="1114640576">
    <w:abstractNumId w:val="7"/>
  </w:num>
  <w:num w:numId="33" w16cid:durableId="223033712">
    <w:abstractNumId w:val="6"/>
  </w:num>
  <w:num w:numId="34" w16cid:durableId="73363830">
    <w:abstractNumId w:val="5"/>
  </w:num>
  <w:num w:numId="35" w16cid:durableId="488518792">
    <w:abstractNumId w:val="4"/>
  </w:num>
  <w:num w:numId="36" w16cid:durableId="108672588">
    <w:abstractNumId w:val="8"/>
  </w:num>
  <w:num w:numId="37" w16cid:durableId="10376312">
    <w:abstractNumId w:val="3"/>
  </w:num>
  <w:num w:numId="38" w16cid:durableId="1361392822">
    <w:abstractNumId w:val="2"/>
  </w:num>
  <w:num w:numId="39" w16cid:durableId="1814063205">
    <w:abstractNumId w:val="1"/>
  </w:num>
  <w:num w:numId="40" w16cid:durableId="1435322251">
    <w:abstractNumId w:val="0"/>
  </w:num>
  <w:num w:numId="41" w16cid:durableId="1368262224">
    <w:abstractNumId w:val="10"/>
  </w:num>
  <w:num w:numId="42" w16cid:durableId="347172591">
    <w:abstractNumId w:val="10"/>
  </w:num>
  <w:num w:numId="43" w16cid:durableId="861089563">
    <w:abstractNumId w:val="10"/>
  </w:num>
  <w:num w:numId="44" w16cid:durableId="276377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5/2025"/>
    <w:docVar w:name="dvlangue" w:val="SK"/>
    <w:docVar w:name="dvnumam" w:val="0"/>
    <w:docVar w:name="dvpe" w:val="773.328"/>
    <w:docVar w:name="dvrapporteur" w:val="Spravodajkyňa: "/>
    <w:docVar w:name="dvtitre" w:val="Uznesenie Európskeho parlamentu z xx. novembra 2025 o vplyve umelej inteligencie na finančný sektor(2025/2056(INI))"/>
  </w:docVars>
  <w:rsids>
    <w:rsidRoot w:val="007E44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530"/>
    <w:rsid w:val="00361C00"/>
    <w:rsid w:val="00395FA1"/>
    <w:rsid w:val="003E15D4"/>
    <w:rsid w:val="00411CCE"/>
    <w:rsid w:val="0041666E"/>
    <w:rsid w:val="00421060"/>
    <w:rsid w:val="00441E0F"/>
    <w:rsid w:val="00471C19"/>
    <w:rsid w:val="004867E3"/>
    <w:rsid w:val="00494A28"/>
    <w:rsid w:val="004C0004"/>
    <w:rsid w:val="004C5D52"/>
    <w:rsid w:val="004D7173"/>
    <w:rsid w:val="004F099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35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41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4329C"/>
    <w:rsid w:val="00B558F0"/>
    <w:rsid w:val="00BD48FE"/>
    <w:rsid w:val="00BD7BD8"/>
    <w:rsid w:val="00BE6ADC"/>
    <w:rsid w:val="00BF1421"/>
    <w:rsid w:val="00C05BFE"/>
    <w:rsid w:val="00C15389"/>
    <w:rsid w:val="00C23CD4"/>
    <w:rsid w:val="00C2631B"/>
    <w:rsid w:val="00C61C0C"/>
    <w:rsid w:val="00C941CB"/>
    <w:rsid w:val="00CC2357"/>
    <w:rsid w:val="00CE29F1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8D8"/>
    <w:rsid w:val="00EB006A"/>
    <w:rsid w:val="00EB4772"/>
    <w:rsid w:val="00EB71E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E7AF4"/>
  <w15:chartTrackingRefBased/>
  <w15:docId w15:val="{CDAFE499-0E86-4785-BF24-4A93B139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F0997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F099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F0997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F0997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F0997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F0997"/>
    <w:rPr>
      <w:color w:val="0000FF"/>
      <w:u w:val="single"/>
    </w:rPr>
  </w:style>
  <w:style w:type="paragraph" w:styleId="Revision">
    <w:name w:val="Revision"/>
    <w:hidden/>
    <w:uiPriority w:val="99"/>
    <w:semiHidden/>
    <w:rsid w:val="00E938D8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E93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3728</Words>
  <Characters>24090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2026-01-26T09:47:00Z</dcterms:created>
  <dcterms:modified xsi:type="dcterms:W3CDTF">2026-01-26T09:47:00Z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A10-0225/2025</vt:lpwstr>
  </property>
  <property fmtid="{D5CDD505-2E9C-101B-9397-08002B2CF9AE}" pid="4" name="&lt;Type&gt;">
    <vt:lpwstr>RR</vt:lpwstr>
  </property>
</Properties>
</file>