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6253" w14:paraId="05EFE9A1" w14:textId="77777777" w:rsidTr="0010095E">
        <w:trPr>
          <w:trHeight w:hRule="exact" w:val="1418"/>
        </w:trPr>
        <w:tc>
          <w:tcPr>
            <w:tcW w:w="6804" w:type="dxa"/>
            <w:shd w:val="clear" w:color="auto" w:fill="auto"/>
            <w:vAlign w:val="center"/>
          </w:tcPr>
          <w:p w14:paraId="67BB548D" w14:textId="2A2B7E8F" w:rsidR="00751A4A" w:rsidRPr="005E6253" w:rsidRDefault="00324EDE" w:rsidP="0010095E">
            <w:pPr>
              <w:pStyle w:val="EPName"/>
            </w:pPr>
            <w:r w:rsidRPr="005E6253">
              <w:t>Европейски</w:t>
            </w:r>
            <w:r w:rsidR="00D32FDD" w:rsidRPr="005E6253">
              <w:t xml:space="preserve"> парламент</w:t>
            </w:r>
          </w:p>
          <w:p w14:paraId="18A7A341" w14:textId="34350D3F" w:rsidR="00751A4A" w:rsidRPr="005E6253" w:rsidRDefault="005F1B17" w:rsidP="005F1B17">
            <w:pPr>
              <w:pStyle w:val="EPTerm"/>
              <w:rPr>
                <w:rStyle w:val="HideTWBExt"/>
                <w:noProof w:val="0"/>
                <w:vanish w:val="0"/>
                <w:color w:val="auto"/>
              </w:rPr>
            </w:pPr>
            <w:r w:rsidRPr="005E6253">
              <w:t>2024</w:t>
            </w:r>
            <w:r w:rsidR="00324EDE">
              <w:t> – </w:t>
            </w:r>
            <w:r w:rsidR="00817416" w:rsidRPr="005E6253">
              <w:t>202</w:t>
            </w:r>
            <w:r w:rsidRPr="005E6253">
              <w:t>9</w:t>
            </w:r>
          </w:p>
        </w:tc>
        <w:tc>
          <w:tcPr>
            <w:tcW w:w="2268" w:type="dxa"/>
            <w:shd w:val="clear" w:color="auto" w:fill="auto"/>
          </w:tcPr>
          <w:p w14:paraId="722EBC04" w14:textId="77777777" w:rsidR="00751A4A" w:rsidRPr="005E6253" w:rsidRDefault="00187494" w:rsidP="0010095E">
            <w:pPr>
              <w:pStyle w:val="EPLogo"/>
            </w:pPr>
            <w:r w:rsidRPr="005E6253">
              <w:rPr>
                <w:noProof/>
                <w:lang w:eastAsia="ja-JP"/>
              </w:rPr>
              <w:drawing>
                <wp:inline distT="0" distB="0" distL="0" distR="0" wp14:anchorId="7364CEAD" wp14:editId="7D59A9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E288D9" w14:textId="77777777" w:rsidR="00D058B8" w:rsidRPr="005E6253" w:rsidRDefault="00D058B8" w:rsidP="004C5D52">
      <w:pPr>
        <w:pStyle w:val="LineTop"/>
      </w:pPr>
    </w:p>
    <w:p w14:paraId="10A8D1FD" w14:textId="1BAD8C80" w:rsidR="00680577" w:rsidRPr="005E6253" w:rsidRDefault="00D32FDD" w:rsidP="00680577">
      <w:pPr>
        <w:pStyle w:val="EPBodyTA1"/>
      </w:pPr>
      <w:r w:rsidRPr="005E6253">
        <w:t>ПРИЕТИ ТЕКСТОВЕ</w:t>
      </w:r>
    </w:p>
    <w:p w14:paraId="378C92A1" w14:textId="77777777" w:rsidR="00D058B8" w:rsidRPr="005E6253" w:rsidRDefault="00D058B8" w:rsidP="00D058B8">
      <w:pPr>
        <w:pStyle w:val="LineBottom"/>
      </w:pPr>
    </w:p>
    <w:p w14:paraId="799D4E09" w14:textId="4B3F7529" w:rsidR="00D32FDD" w:rsidRPr="000D2B2F" w:rsidRDefault="00D32FDD" w:rsidP="00D32FDD">
      <w:pPr>
        <w:pStyle w:val="ATHeading1"/>
        <w:rPr>
          <w:lang w:val="ru-RU"/>
        </w:rPr>
      </w:pPr>
      <w:bookmarkStart w:id="0" w:name="TANumber"/>
      <w:r w:rsidRPr="005E6253">
        <w:t>P10_TA(2025)0</w:t>
      </w:r>
      <w:r w:rsidR="004441FF" w:rsidRPr="000D2B2F">
        <w:rPr>
          <w:lang w:val="ru-RU"/>
        </w:rPr>
        <w:t>287</w:t>
      </w:r>
      <w:bookmarkEnd w:id="0"/>
    </w:p>
    <w:p w14:paraId="17EE8BC7" w14:textId="77777777" w:rsidR="00D32FDD" w:rsidRPr="005E6253" w:rsidRDefault="00D32FDD" w:rsidP="00D32FDD">
      <w:pPr>
        <w:pStyle w:val="ATHeading2"/>
      </w:pPr>
      <w:bookmarkStart w:id="1" w:name="title"/>
      <w:r w:rsidRPr="005E6253">
        <w:t>Бюджет за 2024 г. – оценка на прилагането на методиката за интегриране на принципа на равенство между половете в бюджета на ЕС</w:t>
      </w:r>
    </w:p>
    <w:p w14:paraId="17C82505" w14:textId="77777777" w:rsidR="00D32FDD" w:rsidRPr="005E6253" w:rsidRDefault="00D32FDD" w:rsidP="00D32FDD">
      <w:pPr>
        <w:rPr>
          <w:i/>
          <w:vanish/>
        </w:rPr>
      </w:pPr>
      <w:r w:rsidRPr="005E6253">
        <w:rPr>
          <w:i/>
        </w:rPr>
        <w:fldChar w:fldCharType="begin"/>
      </w:r>
      <w:r w:rsidRPr="005E6253">
        <w:rPr>
          <w:i/>
        </w:rPr>
        <w:instrText xml:space="preserve"> TC"(</w:instrText>
      </w:r>
      <w:bookmarkStart w:id="2" w:name="DocNumber"/>
      <w:r w:rsidRPr="005E6253">
        <w:rPr>
          <w:i/>
        </w:rPr>
        <w:instrText>A10-0212/2025</w:instrText>
      </w:r>
      <w:bookmarkEnd w:id="2"/>
      <w:r w:rsidRPr="005E6253">
        <w:rPr>
          <w:i/>
        </w:rPr>
        <w:instrText xml:space="preserve"> - Докладчик: Марит Май)"\l3 \n&gt; \* MERGEFORMAT </w:instrText>
      </w:r>
      <w:r w:rsidRPr="005E6253">
        <w:rPr>
          <w:i/>
        </w:rPr>
        <w:fldChar w:fldCharType="end"/>
      </w:r>
    </w:p>
    <w:p w14:paraId="7F43CC8A" w14:textId="77777777" w:rsidR="00D32FDD" w:rsidRPr="005E6253" w:rsidRDefault="00D32FDD" w:rsidP="00D32FDD">
      <w:pPr>
        <w:rPr>
          <w:vanish/>
        </w:rPr>
      </w:pPr>
      <w:bookmarkStart w:id="3" w:name="Commission"/>
      <w:r w:rsidRPr="005E6253">
        <w:rPr>
          <w:vanish/>
        </w:rPr>
        <w:t>Комисия по бюджетен контрол</w:t>
      </w:r>
      <w:bookmarkEnd w:id="3"/>
    </w:p>
    <w:p w14:paraId="702AED76" w14:textId="77777777" w:rsidR="00D32FDD" w:rsidRPr="005E6253" w:rsidRDefault="00D32FDD" w:rsidP="00D32FDD">
      <w:pPr>
        <w:rPr>
          <w:vanish/>
        </w:rPr>
      </w:pPr>
      <w:bookmarkStart w:id="4" w:name="PE"/>
      <w:r w:rsidRPr="005E6253">
        <w:rPr>
          <w:vanish/>
        </w:rPr>
        <w:t>PE775.770</w:t>
      </w:r>
      <w:bookmarkEnd w:id="4"/>
    </w:p>
    <w:p w14:paraId="002C8F99" w14:textId="5C7E7D7C" w:rsidR="00D32FDD" w:rsidRPr="005E6253" w:rsidRDefault="00D32FDD" w:rsidP="00D32FDD">
      <w:pPr>
        <w:pStyle w:val="ATHeading3"/>
      </w:pPr>
      <w:bookmarkStart w:id="5" w:name="Sujet"/>
      <w:r w:rsidRPr="005E6253">
        <w:t xml:space="preserve">Резолюция на Европейския парламент от </w:t>
      </w:r>
      <w:r w:rsidR="00324EDE">
        <w:t>25 ноември</w:t>
      </w:r>
      <w:r w:rsidRPr="005E6253">
        <w:t xml:space="preserve"> 2025 г. относно бюджета за 2024 г. – оценка на прилагането на методиката за интегриране на принципа на равенство между половете в бюджета на ЕС</w:t>
      </w:r>
      <w:bookmarkEnd w:id="5"/>
      <w:r w:rsidRPr="005E6253">
        <w:t xml:space="preserve"> </w:t>
      </w:r>
      <w:bookmarkStart w:id="6" w:name="References"/>
      <w:r w:rsidRPr="005E6253">
        <w:t>(2025/2033(INI))</w:t>
      </w:r>
      <w:bookmarkEnd w:id="6"/>
    </w:p>
    <w:p w14:paraId="654681A3" w14:textId="77777777" w:rsidR="005C721E" w:rsidRPr="005E6253" w:rsidRDefault="005C721E" w:rsidP="005C721E">
      <w:pPr>
        <w:pStyle w:val="EPComma"/>
      </w:pPr>
      <w:r w:rsidRPr="005E6253">
        <w:rPr>
          <w:rStyle w:val="Italic"/>
        </w:rPr>
        <w:t>Европейският парламент</w:t>
      </w:r>
      <w:r w:rsidRPr="005E6253">
        <w:t>,</w:t>
      </w:r>
    </w:p>
    <w:p w14:paraId="5CE82759" w14:textId="77777777" w:rsidR="005C721E" w:rsidRPr="005E6253" w:rsidRDefault="005C721E" w:rsidP="005C721E">
      <w:pPr>
        <w:pStyle w:val="NormalHanging12a"/>
      </w:pPr>
      <w:r w:rsidRPr="005E6253">
        <w:t>–</w:t>
      </w:r>
      <w:r w:rsidRPr="005E6253">
        <w:tab/>
        <w:t>като взе предвид членове 2 и 3 от Договора за Европейския съюз,</w:t>
      </w:r>
    </w:p>
    <w:p w14:paraId="513A7911" w14:textId="77777777" w:rsidR="005C721E" w:rsidRPr="005E6253" w:rsidRDefault="005C721E" w:rsidP="005C721E">
      <w:pPr>
        <w:pStyle w:val="NormalHanging12a"/>
      </w:pPr>
      <w:r w:rsidRPr="005E6253">
        <w:t>–</w:t>
      </w:r>
      <w:r w:rsidRPr="005E6253">
        <w:tab/>
        <w:t>като взе предвид членове 8, 10 и 19 от Договора за функционирането на Европейския съюз (ДФЕС),</w:t>
      </w:r>
    </w:p>
    <w:p w14:paraId="4B43650E" w14:textId="77777777" w:rsidR="005C721E" w:rsidRPr="005E6253" w:rsidRDefault="005C721E" w:rsidP="005C721E">
      <w:pPr>
        <w:pStyle w:val="NormalHanging12a"/>
      </w:pPr>
      <w:r w:rsidRPr="005E6253">
        <w:t>–</w:t>
      </w:r>
      <w:r w:rsidRPr="005E6253">
        <w:tab/>
        <w:t>като взе предвид членове 21 и 23 от Хартата на основните права на Европейския съюз,</w:t>
      </w:r>
    </w:p>
    <w:p w14:paraId="7388A8CB" w14:textId="77777777" w:rsidR="005C721E" w:rsidRPr="005E6253" w:rsidRDefault="005C721E" w:rsidP="005C721E">
      <w:pPr>
        <w:pStyle w:val="NormalHanging12a"/>
      </w:pPr>
      <w:r w:rsidRPr="005E6253">
        <w:t>–</w:t>
      </w:r>
      <w:r w:rsidRPr="005E6253">
        <w:tab/>
        <w:t>като взе предвид Регламент (ЕС, Евратом) 2024/765 на Съвета от 29 февруари 2024 г. за изменение на Регламент (EC, Евратом) 2020/2093 за определяне на многогодишната финансова рамка за годините 2021 – 2027</w:t>
      </w:r>
      <w:r w:rsidRPr="005E6253">
        <w:rPr>
          <w:rStyle w:val="FootnoteReference"/>
        </w:rPr>
        <w:footnoteReference w:id="1"/>
      </w:r>
      <w:r w:rsidRPr="005E6253">
        <w:t>,</w:t>
      </w:r>
    </w:p>
    <w:p w14:paraId="5CC0645D" w14:textId="77777777" w:rsidR="005C721E" w:rsidRPr="005E6253" w:rsidRDefault="005C721E" w:rsidP="005C721E">
      <w:pPr>
        <w:pStyle w:val="NormalHanging12a"/>
      </w:pPr>
      <w:r w:rsidRPr="005E6253">
        <w:t>–</w:t>
      </w:r>
      <w:r w:rsidRPr="005E6253">
        <w:tab/>
        <w:t>като взе предвид Регламент (ЕС, Евратом) 2022/2496 на Съвета от 15 декември 2022 г. за изменение на Регламент (ЕС, Евратом) 2020/2093 за определяне на многогодишната финансова рамка за годините 2021 – 2027</w:t>
      </w:r>
      <w:r w:rsidRPr="005E6253">
        <w:rPr>
          <w:rStyle w:val="FootnoteReference"/>
        </w:rPr>
        <w:footnoteReference w:id="2"/>
      </w:r>
      <w:r w:rsidRPr="005E6253">
        <w:t>,</w:t>
      </w:r>
    </w:p>
    <w:p w14:paraId="5BD71DEC" w14:textId="77777777" w:rsidR="005C721E" w:rsidRPr="005E6253" w:rsidRDefault="005C721E" w:rsidP="005C721E">
      <w:pPr>
        <w:pStyle w:val="NormalHanging12a"/>
      </w:pPr>
      <w:r w:rsidRPr="005E6253">
        <w:t>–</w:t>
      </w:r>
      <w:r w:rsidRPr="005E6253">
        <w:tab/>
        <w:t>като взе предвид Регламент (ЕС, Евратом) 2020/2093 на Съвета от 17 декември 2020 г. за определяне на многогодишната финансова рамка за годините 2021 — 2027</w:t>
      </w:r>
      <w:r w:rsidRPr="005E6253">
        <w:rPr>
          <w:rStyle w:val="FootnoteReference"/>
        </w:rPr>
        <w:footnoteReference w:id="3"/>
      </w:r>
      <w:r w:rsidRPr="005E6253">
        <w:t>,</w:t>
      </w:r>
    </w:p>
    <w:p w14:paraId="66A3D447" w14:textId="77777777" w:rsidR="005C721E" w:rsidRPr="005E6253" w:rsidRDefault="005C721E" w:rsidP="005C721E">
      <w:pPr>
        <w:pStyle w:val="NormalHanging12a"/>
      </w:pPr>
      <w:r w:rsidRPr="005E6253">
        <w:t>–</w:t>
      </w:r>
      <w:r w:rsidRPr="005E6253">
        <w:tab/>
        <w:t>като взе предвид своята резолюция от 3 октомври 2023 г. относно предложението за междинно преразглеждане на многогодишната финансова рамка за периода 2021 – 2027 г.</w:t>
      </w:r>
      <w:r w:rsidRPr="005E6253">
        <w:rPr>
          <w:rStyle w:val="FootnoteReference"/>
        </w:rPr>
        <w:footnoteReference w:id="4"/>
      </w:r>
      <w:r w:rsidRPr="005E6253">
        <w:t>,</w:t>
      </w:r>
    </w:p>
    <w:p w14:paraId="36139710" w14:textId="77777777" w:rsidR="005C721E" w:rsidRPr="005E6253" w:rsidRDefault="005C721E" w:rsidP="005C721E">
      <w:pPr>
        <w:pStyle w:val="NormalHanging12a"/>
      </w:pPr>
      <w:r w:rsidRPr="005E6253">
        <w:lastRenderedPageBreak/>
        <w:t>–</w:t>
      </w:r>
      <w:r w:rsidRPr="005E6253">
        <w:tab/>
        <w:t>като взеха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5E6253">
        <w:rPr>
          <w:rStyle w:val="FootnoteReference"/>
        </w:rPr>
        <w:footnoteReference w:id="5"/>
      </w:r>
      <w:r w:rsidRPr="005E6253">
        <w:t>, и по-специално точка 16, буква е) от него,</w:t>
      </w:r>
    </w:p>
    <w:p w14:paraId="2897108A" w14:textId="7BA0E4D8" w:rsidR="005C721E" w:rsidRPr="005E6253" w:rsidRDefault="005C721E" w:rsidP="005C721E">
      <w:pPr>
        <w:pStyle w:val="NormalHanging12a"/>
      </w:pPr>
      <w:r w:rsidRPr="005E6253">
        <w:t>–</w:t>
      </w:r>
      <w:r w:rsidRPr="005E6253">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5E6253">
        <w:rPr>
          <w:rStyle w:val="FootnoteReference"/>
        </w:rPr>
        <w:footnoteReference w:id="6"/>
      </w:r>
      <w:r w:rsidRPr="005E6253">
        <w:t>, и по-специално член 33 от него,</w:t>
      </w:r>
    </w:p>
    <w:p w14:paraId="46623BCC" w14:textId="77777777" w:rsidR="005C721E" w:rsidRPr="005E6253" w:rsidRDefault="005C721E" w:rsidP="005C721E">
      <w:pPr>
        <w:pStyle w:val="NormalHanging12a"/>
        <w:rPr>
          <w:bCs/>
          <w:iCs/>
        </w:rPr>
      </w:pPr>
      <w:r w:rsidRPr="005E6253">
        <w:t>–</w:t>
      </w:r>
      <w:r w:rsidRPr="005E6253">
        <w:tab/>
        <w:t>като взе предвид предложението на Комисията от 16 юли 2025 г. за регламент на Съвета за определяне на многогодишната финансова рамка за годините 2028 – 2034 (COM(2025)0571),</w:t>
      </w:r>
    </w:p>
    <w:p w14:paraId="419CEDC1" w14:textId="77777777" w:rsidR="005C721E" w:rsidRPr="005E6253" w:rsidRDefault="005C721E" w:rsidP="005C721E">
      <w:pPr>
        <w:pStyle w:val="NormalHanging12a"/>
        <w:rPr>
          <w:bCs/>
          <w:iCs/>
        </w:rPr>
      </w:pPr>
      <w:r w:rsidRPr="005E6253">
        <w:t>–</w:t>
      </w:r>
      <w:r w:rsidRPr="005E6253">
        <w:tab/>
        <w:t>като взе предвид предложението на Комисията от 16 юли 2025 г. за регламент на Европейския парламент и на Съвета за установяване на рамка за проследяване и изпълнение на бюджетните разходи и на други хоризонтални правила за програмите и дейностите на Съюза (COM(2025)0545) и придружаващия го доклад за оценка на въздействието от 16 юли 2025 г. (SWD(2025)0590),</w:t>
      </w:r>
    </w:p>
    <w:p w14:paraId="3C59ED7D" w14:textId="77777777" w:rsidR="005C721E" w:rsidRPr="005E6253" w:rsidRDefault="005C721E" w:rsidP="005C721E">
      <w:pPr>
        <w:pStyle w:val="NormalHanging12a"/>
        <w:rPr>
          <w:bCs/>
          <w:iCs/>
        </w:rPr>
      </w:pPr>
      <w:r w:rsidRPr="005E6253">
        <w:t>–</w:t>
      </w:r>
      <w:r w:rsidRPr="005E6253">
        <w:tab/>
        <w:t>като взе предвид работния документ на службите на Комисията от 3 ноември 2021 г., озаглавен „Насоки за по-добро регулиране“ (SWD(2021)0305),</w:t>
      </w:r>
    </w:p>
    <w:p w14:paraId="60F8AF39" w14:textId="5CCFF757" w:rsidR="005C721E" w:rsidRPr="005E6253" w:rsidRDefault="005C721E" w:rsidP="005C721E">
      <w:pPr>
        <w:pStyle w:val="NormalHanging12a"/>
      </w:pPr>
      <w:r w:rsidRPr="005E6253">
        <w:t>–</w:t>
      </w:r>
      <w:r w:rsidRPr="005E6253">
        <w:tab/>
        <w:t xml:space="preserve">като взе предвид съобщението на Комисията от 5 март 2020 г., озаглавено „Съюз на равенство: Стратегия за равенство между половете (2020 – 2025 г.)“ </w:t>
      </w:r>
      <w:r w:rsidR="00324EDE" w:rsidRPr="009F3065">
        <w:t>(COM(2020)0152),</w:t>
      </w:r>
    </w:p>
    <w:p w14:paraId="3F66FD3E" w14:textId="77777777" w:rsidR="005C721E" w:rsidRPr="005E6253" w:rsidRDefault="005C721E" w:rsidP="005C721E">
      <w:pPr>
        <w:pStyle w:val="NormalHanging12a"/>
      </w:pPr>
      <w:r w:rsidRPr="005E6253">
        <w:t>–</w:t>
      </w:r>
      <w:r w:rsidRPr="005E6253">
        <w:tab/>
        <w:t>като взе предвид доклада на Комисията за 2025 г. относно равенството между половете в ЕС;</w:t>
      </w:r>
    </w:p>
    <w:p w14:paraId="6D0DFDB3" w14:textId="37A8DDFC" w:rsidR="005C721E" w:rsidRPr="005E6253" w:rsidRDefault="005C721E" w:rsidP="005C721E">
      <w:pPr>
        <w:pStyle w:val="NormalHanging12a"/>
      </w:pPr>
      <w:r w:rsidRPr="005E6253">
        <w:t>–</w:t>
      </w:r>
      <w:r w:rsidRPr="005E6253">
        <w:tab/>
        <w:t xml:space="preserve">като взе предвид съобщението на Комисията от 7 март 2025 г., озаглавено „Пътна карта за правата на жените“ </w:t>
      </w:r>
      <w:r w:rsidR="00324EDE" w:rsidRPr="009F3065">
        <w:t>(COM(2025)0097)</w:t>
      </w:r>
      <w:r w:rsidRPr="005E6253">
        <w:t>,</w:t>
      </w:r>
    </w:p>
    <w:p w14:paraId="4CCAB57C" w14:textId="77777777" w:rsidR="005C721E" w:rsidRPr="005E6253" w:rsidRDefault="005C721E" w:rsidP="005C721E">
      <w:pPr>
        <w:pStyle w:val="NormalHanging12a"/>
      </w:pPr>
      <w:r w:rsidRPr="005E6253">
        <w:t>–</w:t>
      </w:r>
      <w:r w:rsidRPr="005E6253">
        <w:tab/>
        <w:t>като взе предвид своята резолюция от 21 януари 2021 г. относно стратегията на ЕС за равенство между половете</w:t>
      </w:r>
      <w:r w:rsidRPr="005E6253">
        <w:rPr>
          <w:rStyle w:val="FootnoteReference"/>
        </w:rPr>
        <w:footnoteReference w:id="7"/>
      </w:r>
      <w:r w:rsidRPr="005E6253">
        <w:t>,</w:t>
      </w:r>
    </w:p>
    <w:p w14:paraId="17A140D3" w14:textId="77777777" w:rsidR="005C721E" w:rsidRPr="005E6253" w:rsidRDefault="005C721E" w:rsidP="005C721E">
      <w:pPr>
        <w:pStyle w:val="NormalHanging12a"/>
      </w:pPr>
      <w:r w:rsidRPr="005E6253">
        <w:t>–</w:t>
      </w:r>
      <w:r w:rsidRPr="005E6253">
        <w:tab/>
        <w:t>като взе предвид своята резолюция от 10 март 2022 г. относно интегрирането на принципа на равенство между половете в Европейския парламент – годишен доклад за 2020 г.</w:t>
      </w:r>
      <w:r w:rsidRPr="005E6253">
        <w:rPr>
          <w:rStyle w:val="FootnoteReference"/>
        </w:rPr>
        <w:footnoteReference w:id="8"/>
      </w:r>
      <w:r w:rsidRPr="005E6253">
        <w:t>,</w:t>
      </w:r>
    </w:p>
    <w:p w14:paraId="20408BE9" w14:textId="77777777" w:rsidR="005C721E" w:rsidRPr="005E6253" w:rsidRDefault="005C721E" w:rsidP="005C721E">
      <w:pPr>
        <w:pStyle w:val="NormalHanging12a"/>
      </w:pPr>
      <w:r w:rsidRPr="005E6253">
        <w:t>–</w:t>
      </w:r>
      <w:r w:rsidRPr="005E6253">
        <w:tab/>
        <w:t>като взе предвид своята резолюция от 2 април 2025 г. относно общите насоки за изготвянето на бюджета за 2026 година, раздел III – Комисия</w:t>
      </w:r>
      <w:r w:rsidRPr="005E6253">
        <w:rPr>
          <w:rStyle w:val="FootnoteReference"/>
        </w:rPr>
        <w:footnoteReference w:id="9"/>
      </w:r>
      <w:r w:rsidRPr="005E6253">
        <w:t>,</w:t>
      </w:r>
    </w:p>
    <w:p w14:paraId="67443864" w14:textId="77777777" w:rsidR="005C721E" w:rsidRPr="005E6253" w:rsidRDefault="005C721E" w:rsidP="005C721E">
      <w:pPr>
        <w:pStyle w:val="NormalHanging12a"/>
      </w:pPr>
      <w:r w:rsidRPr="005E6253">
        <w:lastRenderedPageBreak/>
        <w:t>–</w:t>
      </w:r>
      <w:r w:rsidRPr="005E6253">
        <w:tab/>
        <w:t>като взе предвид своята резолюция от 7 май 2025 г. относно обновен дългосрочен бюджет на Съюза в един променящ се свят</w:t>
      </w:r>
      <w:r w:rsidRPr="005E6253">
        <w:rPr>
          <w:rStyle w:val="FootnoteReference"/>
        </w:rPr>
        <w:footnoteReference w:id="10"/>
      </w:r>
      <w:r w:rsidRPr="005E6253">
        <w:t>;</w:t>
      </w:r>
    </w:p>
    <w:p w14:paraId="3F3450DC" w14:textId="77777777" w:rsidR="005C721E" w:rsidRPr="005E6253" w:rsidRDefault="005C721E" w:rsidP="005C721E">
      <w:pPr>
        <w:pStyle w:val="NormalHanging12a"/>
      </w:pPr>
      <w:r w:rsidRPr="005E6253">
        <w:t>–</w:t>
      </w:r>
      <w:r w:rsidRPr="005E6253">
        <w:tab/>
        <w:t>като взе предвид предварителния разчет на Комисията от 4 юни 2025 г. за финансовата 2026 г. (SEC(2025)0250),</w:t>
      </w:r>
    </w:p>
    <w:p w14:paraId="550EDD6A" w14:textId="6458D8BF" w:rsidR="005C721E" w:rsidRPr="005E6253" w:rsidRDefault="005C721E" w:rsidP="005C721E">
      <w:pPr>
        <w:pStyle w:val="NormalHanging12a"/>
      </w:pPr>
      <w:r w:rsidRPr="005E6253">
        <w:t>–</w:t>
      </w:r>
      <w:r w:rsidRPr="005E6253">
        <w:tab/>
        <w:t xml:space="preserve">като взе предвид програмните отчети за изпълнението на оперативните разходи, включени в работния документ, част I от юни 2025 г., придружаващ проекта на общ бюджет на Европейския съюз за финансовата 2 026 година </w:t>
      </w:r>
      <w:r w:rsidR="00324EDE" w:rsidRPr="009F3065">
        <w:t>(COM(2025)0300)</w:t>
      </w:r>
      <w:r w:rsidRPr="005E6253">
        <w:t>,</w:t>
      </w:r>
    </w:p>
    <w:p w14:paraId="36510F03" w14:textId="77777777" w:rsidR="005C721E" w:rsidRPr="005E6253" w:rsidRDefault="005C721E" w:rsidP="005C721E">
      <w:pPr>
        <w:pStyle w:val="NormalHanging12a"/>
      </w:pPr>
      <w:r w:rsidRPr="005E6253">
        <w:t>–</w:t>
      </w:r>
      <w:r w:rsidRPr="005E6253">
        <w:tab/>
        <w:t>като взе предвид годишния отчет на Комисията за управлението и изпълнението на бюджета на ЕС за финансовата 2021 година (COM(2022)0401),</w:t>
      </w:r>
    </w:p>
    <w:p w14:paraId="5EB9C852" w14:textId="77777777" w:rsidR="005C721E" w:rsidRPr="005E6253" w:rsidRDefault="005C721E" w:rsidP="005C721E">
      <w:pPr>
        <w:pStyle w:val="NormalHanging12a"/>
      </w:pPr>
      <w:r w:rsidRPr="005E6253">
        <w:t>–</w:t>
      </w:r>
      <w:r w:rsidRPr="005E6253">
        <w:tab/>
        <w:t>като взе предвид годишния отчет на Комисията за управлението и изпълнението на бюджета на ЕС за финансовата 2022 година (COM(2023)0401),</w:t>
      </w:r>
    </w:p>
    <w:p w14:paraId="1846D0A7" w14:textId="77777777" w:rsidR="005C721E" w:rsidRPr="005E6253" w:rsidRDefault="005C721E" w:rsidP="005C721E">
      <w:pPr>
        <w:pStyle w:val="NormalHanging12a"/>
      </w:pPr>
      <w:r w:rsidRPr="005E6253">
        <w:t>–</w:t>
      </w:r>
      <w:r w:rsidRPr="005E6253">
        <w:tab/>
        <w:t>като взе предвид годишния отчет на Комисията за управлението и изпълнението на бюджета на ЕС за финансовата 2023 г. (COM(2024)0401),</w:t>
      </w:r>
    </w:p>
    <w:p w14:paraId="6FBF487E" w14:textId="77777777" w:rsidR="005C721E" w:rsidRPr="005E6253" w:rsidRDefault="005C721E" w:rsidP="005C721E">
      <w:pPr>
        <w:pStyle w:val="NormalHanging12a"/>
      </w:pPr>
      <w:r w:rsidRPr="005E6253">
        <w:t>–</w:t>
      </w:r>
      <w:r w:rsidRPr="005E6253">
        <w:tab/>
        <w:t>като взе предвид годишния отчет на Комисията за управлението и изпълнението на бюджета на ЕС за финансовата 2024 година (COM(2025)0824),</w:t>
      </w:r>
    </w:p>
    <w:p w14:paraId="184D01F6" w14:textId="77777777" w:rsidR="005C721E" w:rsidRPr="005E6253" w:rsidRDefault="005C721E" w:rsidP="005C721E">
      <w:pPr>
        <w:pStyle w:val="NormalHanging12a"/>
      </w:pPr>
      <w:r w:rsidRPr="005E6253">
        <w:t>–</w:t>
      </w:r>
      <w:r w:rsidRPr="005E6253">
        <w:tab/>
        <w:t>като взе предвид Специален доклад № 10/2021 на Европейската сметна палата от 26 май 2021 г., озаглавен „Интегрирането на принципа на равенство между половете в бюджета на ЕС: време е да превърнем думите в дела“,</w:t>
      </w:r>
    </w:p>
    <w:p w14:paraId="5D50FB54" w14:textId="77777777" w:rsidR="005C721E" w:rsidRPr="005E6253" w:rsidRDefault="005C721E" w:rsidP="005C721E">
      <w:pPr>
        <w:pStyle w:val="NormalHanging12a"/>
      </w:pPr>
      <w:r w:rsidRPr="005E6253">
        <w:t>–</w:t>
      </w:r>
      <w:r w:rsidRPr="005E6253">
        <w:tab/>
        <w:t>като взе предвид брифинга на Службата на ЕП за парламентарни изследвания от февруари 2025 г., озаглавен „Бюджетиране, съобразено с равенството между половете: Актуално състояние и възможности за 10-ия мандат на Европейския парламент“,</w:t>
      </w:r>
    </w:p>
    <w:p w14:paraId="06C6B1DE" w14:textId="77777777" w:rsidR="005C721E" w:rsidRPr="005E6253" w:rsidRDefault="005C721E" w:rsidP="005C721E">
      <w:pPr>
        <w:pStyle w:val="NormalHanging12a"/>
        <w:rPr>
          <w:bCs/>
          <w:iCs/>
        </w:rPr>
      </w:pPr>
      <w:r w:rsidRPr="005E6253">
        <w:rPr>
          <w:b/>
          <w:i/>
        </w:rPr>
        <w:t>–</w:t>
      </w:r>
      <w:r w:rsidRPr="005E6253">
        <w:tab/>
        <w:t>като взе предвид проучването, поискано от комисията по бюджети и от комисията по бюджетен контрол, озаглавено „Бюджетиране, съобразено с равенството между половете в Европейския съюз — актуално състояние през 2024 г.“,</w:t>
      </w:r>
    </w:p>
    <w:p w14:paraId="0FA237CA" w14:textId="77777777" w:rsidR="005C721E" w:rsidRPr="005E6253" w:rsidRDefault="005C721E" w:rsidP="005C721E">
      <w:pPr>
        <w:pStyle w:val="NormalHanging12a"/>
      </w:pPr>
      <w:r w:rsidRPr="005E6253">
        <w:t>–</w:t>
      </w:r>
      <w:r w:rsidRPr="005E6253">
        <w:tab/>
        <w:t>като взе предвид семинара от 25 юни 2025 г., поискан от комисията по бюджетен контрол, озаглавен „Прилагане на методологията за интегриране на принципа на равенство между половете в бюджета на ЕС“,</w:t>
      </w:r>
    </w:p>
    <w:p w14:paraId="5D430551" w14:textId="77777777" w:rsidR="005C721E" w:rsidRPr="005E6253" w:rsidRDefault="005C721E" w:rsidP="005C721E">
      <w:pPr>
        <w:pStyle w:val="NormalHanging12a"/>
      </w:pPr>
      <w:r w:rsidRPr="005E6253">
        <w:t>–</w:t>
      </w:r>
      <w:r w:rsidRPr="005E6253">
        <w:tab/>
        <w:t>като взе предвид писмените отговори, предоставени от тогавашния кандидат за член на Комисията, отговарящ за бюджета, борбата с измамите и публичната администрация, по време на изслушванията за потвърждаване през 2024 г.,</w:t>
      </w:r>
    </w:p>
    <w:p w14:paraId="6F2FD275" w14:textId="77777777" w:rsidR="005C721E" w:rsidRPr="005E6253" w:rsidRDefault="005C721E" w:rsidP="005C721E">
      <w:pPr>
        <w:pStyle w:val="NormalHanging12a"/>
      </w:pPr>
      <w:r w:rsidRPr="005E6253">
        <w:t>–</w:t>
      </w:r>
      <w:r w:rsidRPr="005E6253">
        <w:tab/>
        <w:t>като взе предвид Пекинската декларация и платформа за действие (1995 г.),</w:t>
      </w:r>
    </w:p>
    <w:p w14:paraId="18A9D123" w14:textId="77777777" w:rsidR="005C721E" w:rsidRPr="005E6253" w:rsidRDefault="005C721E" w:rsidP="005C721E">
      <w:pPr>
        <w:pStyle w:val="NormalHanging12a"/>
      </w:pPr>
      <w:r w:rsidRPr="005E6253">
        <w:t>–</w:t>
      </w:r>
      <w:r w:rsidRPr="005E6253">
        <w:tab/>
        <w:t>като взе предвид окончателния доклад на Групата от специалисти по бюджетиране, съобразено с равенството между половете, на Съвета на Европа (2005 г.),</w:t>
      </w:r>
    </w:p>
    <w:p w14:paraId="45C8DE4B" w14:textId="77777777" w:rsidR="005C721E" w:rsidRPr="005E6253" w:rsidRDefault="005C721E" w:rsidP="005C721E">
      <w:pPr>
        <w:pStyle w:val="NormalHanging12a"/>
      </w:pPr>
      <w:r w:rsidRPr="005E6253">
        <w:lastRenderedPageBreak/>
        <w:t>–</w:t>
      </w:r>
      <w:r w:rsidRPr="005E6253">
        <w:tab/>
        <w:t>като взе предвид дейностите на Европейския институт за равенство между половете (EIGE) и неговите публикации,</w:t>
      </w:r>
    </w:p>
    <w:p w14:paraId="4604AE06" w14:textId="77777777" w:rsidR="005C721E" w:rsidRPr="005E6253" w:rsidRDefault="005C721E" w:rsidP="005C721E">
      <w:pPr>
        <w:pStyle w:val="NormalHanging12a"/>
      </w:pPr>
      <w:r w:rsidRPr="005E6253">
        <w:t>–</w:t>
      </w:r>
      <w:r w:rsidRPr="005E6253">
        <w:tab/>
        <w:t>като взе предвид член 55 от своя Правилник за дейността,</w:t>
      </w:r>
    </w:p>
    <w:p w14:paraId="3C9500A9" w14:textId="77777777" w:rsidR="005C721E" w:rsidRPr="005E6253" w:rsidRDefault="005C721E" w:rsidP="005C721E">
      <w:pPr>
        <w:pStyle w:val="NormalHanging12a"/>
      </w:pPr>
      <w:r w:rsidRPr="005E6253">
        <w:t>–</w:t>
      </w:r>
      <w:r w:rsidRPr="005E6253">
        <w:tab/>
        <w:t>като взе предвид доклада на комисията по бюджетен контрол (A10-0212/2025),</w:t>
      </w:r>
    </w:p>
    <w:p w14:paraId="3B471D20" w14:textId="77777777" w:rsidR="005C721E" w:rsidRPr="005E6253" w:rsidRDefault="005C721E" w:rsidP="005C721E">
      <w:pPr>
        <w:pStyle w:val="NormalHanging12a"/>
      </w:pPr>
      <w:r w:rsidRPr="005E6253">
        <w:t>А.</w:t>
      </w:r>
      <w:r w:rsidRPr="005E6253">
        <w:tab/>
        <w:t>като има предвид, че равенството между половете е цел на ЕС, залегнала в неговото първично право, и принцип, който следва да бъде в основата на всички политики на ЕС;</w:t>
      </w:r>
    </w:p>
    <w:p w14:paraId="32352446" w14:textId="77777777" w:rsidR="005C721E" w:rsidRPr="005E6253" w:rsidRDefault="005C721E" w:rsidP="005C721E">
      <w:pPr>
        <w:pStyle w:val="NormalHanging12a"/>
      </w:pPr>
      <w:r w:rsidRPr="005E6253">
        <w:t>Б.</w:t>
      </w:r>
      <w:r w:rsidRPr="005E6253">
        <w:tab/>
        <w:t>като има предвид, че интегрирането на принципа на равенство между половете е глобално призната стратегия за гарантиране на включването на перспективата за равенство между половете в разработването, прилагането и оценката на всички политики, програми и мерки, с цел насърчаване на равенството между половете и борба с дискриминацията;</w:t>
      </w:r>
    </w:p>
    <w:p w14:paraId="3BBD6E7E" w14:textId="77777777" w:rsidR="005C721E" w:rsidRPr="005E6253" w:rsidRDefault="005C721E" w:rsidP="005C721E">
      <w:pPr>
        <w:pStyle w:val="NormalHanging12a"/>
      </w:pPr>
      <w:r w:rsidRPr="005E6253">
        <w:t>В.</w:t>
      </w:r>
      <w:r w:rsidRPr="005E6253">
        <w:tab/>
        <w:t>като има предвид, че бюджетирането, съобразено с равенството между половете, се определя от Съвета на Европа като съобразена с половете оценка на бюджета, включване на перспективата на половете на всички равнища от бюджетния процес и преструктуриране на приходите и разходите с цел насърчаване на равенство между половете;</w:t>
      </w:r>
    </w:p>
    <w:p w14:paraId="6D44A22D" w14:textId="77777777" w:rsidR="005C721E" w:rsidRPr="005E6253" w:rsidRDefault="005C721E" w:rsidP="005C721E">
      <w:pPr>
        <w:pStyle w:val="NormalHanging12a"/>
      </w:pPr>
      <w:r w:rsidRPr="005E6253">
        <w:t>Г.</w:t>
      </w:r>
      <w:r w:rsidRPr="005E6253">
        <w:tab/>
        <w:t>като има предвид, че EIGE описва бюджетирането, съобразено с равенството между половете, като инструмент, който позволява на създателите на политики да насърчават отчетността и прозрачността, да увеличават балансираното участие на всички полове в бюджетния процес и да насърчават равенството между половете;</w:t>
      </w:r>
    </w:p>
    <w:p w14:paraId="7D0E8058" w14:textId="77777777" w:rsidR="005C721E" w:rsidRPr="005E6253" w:rsidRDefault="005C721E" w:rsidP="005C721E">
      <w:pPr>
        <w:pStyle w:val="NormalHanging12a"/>
      </w:pPr>
      <w:r w:rsidRPr="005E6253">
        <w:t>Д.</w:t>
      </w:r>
      <w:r w:rsidRPr="005E6253">
        <w:tab/>
        <w:t>като има предвид, че Европейската сметна палата посочи, че многогодишната финансова рамка (МФР) на ЕС за периода 2014—2020 г. не отчита в достатъчна степен равенството между половете;</w:t>
      </w:r>
    </w:p>
    <w:p w14:paraId="305EB4AB" w14:textId="77777777" w:rsidR="005C721E" w:rsidRPr="005E6253" w:rsidRDefault="005C721E" w:rsidP="005C721E">
      <w:pPr>
        <w:pStyle w:val="NormalHanging12a"/>
      </w:pPr>
      <w:r w:rsidRPr="005E6253">
        <w:t>Е.</w:t>
      </w:r>
      <w:r w:rsidRPr="005E6253">
        <w:tab/>
        <w:t>като има предвид, че интегрирането на равенството между половете като хоризонтален приоритет в бюджета на ЕС е отдавнашен повод за загриженост както в комисията по бюджетен контрол, така и в Парламента, и се счита за ключов критерий за оценка на изпълнението на бюджета на ЕС и неговото добро финансово управление, изпълнение и пропорционалност;</w:t>
      </w:r>
    </w:p>
    <w:p w14:paraId="3C45D1F9" w14:textId="77777777" w:rsidR="005C721E" w:rsidRPr="005E6253" w:rsidRDefault="005C721E" w:rsidP="005C721E">
      <w:pPr>
        <w:pStyle w:val="NormalHanging12a"/>
        <w:rPr>
          <w:bCs/>
          <w:iCs/>
        </w:rPr>
      </w:pPr>
      <w:r w:rsidRPr="005E6253">
        <w:t>Ж.</w:t>
      </w:r>
      <w:r w:rsidRPr="005E6253">
        <w:tab/>
        <w:t>като има предвид, че интегрирането на принципа на равенство между половете в бюджета на ЕС се засилва съгласно Междуинституционалното споразумение, придружаващо МФР за периода 2021—2027 г., включително чрез изискванията за засилване на оценката на въздействието върху равенството между половете в оценките на въздействието и оценките съгласно рамката за по-добро законотворчество и за разработване на пилотна методология за измерване на разходите, свързани с насърчаването на равенството между половете на програмно равнище от 2023 г. нататък;</w:t>
      </w:r>
    </w:p>
    <w:p w14:paraId="5D950CBB" w14:textId="77777777" w:rsidR="005C721E" w:rsidRPr="005E6253" w:rsidRDefault="005C721E" w:rsidP="005C721E">
      <w:pPr>
        <w:pStyle w:val="NormalHanging12a"/>
        <w:rPr>
          <w:bCs/>
          <w:iCs/>
        </w:rPr>
      </w:pPr>
      <w:r w:rsidRPr="005E6253">
        <w:t>З.</w:t>
      </w:r>
      <w:r w:rsidRPr="005E6253">
        <w:tab/>
        <w:t xml:space="preserve">като има предвид, че стремежът към равенство между половете изисква междусекторен подход за бюджетиране, съобразено с равенството между половете, който отчита сложната дискриминация, пред която са изправени жените, принадлежащи към расово обособени групи, хората с увреждания, </w:t>
      </w:r>
      <w:r w:rsidRPr="005E6253">
        <w:lastRenderedPageBreak/>
        <w:t>ЛГБТИК + лицата и мигрантите, за да се гарантира, че разходите на ЕС насърчават равенството във всички измерения;</w:t>
      </w:r>
    </w:p>
    <w:p w14:paraId="3A164284" w14:textId="77777777" w:rsidR="005C721E" w:rsidRPr="005E6253" w:rsidRDefault="005C721E" w:rsidP="005C721E">
      <w:pPr>
        <w:pStyle w:val="NormalHanging12a"/>
        <w:rPr>
          <w:bCs/>
          <w:iCs/>
        </w:rPr>
      </w:pPr>
      <w:r w:rsidRPr="005E6253">
        <w:t>И.</w:t>
      </w:r>
      <w:r w:rsidRPr="005E6253">
        <w:tab/>
        <w:t>като има предвид, че семейството е основната единица на обществото и играе решаваща роля за насърчаване на благосъстоянието, стабилността и развитието на хората, общностите и нациите; като има предвид, че поради това е от съществено значение хоризонталните политики на ЕС активно да го насърчават и подкрепят;</w:t>
      </w:r>
    </w:p>
    <w:p w14:paraId="0302A0F7" w14:textId="77777777" w:rsidR="005C721E" w:rsidRPr="005E6253" w:rsidRDefault="005C721E" w:rsidP="005C721E">
      <w:pPr>
        <w:pStyle w:val="NormalHanging12a"/>
        <w:rPr>
          <w:iCs/>
        </w:rPr>
      </w:pPr>
      <w:r w:rsidRPr="005E6253">
        <w:t>Й.</w:t>
      </w:r>
      <w:r w:rsidRPr="005E6253">
        <w:tab/>
        <w:t>като има предвид, че бюджетирането, съобразено с равенството между половете, е предпоставка за постигане на равенство между половете и че равенството между половете само по себе си е условие за интелигентен, устойчив и приобщаващ растеж, включително в рамките на ЕС, където EIGE е показал чрез стабилен иконометричен модел, прилаган към специфичния контекст на ЕС, че подобряването на равенството между половете би довело до редица макроикономически ползи в няколко области като образованието, дейността на пазара на труда и заплатите; като има предвид, че EIGE също така показа, че по принцип равенството между половете има силно положително въздействие върху БВП на глава от населението и че подобряването на равенството между половете би довело до увеличаване на БВП на ЕС на глава от населението с най-малко 6,1 % и до 9,6 % до 2050 г., което възлиза съответно на 1,95 трилиона евро и 3,15 трилиона евро;</w:t>
      </w:r>
    </w:p>
    <w:p w14:paraId="16E5E37F" w14:textId="77777777" w:rsidR="005C721E" w:rsidRPr="005E6253" w:rsidRDefault="005C721E" w:rsidP="005C721E">
      <w:pPr>
        <w:pStyle w:val="NormalHanging12a"/>
        <w:rPr>
          <w:iCs/>
        </w:rPr>
      </w:pPr>
      <w:r w:rsidRPr="005E6253">
        <w:t>К.</w:t>
      </w:r>
      <w:r w:rsidRPr="005E6253">
        <w:tab/>
        <w:t>като има предвид, че според доклад на EIGE се наблюдава от 2021 г. насам тревожен спад в усилията на държавите членки за прилагане на интегрирането на принципа на равенство между половете - тенденция, която не следва да се отразява на равнището на ЕС;</w:t>
      </w:r>
    </w:p>
    <w:p w14:paraId="0C5548B9" w14:textId="77777777" w:rsidR="005C721E" w:rsidRPr="005E6253" w:rsidRDefault="005C721E" w:rsidP="005C721E">
      <w:pPr>
        <w:pStyle w:val="NormalHanging12a"/>
      </w:pPr>
      <w:r w:rsidRPr="005E6253">
        <w:t>Л.</w:t>
      </w:r>
      <w:r w:rsidRPr="005E6253">
        <w:tab/>
        <w:t>като има предвид, че системното интегриране на предварителните оценки на въздействието върху равенството между половете и мерките за смекчаване на последиците в процесите на създаване на политики на ЕС е необходимо, за да се гарантира, че бъдещите инициативи насърчават равенството между половете и не го влошават;</w:t>
      </w:r>
    </w:p>
    <w:p w14:paraId="3ED3938F" w14:textId="77777777" w:rsidR="005C721E" w:rsidRPr="005E6253" w:rsidRDefault="005C721E" w:rsidP="005C721E">
      <w:pPr>
        <w:pStyle w:val="NormalHanging12a"/>
      </w:pPr>
      <w:r w:rsidRPr="005E6253">
        <w:t>М.</w:t>
      </w:r>
      <w:r w:rsidRPr="005E6253">
        <w:tab/>
        <w:t>като има предвид, че демократичните институции трябва да отразяват многообразието на обществото, най-вече в състава на своите служители;</w:t>
      </w:r>
    </w:p>
    <w:p w14:paraId="55D0B12F" w14:textId="77777777" w:rsidR="005C721E" w:rsidRPr="005E6253" w:rsidRDefault="005C721E" w:rsidP="005C721E">
      <w:pPr>
        <w:pStyle w:val="NormalHanging12a"/>
      </w:pPr>
      <w:r w:rsidRPr="005E6253">
        <w:t>Н.</w:t>
      </w:r>
      <w:r w:rsidRPr="005E6253">
        <w:tab/>
        <w:t>като има предвид, че балансът между половете продължава да бъде непостигната цел на множество ключови равнища на вземане на решения;</w:t>
      </w:r>
    </w:p>
    <w:p w14:paraId="422A48EB" w14:textId="77777777" w:rsidR="005C721E" w:rsidRPr="005E6253" w:rsidRDefault="005C721E" w:rsidP="005C721E">
      <w:pPr>
        <w:pStyle w:val="NormalHanging12a"/>
      </w:pPr>
      <w:r w:rsidRPr="005E6253">
        <w:t>О.</w:t>
      </w:r>
      <w:r w:rsidRPr="005E6253">
        <w:tab/>
        <w:t>като има предвид, че Пекинската декларация и платформа за действие призовава за интегриране на перспективата за равенство между половете в бюджетните решения на всички равнища и като има предвид, че ЕС се ангажира да прилага своите принципи, по-специално за да гарантира, че публичните ресурси допринасят ефективно за равенството между половете и овластяването на жените във всички области на политиката;</w:t>
      </w:r>
    </w:p>
    <w:p w14:paraId="6B3C27F9" w14:textId="77777777" w:rsidR="005C721E" w:rsidRPr="005E6253" w:rsidRDefault="005C721E" w:rsidP="009F3065">
      <w:pPr>
        <w:pStyle w:val="Normal12a24b"/>
        <w:keepNext/>
      </w:pPr>
      <w:r w:rsidRPr="005E6253">
        <w:rPr>
          <w:rStyle w:val="BoldItalic"/>
        </w:rPr>
        <w:t>Общи бележки</w:t>
      </w:r>
    </w:p>
    <w:p w14:paraId="7DD67C08" w14:textId="77777777" w:rsidR="005C721E" w:rsidRPr="005E6253" w:rsidRDefault="005C721E" w:rsidP="005C721E">
      <w:pPr>
        <w:pStyle w:val="NormalHanging12a"/>
      </w:pPr>
      <w:r w:rsidRPr="005E6253">
        <w:t>1.</w:t>
      </w:r>
      <w:r w:rsidRPr="005E6253">
        <w:tab/>
        <w:t xml:space="preserve">приветства факта, че в съответствие със своите обвързващи ангажименти и след многократните призиви на Парламента Комисията е разработила пилотна методология за проследяване и измерване на разходите, свързани с равенството </w:t>
      </w:r>
      <w:r w:rsidRPr="005E6253">
        <w:lastRenderedPageBreak/>
        <w:t>между половете, на програмно равнище в МФР за периода 2021—2027 г., с цел подобряване на интегрирането на принципа на равенство между половете в бюджетния процес на Комисията и подобряване на начина, по който разработването на политики и разпределението на ресурсите допринасят за постигането на целите за равенство между половете;</w:t>
      </w:r>
    </w:p>
    <w:p w14:paraId="2861336C" w14:textId="77777777" w:rsidR="005C721E" w:rsidRPr="005E6253" w:rsidRDefault="005C721E" w:rsidP="005C721E">
      <w:pPr>
        <w:pStyle w:val="NormalHanging12a"/>
      </w:pPr>
      <w:r w:rsidRPr="005E6253">
        <w:t>2.</w:t>
      </w:r>
      <w:r w:rsidRPr="005E6253">
        <w:tab/>
        <w:t>отбелязва, че съгласно настоящата методология Комисията присъжда различни оценки на програмите въз основа на оценка на техния принос за равенството между половете на възможно най-детайлно равнище на интервенция, като дава следните оценки:</w:t>
      </w:r>
    </w:p>
    <w:p w14:paraId="33FE7B18" w14:textId="77777777" w:rsidR="005C721E" w:rsidRPr="005E6253" w:rsidRDefault="005C721E" w:rsidP="009F3065">
      <w:pPr>
        <w:pStyle w:val="NormalHanging12a1"/>
        <w:ind w:left="1134" w:hanging="567"/>
      </w:pPr>
      <w:r w:rsidRPr="005E6253">
        <w:t>а)</w:t>
      </w:r>
      <w:r w:rsidRPr="005E6253">
        <w:tab/>
        <w:t>оценка 2 точки за интервенции, чиято основна цел е да се подобри равенството между половете;</w:t>
      </w:r>
    </w:p>
    <w:p w14:paraId="44C51EC9" w14:textId="4B7E2C4A" w:rsidR="005C721E" w:rsidRPr="005E6253" w:rsidRDefault="005C721E" w:rsidP="009F3065">
      <w:pPr>
        <w:pStyle w:val="NormalHanging12a1"/>
        <w:ind w:left="1134" w:hanging="567"/>
      </w:pPr>
      <w:r w:rsidRPr="005E6253">
        <w:t>б)</w:t>
      </w:r>
      <w:r w:rsidRPr="005E6253">
        <w:tab/>
        <w:t>оценка 1 точка за интервенции, при които равенството между половете е важна и целенасочена цел, но не е основната цел на интервенцията</w:t>
      </w:r>
      <w:r w:rsidR="00324EDE">
        <w:t>;</w:t>
      </w:r>
    </w:p>
    <w:p w14:paraId="593AE168" w14:textId="77777777" w:rsidR="005C721E" w:rsidRPr="005E6253" w:rsidRDefault="005C721E" w:rsidP="009F3065">
      <w:pPr>
        <w:pStyle w:val="NormalHanging12a1"/>
        <w:ind w:left="1134" w:hanging="567"/>
      </w:pPr>
      <w:r w:rsidRPr="005E6253">
        <w:t>в)</w:t>
      </w:r>
      <w:r w:rsidRPr="005E6253">
        <w:tab/>
        <w:t>оценка 0 точки за нецелеви интервенции, с други думи, интервенции, за които се очаква да нямат значително отражение върху равенството между половете;</w:t>
      </w:r>
    </w:p>
    <w:p w14:paraId="42E62B32" w14:textId="77777777" w:rsidR="005C721E" w:rsidRPr="005E6253" w:rsidRDefault="005C721E" w:rsidP="009F3065">
      <w:pPr>
        <w:pStyle w:val="NormalHanging12a1"/>
        <w:ind w:left="1134" w:hanging="567"/>
      </w:pPr>
      <w:r w:rsidRPr="005E6253">
        <w:t>г)</w:t>
      </w:r>
      <w:r w:rsidRPr="005E6253">
        <w:tab/>
        <w:t>оценка 0* точки за интервенции с вероятно, но все още неясно положително въздействие върху равенството между половете;</w:t>
      </w:r>
    </w:p>
    <w:p w14:paraId="131403E5" w14:textId="77777777" w:rsidR="005C721E" w:rsidRPr="005E6253" w:rsidRDefault="005C721E" w:rsidP="005C721E">
      <w:pPr>
        <w:pStyle w:val="NormalHanging12a"/>
      </w:pPr>
      <w:r w:rsidRPr="005E6253">
        <w:t>3.</w:t>
      </w:r>
      <w:r w:rsidRPr="005E6253">
        <w:tab/>
        <w:t>отбелязва, че методиката се основава на показателя за политиката в областта на равенството между половете, разработен от Организацията за икономическо сътрудничество и развитие, който е качествен статистически инструмент, използван за наблюдение и регистриране на дейностите за развитие, насочени към равенството между половете като политическа цел, и се прилага от Комисията за всички разходни програми на бюджета на ЕС при споделено, пряко и непряко управление;</w:t>
      </w:r>
    </w:p>
    <w:p w14:paraId="767E33A3" w14:textId="55E2665F" w:rsidR="00CF2E22" w:rsidRPr="00CF2E22" w:rsidRDefault="005C721E" w:rsidP="00CF2E22">
      <w:pPr>
        <w:pStyle w:val="NormalHanging12a"/>
        <w:rPr>
          <w:bCs/>
          <w:iCs/>
        </w:rPr>
      </w:pPr>
      <w:r w:rsidRPr="005E6253">
        <w:t>4.</w:t>
      </w:r>
      <w:r w:rsidRPr="005E6253">
        <w:tab/>
        <w:t xml:space="preserve">подчертава, че методологията на Комисията се различава от маркера на политиката за равенство между половете, разработен от Организацията за икономическо сътрудничество и развитие, тъй като не включва оценка, която би дала възможност за проследяване на </w:t>
      </w:r>
      <w:r w:rsidR="00CF2E22" w:rsidRPr="00CF2E22">
        <w:t xml:space="preserve">потенциално </w:t>
      </w:r>
      <w:r w:rsidRPr="005E6253">
        <w:t>отрицателното въздействие на разходите на ЕС върху целите за интегриране на принципа на равенство между половете, и въвежда категорията 0 * точки за интервенции с вероятно, но все още неясно положително въздействие върху равенството между половете;</w:t>
      </w:r>
      <w:r w:rsidR="00CF2E22" w:rsidRPr="000D2B2F">
        <w:rPr>
          <w:lang w:val="ru-RU"/>
        </w:rPr>
        <w:t xml:space="preserve"> </w:t>
      </w:r>
      <w:r w:rsidR="00CF2E22" w:rsidRPr="009F3065">
        <w:rPr>
          <w:bCs/>
          <w:iCs/>
          <w:snapToGrid/>
          <w:szCs w:val="24"/>
        </w:rPr>
        <w:t>подчертава, че методологията на Комисията следва във всеки случай да избягва да води до нежелани последици, като например обезкуражаване или отказ на инвестиции в сектори, които са стратегически, но традиционно доминирани от един пол, включително сектора на отбраната;</w:t>
      </w:r>
    </w:p>
    <w:p w14:paraId="73EB5EDA" w14:textId="77777777" w:rsidR="005C721E" w:rsidRPr="005E6253" w:rsidRDefault="005C721E" w:rsidP="005C721E">
      <w:pPr>
        <w:pStyle w:val="Normal12a24b"/>
      </w:pPr>
      <w:r w:rsidRPr="005E6253">
        <w:rPr>
          <w:rStyle w:val="BoldItalic"/>
        </w:rPr>
        <w:t>Относно прилагането на методиката, разработена от Комисията</w:t>
      </w:r>
    </w:p>
    <w:p w14:paraId="27A2B980" w14:textId="77777777" w:rsidR="005C721E" w:rsidRPr="005E6253" w:rsidRDefault="005C721E" w:rsidP="005C721E">
      <w:pPr>
        <w:pStyle w:val="NormalHanging12a"/>
      </w:pPr>
      <w:r w:rsidRPr="005E6253">
        <w:t>5.</w:t>
      </w:r>
      <w:r w:rsidRPr="005E6253">
        <w:tab/>
        <w:t>отбелязва, че методиката беше използвана за първи път в процеса на изготвяне на бюджетната прогноза за бюджета на ЕС за финансовата 2023 година, но наред с това приложена със задна дата към бюджетите за финансовите години 2021 и 2022;</w:t>
      </w:r>
    </w:p>
    <w:p w14:paraId="28B32810" w14:textId="77777777" w:rsidR="005C721E" w:rsidRPr="005E6253" w:rsidRDefault="005C721E" w:rsidP="005C721E">
      <w:pPr>
        <w:pStyle w:val="NormalHanging12a"/>
      </w:pPr>
      <w:r w:rsidRPr="005E6253">
        <w:lastRenderedPageBreak/>
        <w:t>6.</w:t>
      </w:r>
      <w:r w:rsidRPr="005E6253">
        <w:tab/>
        <w:t>отбелязва, че за финансовата 2021 година към момента на публикуване на съответния годишен доклад за управлението и изпълнението и от общо 352 милиарда евро бюджетни кредити за поети задължения 1% от бюджетните кредити за поети задължения са получили оценка 2 точки, 3% са получили оценка 1 точка, 1% са получили оценка 0 точки, а 95% са получили оценка 0* точки;</w:t>
      </w:r>
    </w:p>
    <w:p w14:paraId="7C14A901" w14:textId="77777777" w:rsidR="005C721E" w:rsidRPr="005E6253" w:rsidRDefault="005C721E" w:rsidP="005C721E">
      <w:pPr>
        <w:pStyle w:val="NormalHanging12a"/>
      </w:pPr>
      <w:r w:rsidRPr="005E6253">
        <w:t>7.</w:t>
      </w:r>
      <w:r w:rsidRPr="005E6253">
        <w:tab/>
        <w:t>отбелязва, че за финансовата 2022 година към момента на публикуване на съответния годишен доклад за управлението и изпълнението и от общо 321 милиарда евро бюджетни кредити за поети задължения 2% от бюджетните кредити за поети задължения са получили оценка 2 точки, 9% са получили оценка 1 точка, 16% са получили оценка 0 точки, а 73% са получили оценка 0* точки;</w:t>
      </w:r>
    </w:p>
    <w:p w14:paraId="3FA4783C" w14:textId="77777777" w:rsidR="005C721E" w:rsidRPr="005E6253" w:rsidRDefault="005C721E" w:rsidP="005C721E">
      <w:pPr>
        <w:pStyle w:val="NormalHanging12a"/>
      </w:pPr>
      <w:r w:rsidRPr="005E6253">
        <w:t>8.</w:t>
      </w:r>
      <w:r w:rsidRPr="005E6253">
        <w:tab/>
        <w:t>отбелязва, че за финансовата 2023 година към момента на публикуване на съответния годишен доклад за управлението и изпълнението и от общо 427 милиарда евро бюджетни кредити за поети задължения 2% от бюджетните кредити за поети задължения са получили оценка 2 точки, 9% са получили оценка 1 точка, 69% са получили оценка 0 точки, а 20% са получили оценка 0* точки;</w:t>
      </w:r>
    </w:p>
    <w:p w14:paraId="23A56CCA" w14:textId="77777777" w:rsidR="005C721E" w:rsidRPr="005E6253" w:rsidRDefault="005C721E" w:rsidP="005C721E">
      <w:pPr>
        <w:pStyle w:val="NormalHanging12a"/>
      </w:pPr>
      <w:r w:rsidRPr="005E6253">
        <w:t>9.</w:t>
      </w:r>
      <w:r w:rsidRPr="005E6253">
        <w:tab/>
        <w:t>отбелязва, че за финансовата 2024 година към момента на публикуване на съответния годишен доклад за управлението и изпълнението и от общо 195 милиарда евро бюджетни кредити за поети задължения 3% от бюджетните кредити за поети задължения са получили оценка 2 точки, 17% са получили оценка 1 точка, 65% са получили оценка 0 точки, а 16% са получили оценка 0* точки, като тези точки са закръглени нагоре;</w:t>
      </w:r>
    </w:p>
    <w:p w14:paraId="1C4B56CE" w14:textId="77777777" w:rsidR="005C721E" w:rsidRPr="005E6253" w:rsidRDefault="005C721E" w:rsidP="005C721E">
      <w:pPr>
        <w:pStyle w:val="NormalHanging12a"/>
      </w:pPr>
      <w:r w:rsidRPr="005E6253">
        <w:t>10.</w:t>
      </w:r>
      <w:r w:rsidRPr="005E6253">
        <w:tab/>
        <w:t>изразява разбиране, че намаляващият дял на бюджетните кредити за поети задължения с оценка 0* точки през годините е резултат от подобряването на събирането и наличността на данни и на капацитета за докладване на Комисията, което позволява на нейните генерални дирекции да измерват по-добре приноса на своите програми за равенството между половете на по-детайлно равнище;</w:t>
      </w:r>
    </w:p>
    <w:p w14:paraId="114DD303" w14:textId="77777777" w:rsidR="005C721E" w:rsidRPr="005E6253" w:rsidRDefault="005C721E" w:rsidP="005C721E">
      <w:pPr>
        <w:pStyle w:val="NormalHanging12a"/>
      </w:pPr>
      <w:r w:rsidRPr="005E6253">
        <w:t>11.</w:t>
      </w:r>
      <w:r w:rsidRPr="005E6253">
        <w:tab/>
        <w:t>освен това изразява разбиране, че поради ограничената наличност на данни и ограничения капацитет за докладване през първите финансови години, за които е била приложена тази методика, добавената стойност на сравняването на цифрите от една финансова година спрямо друга въз основа на годишните резултати или на извличането на информация от такива сравнения е малка;</w:t>
      </w:r>
    </w:p>
    <w:p w14:paraId="71A4DA13" w14:textId="77777777" w:rsidR="005C721E" w:rsidRPr="005E6253" w:rsidRDefault="005C721E" w:rsidP="005C721E">
      <w:pPr>
        <w:pStyle w:val="NormalHanging12a"/>
      </w:pPr>
      <w:r w:rsidRPr="005E6253">
        <w:t>12.</w:t>
      </w:r>
      <w:r w:rsidRPr="005E6253">
        <w:tab/>
        <w:t>отбелязва, че Комисията счита, че интервенциите с присъдена оценка 2 точки или 1 точка могат да се считат за насърчаващи равенството между половете и че като се има предвид това, интервенции на стойност 37,99 милиарда евро са насърчили равенството между половете през 2024 г., докато тази цифра е възлизала на 10,76 милиарда евро през 2021 г., 37,83 милиарда евро през 2022 г. и 47,99 милиарда евро през 2023 г.;</w:t>
      </w:r>
    </w:p>
    <w:p w14:paraId="5C4F0FC0" w14:textId="77777777" w:rsidR="005C721E" w:rsidRPr="005E6253" w:rsidRDefault="005C721E" w:rsidP="005C721E">
      <w:pPr>
        <w:pStyle w:val="NormalHanging12a"/>
      </w:pPr>
      <w:r w:rsidRPr="005E6253">
        <w:t>13.</w:t>
      </w:r>
      <w:r w:rsidRPr="005E6253">
        <w:tab/>
        <w:t>отбелязва, че намаляването на абсолютната стойност между 2023 г. и 2024 г. на интервенциите, считани за насърчаващи равенството между половете, е пряк резултат от намаляването на общия размер на поетите задължения между тези две финансови години, което се обяснява до голяма степен с постепенното премахване на бюджетните кредити за поети задължения по Механизма за възстановяване и устойчивост;</w:t>
      </w:r>
    </w:p>
    <w:p w14:paraId="601C1489" w14:textId="77777777" w:rsidR="005C721E" w:rsidRPr="005E6253" w:rsidRDefault="005C721E" w:rsidP="005C721E">
      <w:pPr>
        <w:pStyle w:val="NormalHanging12a"/>
      </w:pPr>
      <w:r w:rsidRPr="005E6253">
        <w:lastRenderedPageBreak/>
        <w:t>14.</w:t>
      </w:r>
      <w:r w:rsidRPr="005E6253">
        <w:tab/>
        <w:t>отбелязва, че в допълнение към резултатите, предоставени за всяка финансова година, в годишния доклад за управлението и изпълнението на бюджета на ЕС за 2024 г. Комисията е публикувала повторна оценка на всички предходни резултати въз основа на по-скорошни и всеобхватни оценки на своите програми, което е довело до съвкупни тенденции, показващи, че за интервенциите през периода от 2021 до 2024 г. на 2% е дадена оценка 2 точки, на 10% е дадена оценка 1 точка, на 83% е дадена оценка 0 точки, а на 5% е дадена оценка 0* точки; отбелязва освен това, че според повторната оценка на Комисията, през финансовите 2021 — 2024 години 12% от бюджетните разходи на ЕС са допринесли за насърчаването на равенството между половете (с оценки от 1 точка и 2 точки), възлизащи общо на 158,4 милиарда евро;</w:t>
      </w:r>
    </w:p>
    <w:p w14:paraId="304CB92B" w14:textId="77777777" w:rsidR="005C721E" w:rsidRPr="005E6253" w:rsidRDefault="005C721E" w:rsidP="005C721E">
      <w:pPr>
        <w:pStyle w:val="NormalHanging12a"/>
      </w:pPr>
      <w:r w:rsidRPr="005E6253">
        <w:t>15.</w:t>
      </w:r>
      <w:r w:rsidRPr="005E6253">
        <w:tab/>
        <w:t>подчертава, че не всички бюджетни програми на ЕС функционират еднакво по отношение на интегрирането на равенството между половете като хоризонтален приоритет, като някои програми се представят много по-добре поради разработването на съответните политики, като например програмите по функция 6 „Съседните региони и светът“, където равенството между половете е определено като хоризонтален приоритет с ясни цели и критерии, както и специфичните програми по други функции, като например „Хоризонт Европа“, която, благодарение на своето изискване за прилагане на бюджетиране, съобразено с равенството между половете, не само насърчава равенството между половете, но и оказва положително въздействие върху практиките на държавите членки чрез кръстосано замърсяване по време на етапа на изпълнение на национално равнище;</w:t>
      </w:r>
    </w:p>
    <w:p w14:paraId="0A686198" w14:textId="77777777" w:rsidR="005C721E" w:rsidRPr="005E6253" w:rsidRDefault="005C721E" w:rsidP="005C721E">
      <w:pPr>
        <w:pStyle w:val="NormalHanging12a"/>
      </w:pPr>
      <w:r w:rsidRPr="005E6253">
        <w:t>16.</w:t>
      </w:r>
      <w:r w:rsidRPr="005E6253">
        <w:tab/>
        <w:t>изразява съжаление, че тъй като използваната методика е инструмент за проследяване, предназначен специално за оперативните бюджети, тя не може да направи адекватна оценка на административните бюджети на институциите и органите на ЕС;</w:t>
      </w:r>
    </w:p>
    <w:p w14:paraId="6174B5D2" w14:textId="77777777" w:rsidR="005C721E" w:rsidRPr="005E6253" w:rsidRDefault="005C721E" w:rsidP="005C721E">
      <w:pPr>
        <w:pStyle w:val="NormalHanging12a"/>
        <w:rPr>
          <w:bCs/>
          <w:iCs/>
        </w:rPr>
      </w:pPr>
      <w:r w:rsidRPr="005E6253">
        <w:t>17.</w:t>
      </w:r>
      <w:r w:rsidRPr="005E6253">
        <w:tab/>
        <w:t>отбелязва, че обхватът на методиката е ограничен, тъй като тя не обхваща по подходящ начин вторичните или непреките ефекти на програмите върху равенството между половете, потенциалното отрицателно въздействие или междусекторните измерения, необходими за всеобхватна оценка на въздействието на политиките;</w:t>
      </w:r>
    </w:p>
    <w:p w14:paraId="55701C91" w14:textId="3F800D2D" w:rsidR="005C721E" w:rsidRPr="005E6253" w:rsidRDefault="005C721E" w:rsidP="005C721E">
      <w:pPr>
        <w:pStyle w:val="NormalHanging12a"/>
      </w:pPr>
      <w:r w:rsidRPr="005E6253">
        <w:t>18.</w:t>
      </w:r>
      <w:r w:rsidRPr="005E6253">
        <w:tab/>
      </w:r>
      <w:r w:rsidR="00CF2E22" w:rsidRPr="00CF2E22">
        <w:t>освен това отбелязва, че потенциалното отрицателно въздействие на програмите върху равенството между половете не се отчита в достатъчна степен, особено в сектори като конкурентоспособност, отбрана и подготвеност; подчертава, че насърчаването на равенството между половете не следва да води до ограничения или намаляване на инвестициите в сектори от критично значение; призовава Комисията да предложи конкретни мерки за подобряване на равенството между половете, като същевременно гарантира, че инвестиционните решения не са неблагоприятно засегнати</w:t>
      </w:r>
      <w:r w:rsidR="00CF2E22" w:rsidRPr="000D2B2F">
        <w:rPr>
          <w:lang w:val="ru-RU"/>
        </w:rPr>
        <w:t>;</w:t>
      </w:r>
    </w:p>
    <w:p w14:paraId="4904DA5D" w14:textId="77777777" w:rsidR="005C721E" w:rsidRPr="005E6253" w:rsidRDefault="005C721E" w:rsidP="005C721E">
      <w:pPr>
        <w:pStyle w:val="NormalHanging12a"/>
      </w:pPr>
      <w:r w:rsidRPr="005E6253">
        <w:t>19.</w:t>
      </w:r>
      <w:r w:rsidRPr="005E6253">
        <w:tab/>
        <w:t>изразява съжаление, че последващият характер на методиката я прави неспособна да повлияе структурно върху разработването на политики на предварителен етап или върху събирането и разпределянето на финансови ресурси, което е от съществено значение за правилното интегриране на равенството между половете в програмите на ЕС;</w:t>
      </w:r>
    </w:p>
    <w:p w14:paraId="5A3A0D02" w14:textId="77777777" w:rsidR="005C721E" w:rsidRPr="005E6253" w:rsidRDefault="005C721E" w:rsidP="005C721E">
      <w:pPr>
        <w:pStyle w:val="Normal12a24b"/>
      </w:pPr>
      <w:r w:rsidRPr="005E6253">
        <w:rPr>
          <w:rStyle w:val="BoldItalic"/>
        </w:rPr>
        <w:lastRenderedPageBreak/>
        <w:t>Относно по-широкия подход за интегриране на принципа на равенство между половете във финансовите програми на ЕС</w:t>
      </w:r>
    </w:p>
    <w:p w14:paraId="0011DCCC" w14:textId="77777777" w:rsidR="005C721E" w:rsidRPr="005E6253" w:rsidRDefault="005C721E" w:rsidP="005C721E">
      <w:pPr>
        <w:pStyle w:val="NormalHanging12a"/>
      </w:pPr>
      <w:r w:rsidRPr="005E6253">
        <w:t>20.</w:t>
      </w:r>
      <w:r w:rsidRPr="005E6253">
        <w:tab/>
        <w:t>отбелязва, че освен методиката за интегриране на принципа на равенство между половете, прилагана към бюджета на ЕС, някои програми на ЕС са включили равенството между половете в своите правни основания, а други — не;</w:t>
      </w:r>
    </w:p>
    <w:p w14:paraId="48503422" w14:textId="77777777" w:rsidR="005C721E" w:rsidRPr="005E6253" w:rsidRDefault="005C721E" w:rsidP="005C721E">
      <w:pPr>
        <w:pStyle w:val="NormalHanging12a"/>
      </w:pPr>
      <w:r w:rsidRPr="005E6253">
        <w:t>21.</w:t>
      </w:r>
      <w:r w:rsidRPr="005E6253">
        <w:tab/>
        <w:t>отбелязва, че макар двойният подход на Комисията към интегрирането на принципа на равенство между половете, който е разделен между проследяването на бюджета на ЕС и установяването на целите, определени в правните основания на програмите, да е полезна рамка, този подход е фрагментиран и не оказва въздействие в еднаква степен върху всички програми, като по този начин намалява съгласуваността на подхода на ЕС към равенството между половете;</w:t>
      </w:r>
    </w:p>
    <w:p w14:paraId="47ECD4C5" w14:textId="77777777" w:rsidR="005C721E" w:rsidRPr="005E6253" w:rsidRDefault="005C721E" w:rsidP="005C721E">
      <w:pPr>
        <w:pStyle w:val="Normal12a24b"/>
        <w:rPr>
          <w:rStyle w:val="BoldItalic"/>
        </w:rPr>
      </w:pPr>
      <w:r w:rsidRPr="005E6253">
        <w:rPr>
          <w:rStyle w:val="BoldItalic"/>
        </w:rPr>
        <w:t>Заключителни бележки</w:t>
      </w:r>
    </w:p>
    <w:p w14:paraId="63AB5791" w14:textId="77777777" w:rsidR="005C721E" w:rsidRPr="005E6253" w:rsidRDefault="005C721E" w:rsidP="005C721E">
      <w:pPr>
        <w:pStyle w:val="NormalHanging12a"/>
      </w:pPr>
      <w:r w:rsidRPr="005E6253">
        <w:t>22.</w:t>
      </w:r>
      <w:r w:rsidRPr="005E6253">
        <w:tab/>
        <w:t>приема за сведение оценката на Комисията за прилагането на принципа на равенство между половете в бюджета на ЕС</w:t>
      </w:r>
      <w:r w:rsidRPr="005E6253">
        <w:rPr>
          <w:rStyle w:val="FootnoteReference"/>
        </w:rPr>
        <w:footnoteReference w:id="11"/>
      </w:r>
      <w:r w:rsidRPr="005E6253">
        <w:t xml:space="preserve"> и споделя виждането, че за оставащите години от МФР за периода 2021—2027 г. приоритет следва да бъде да продължи оценката на програмите, за да се оцени по-добре техният принос за равенството между половете и да се извлекат поуки от тяхното изпълнение, като се използва пълноценно подобрено докладване на разбити по полов признак данни, въведено от 2023 г. насам; подчертава необходимостта от засилено сътрудничество с всички държави членки с цел хармонизиране на методологиите и избягване на фрагментиране между техните подходи, както и за да се подобри събирането, обобщаването и докладването на данни;</w:t>
      </w:r>
    </w:p>
    <w:p w14:paraId="3F4B32E3" w14:textId="77777777" w:rsidR="005C721E" w:rsidRPr="005E6253" w:rsidRDefault="005C721E" w:rsidP="005C721E">
      <w:pPr>
        <w:pStyle w:val="NormalHanging12a"/>
      </w:pPr>
      <w:r w:rsidRPr="005E6253">
        <w:t>23.</w:t>
      </w:r>
      <w:r w:rsidRPr="005E6253">
        <w:tab/>
        <w:t>признава, че макар методологията, разработена от Комисията, е полезен инструмент за оценка на приноса на бюджета на ЕС към равенството между половете, тя е изправена пред ограничения, които ограничават нейния капацитет за преобразяващ ефект; подчертава, че е важно да се гарантира наличието на данни и използването на специфични, измерими, относими и обвързани със срокове (SMART) показатели за изпълнение в това отношение;</w:t>
      </w:r>
    </w:p>
    <w:p w14:paraId="42EC06CE" w14:textId="77777777" w:rsidR="005C721E" w:rsidRPr="005E6253" w:rsidRDefault="005C721E" w:rsidP="005C721E">
      <w:pPr>
        <w:pStyle w:val="NormalHanging12a"/>
      </w:pPr>
      <w:r w:rsidRPr="005E6253">
        <w:t>24.</w:t>
      </w:r>
      <w:r w:rsidRPr="005E6253">
        <w:tab/>
        <w:t>подчертава, че тъй като бюджетът на ЕС е засегнат от множество кризи и промени в политическите приоритети, от съществено значение е бюджетирането, съобразено с равенството между половете, да бъде включено по пропорционален начин в основата на бюджетния цикъл на програмите предварително, включително в нови приоритетни области като конкурентоспособност, отбрана и подготвеност;</w:t>
      </w:r>
    </w:p>
    <w:p w14:paraId="73CDEC97" w14:textId="77777777" w:rsidR="005C721E" w:rsidRPr="005E6253" w:rsidRDefault="005C721E" w:rsidP="005C721E">
      <w:pPr>
        <w:pStyle w:val="NormalHanging12a"/>
      </w:pPr>
      <w:r w:rsidRPr="005E6253">
        <w:t>25.</w:t>
      </w:r>
      <w:r w:rsidRPr="005E6253">
        <w:tab/>
        <w:t xml:space="preserve">призовава Комисията да разработи пълноценен и всеобхватен подход към бюджетирането, съобразено с равенството между половете, и конкретна и всеобхватна методика за бюджета на ЕС, която да бъде напълно приведена в действие още от началото на следващия програмен период с преобразуващ потенциал, благодарение на способността ѝ да оказва влияние върху целия </w:t>
      </w:r>
      <w:r w:rsidRPr="005E6253">
        <w:lastRenderedPageBreak/>
        <w:t>бюджетен цикъл и чрез справяне с проблемите, посочени в настоящата резолюция, така че да се гарантира доброто финансово управление на средствата на ЕС;</w:t>
      </w:r>
    </w:p>
    <w:p w14:paraId="3DFA624E" w14:textId="77777777" w:rsidR="005C721E" w:rsidRPr="005E6253" w:rsidRDefault="005C721E" w:rsidP="005C721E">
      <w:pPr>
        <w:pStyle w:val="NormalHanging12a"/>
        <w:rPr>
          <w:bCs/>
          <w:iCs/>
        </w:rPr>
      </w:pPr>
      <w:r w:rsidRPr="005E6253">
        <w:t>26.</w:t>
      </w:r>
      <w:r w:rsidRPr="005E6253">
        <w:tab/>
        <w:t>подчертава, че в допълнение към МФР всеки инструмент, приет съгласно член 122 от ДФЕС, следва също така да прилага, когато е целесъобразно, разпоредби за интегриране на принципа на равенство между половете и бюджетиране, без да се променят целите на програмата, условията за допустимост и критериите за възлагане, които вече са определени в специалното секторно законодателство, с цел да се проследи приносът на ЕС към насърчаването на равенството между половете във всички инструменти за финансиране по всеобхватен и последователен начин;</w:t>
      </w:r>
    </w:p>
    <w:p w14:paraId="499A1125" w14:textId="77777777" w:rsidR="005C721E" w:rsidRPr="005E6253" w:rsidRDefault="005C721E" w:rsidP="005C721E">
      <w:pPr>
        <w:pStyle w:val="NormalHanging12a"/>
      </w:pPr>
      <w:r w:rsidRPr="005E6253">
        <w:t>27.</w:t>
      </w:r>
      <w:r w:rsidRPr="005E6253">
        <w:tab/>
        <w:t>призовава Комисията да извършва систематични предварителни оценки на въздействието, в които също така да се анализира специфичното въздействие на политиките на ЕС, и на мерките на фискалната политика, включително данъчните схеми и програмите за държавна помощ, върху равенството между половете, в съответствие с насоките за по-добро регулиране, с цел установяване и смекчаване на различията между половете; подчертава, че следва внимателно да се разгледа и социалните и икономическите въздействия на подобреното равенство между половете, като същевременно се вземат предвид административните разходи за малките и средните предприятия;</w:t>
      </w:r>
    </w:p>
    <w:p w14:paraId="369084DF" w14:textId="2E863F81" w:rsidR="005C721E" w:rsidRPr="005E6253" w:rsidRDefault="005C721E" w:rsidP="005C721E">
      <w:pPr>
        <w:pStyle w:val="NormalHanging12a"/>
      </w:pPr>
      <w:r w:rsidRPr="005E6253">
        <w:t>28.</w:t>
      </w:r>
      <w:r w:rsidRPr="005E6253">
        <w:tab/>
      </w:r>
      <w:r w:rsidR="00CF2E22" w:rsidRPr="00CF2E22">
        <w:t>припомня, че всички законодателни предложения на ЕС трябва да са в съответствие с първичното право на ЕС, включително с принципа на равенство между половете; призовава Комисията да засили предварителните оценки на тяхното въздействие, за да разгледа внимателно и да сведе до минимум всички потенциални отрицателни последици за равенството между половете в рамките на ЕС при изготвянето на законодателни предложения;</w:t>
      </w:r>
    </w:p>
    <w:p w14:paraId="61461CFA" w14:textId="61211D5D" w:rsidR="005C721E" w:rsidRPr="005E6253" w:rsidRDefault="005C721E" w:rsidP="005C721E">
      <w:pPr>
        <w:pStyle w:val="NormalHanging12a"/>
      </w:pPr>
      <w:r w:rsidRPr="005E6253">
        <w:t>29.</w:t>
      </w:r>
      <w:r w:rsidRPr="005E6253">
        <w:tab/>
        <w:t>настоятелно призовава Комисията да създаде „предпазен механизъм за равенство между половете“ като стандартна част от законодателните процедури на ЕС, което би изисквало преразглеждане на всяко предложение, за което чрез анализ на Сметната палата е доказано, че подкопава стратегията и целите на ЕС за равенство между половете;</w:t>
      </w:r>
    </w:p>
    <w:p w14:paraId="59D284FA" w14:textId="77777777" w:rsidR="005C721E" w:rsidRPr="005E6253" w:rsidRDefault="005C721E" w:rsidP="005C721E">
      <w:pPr>
        <w:pStyle w:val="NormalHanging12a"/>
      </w:pPr>
      <w:r w:rsidRPr="005E6253">
        <w:t>30.</w:t>
      </w:r>
      <w:r w:rsidRPr="005E6253">
        <w:tab/>
        <w:t>изразява съжаление относно дисбаланса в представеността на половете сред длъжностните лица и политическите представители както на равнището на ЕС, така и на равнището на държавите членки, което от своя страна подкопава принципа на равенство между половете при представителството;</w:t>
      </w:r>
    </w:p>
    <w:p w14:paraId="7C4442B5" w14:textId="4E7061C2" w:rsidR="005C721E" w:rsidRPr="005E6253" w:rsidRDefault="005C721E" w:rsidP="005C721E">
      <w:pPr>
        <w:pStyle w:val="NormalHanging12a"/>
      </w:pPr>
      <w:r w:rsidRPr="005E6253">
        <w:t>31.</w:t>
      </w:r>
      <w:r w:rsidRPr="005E6253">
        <w:tab/>
        <w:t>призовава Комисията да направи оценка на осъществимостта на въвеждането на допълнителни мерки за равенство между половете на управленско равнище, за да се гарантира, че всички полове са включени в достатъчна степен в създаването на политиките чрез целенасочени схеми за подпомагане;</w:t>
      </w:r>
    </w:p>
    <w:p w14:paraId="61C01C6D" w14:textId="48633BAC" w:rsidR="005C721E" w:rsidRPr="005E6253" w:rsidRDefault="005C721E" w:rsidP="005C721E">
      <w:pPr>
        <w:pStyle w:val="NormalHanging12a"/>
      </w:pPr>
      <w:r w:rsidRPr="005E6253">
        <w:t>32.</w:t>
      </w:r>
      <w:r w:rsidRPr="005E6253">
        <w:tab/>
        <w:t>призовава Комисията да гарантира, че минимален дял от бюджета на ЕС е предназначен за равенството между половете като основна цел (съответстваща на оценка 2 точки в настоящата методика);</w:t>
      </w:r>
    </w:p>
    <w:p w14:paraId="220F7969" w14:textId="77777777" w:rsidR="005C721E" w:rsidRPr="005E6253" w:rsidRDefault="005C721E" w:rsidP="005C721E">
      <w:pPr>
        <w:pStyle w:val="NormalHanging12a"/>
        <w:rPr>
          <w:bCs/>
          <w:iCs/>
        </w:rPr>
      </w:pPr>
      <w:r w:rsidRPr="005E6253">
        <w:lastRenderedPageBreak/>
        <w:t>33.</w:t>
      </w:r>
      <w:r w:rsidRPr="005E6253">
        <w:tab/>
        <w:t>приканва Комисията да проучи възможността за поставяне на количествена цел през следващия програмен период за част от бюджета на ЕС, която допринася за насърчаване на равенството между половете (съответстваща на оценка 2 точки или 1 точка в настоящата методика), като отбелязва, че сходни цели се оказаха полезни в напредъка за постигане на целите на ЕС в областите на климата и биологичното разнообразие;</w:t>
      </w:r>
    </w:p>
    <w:p w14:paraId="46B175A1" w14:textId="77777777" w:rsidR="005C721E" w:rsidRPr="005E6253" w:rsidRDefault="005C721E" w:rsidP="005C721E">
      <w:pPr>
        <w:pStyle w:val="NormalHanging12a"/>
      </w:pPr>
      <w:r w:rsidRPr="005E6253">
        <w:t>34.</w:t>
      </w:r>
      <w:r w:rsidRPr="005E6253">
        <w:tab/>
        <w:t>призовава Комисията и Съвета да спазват разпоредбите, предвидени в преразгледания Финансов регламент, по време на преговорите относно следващото поколение програми, а именно, че програмите и дейностите следва, когато това е осъществимо и целесъобразно, да бъдат изпълнявани в съответствие със съответните секторни правила, като се взема предвид принципът на равенство между половете и в съответствие с подходяща методика за интегриране на принципа на равенство между половете;</w:t>
      </w:r>
    </w:p>
    <w:p w14:paraId="20FA7C14" w14:textId="77777777" w:rsidR="005C721E" w:rsidRPr="005E6253" w:rsidRDefault="005C721E" w:rsidP="005C721E">
      <w:pPr>
        <w:pStyle w:val="NormalHanging12a"/>
      </w:pPr>
      <w:r w:rsidRPr="005E6253">
        <w:t>35.</w:t>
      </w:r>
      <w:r w:rsidRPr="005E6253">
        <w:tab/>
        <w:t>счита, че е от съществено значение в съответствие с преразгледания Финансов регламент да се гарантира, че следващото поколение програми включва цели, които позволяват, когато е целесъобразно, събирането на данни, разбити по пол, и обобщаването на тези данни във всички съответни програми; призовава Комисията да продължи разработването и подобряването на своята методология за проследяване на приноса на бюджета на ЕС за равенството между половете, включително чрез системното използване на цифрови инструменти, като например изкуствен интелект, за подобряване на събирането, обобщаването и междупрограмния анализ на данни;</w:t>
      </w:r>
    </w:p>
    <w:p w14:paraId="4476D5E5" w14:textId="77777777" w:rsidR="005C721E" w:rsidRPr="005E6253" w:rsidRDefault="005C721E" w:rsidP="005C721E">
      <w:pPr>
        <w:pStyle w:val="NormalHanging12a"/>
      </w:pPr>
      <w:r w:rsidRPr="005E6253">
        <w:t>36.</w:t>
      </w:r>
      <w:r w:rsidRPr="005E6253">
        <w:tab/>
        <w:t>призовава всички съответни участници, включително Съвета, Комисията, организациите на гражданското общество и други съответни партньори, да се стремят да превърнат бюджетирането, съобразено с равенството между половете, в реалност през следващия програмен период;</w:t>
      </w:r>
    </w:p>
    <w:p w14:paraId="1DF888BC" w14:textId="77777777" w:rsidR="005C721E" w:rsidRPr="005E6253" w:rsidRDefault="005C721E" w:rsidP="005C721E">
      <w:pPr>
        <w:pStyle w:val="NormalHanging12a"/>
      </w:pPr>
      <w:r w:rsidRPr="005E6253">
        <w:t>37.</w:t>
      </w:r>
      <w:r w:rsidRPr="005E6253">
        <w:tab/>
        <w:t>призовава Комисията да задели по-голям дял от бюджета за външни действия на ЕС за интервенции, които допринасят за равенството между половете и овластяването на жените, и допълнително да задели 25% от инструментите на ЕС за външно финансиране в предстоящата МФР за насърчаване на равенството между половете като основна цел; освен това призовава Комисията да създаде специален фонд за насърчаване на равенството между половете в световен мащаб и да гарантира, че действията, които подкрепя, са насочени към достъпа до сексуално и репродуктивно здраве и права, увеличаване на участието на жените във вземането на решения, подкрепа за местни неправителствени организации, ръководени от жени, и подпомагане на местните жени защитници на правата на човека;</w:t>
      </w:r>
    </w:p>
    <w:p w14:paraId="62A26644" w14:textId="77777777" w:rsidR="005C721E" w:rsidRPr="005E6253" w:rsidRDefault="005C721E" w:rsidP="005C721E">
      <w:pPr>
        <w:pStyle w:val="NormalHanging12a"/>
      </w:pPr>
      <w:r w:rsidRPr="005E6253">
        <w:t>38.</w:t>
      </w:r>
      <w:r w:rsidRPr="005E6253">
        <w:tab/>
        <w:t>призовава Комисията да определи ясни цели за следващата МФР по отношение на приноса за намаляване на разликите в заплащането на труда и пенсиите между жените и мъжете и справянето с проблема с бедността сред жените, включително чрез подобряване на услугите за полагане на грижи за деца;</w:t>
      </w:r>
    </w:p>
    <w:p w14:paraId="0B3A33F8" w14:textId="77777777" w:rsidR="005C721E" w:rsidRPr="005E6253" w:rsidRDefault="005C721E" w:rsidP="005C721E">
      <w:pPr>
        <w:pStyle w:val="NormalHanging12a"/>
        <w:rPr>
          <w:bCs/>
          <w:iCs/>
        </w:rPr>
      </w:pPr>
      <w:r w:rsidRPr="005E6253">
        <w:t>39.</w:t>
      </w:r>
      <w:r w:rsidRPr="005E6253">
        <w:tab/>
        <w:t>призовава Комисията да гарантира, че финансираните от ЕС програми защитават и насърчават правата на жените, като се обръща специално внимание на достъпа до обществено здравеопазване, грижи за деца и сексуално и репродуктивно здраве и права;</w:t>
      </w:r>
    </w:p>
    <w:p w14:paraId="52E86ED5" w14:textId="77777777" w:rsidR="005C721E" w:rsidRPr="005E6253" w:rsidRDefault="005C721E" w:rsidP="005C721E">
      <w:pPr>
        <w:pStyle w:val="NormalHanging12a"/>
      </w:pPr>
      <w:r w:rsidRPr="005E6253">
        <w:lastRenderedPageBreak/>
        <w:t>40.</w:t>
      </w:r>
      <w:r w:rsidRPr="005E6253">
        <w:tab/>
        <w:t>призовава институциите на ЕС, в съответствие с принципите на Директивата на ЕС относно прозрачността на заплащането</w:t>
      </w:r>
      <w:r w:rsidRPr="005E6253">
        <w:rPr>
          <w:rStyle w:val="FootnoteReference"/>
        </w:rPr>
        <w:footnoteReference w:id="12"/>
      </w:r>
      <w:r w:rsidRPr="005E6253">
        <w:t>, да анализират и докладват за възможни разлики в заплащането на различните полове и да предприемат подходящи мерки, когато е необходимо; отново призовава институциите, органите, службите и агенциите на ЕС да подобрят баланса между половете на висше управленско равнище; приканва институциите, органите, службите и агенциите на ЕС да извършат анализ, за да определят областите в цикъла на човешките ресурси — от назначаването до достъпа до повишения в службата, в които такива подобрения са най-необходими, и да проучат възможността за прилагане на допълнителни мерки за постигане на баланс между половете възможно най-скоро;</w:t>
      </w:r>
    </w:p>
    <w:p w14:paraId="39F0D4FE" w14:textId="77777777" w:rsidR="005C721E" w:rsidRDefault="005C721E" w:rsidP="005C721E">
      <w:pPr>
        <w:pStyle w:val="NormalHanging12a"/>
        <w:rPr>
          <w:bCs/>
          <w:iCs/>
        </w:rPr>
      </w:pPr>
      <w:r w:rsidRPr="005E6253">
        <w:t>41.</w:t>
      </w:r>
      <w:r w:rsidRPr="005E6253">
        <w:tab/>
        <w:t xml:space="preserve">признава факта, че продължава да има различия между половете в няколко сектора, в които работните места традиционно са доминирани от един и същ пол; призовава Комисията да прилага бюджетиране, съобразено с равенството между половете, с цел да гарантира и наблюдава недискриминационни условия за достъп до необходимите умения и образователни програми за всички полове и с цел да подобри равенството между половете в тези специфични сектори, без да се вреди на конкурентоспособността на промишлеността; призовава да се обърне специално внимание на жените предприемачи, особено в малките и средните предприятия и в стартиращите предприятия, включително чрез специален мониторинг в рамките на програми като </w:t>
      </w:r>
      <w:proofErr w:type="spellStart"/>
      <w:r w:rsidRPr="005E6253">
        <w:t>InvestEU</w:t>
      </w:r>
      <w:proofErr w:type="spellEnd"/>
      <w:r w:rsidRPr="005E6253">
        <w:t xml:space="preserve"> и „Хоризонт Европа“; призовава за по-силни механизми за мониторинг и докладване, за да се гарантира, че средствата действително са от полза за жените и маргинализираните групи;</w:t>
      </w:r>
      <w:r w:rsidRPr="005E6253">
        <w:rPr>
          <w:b/>
          <w:i/>
        </w:rPr>
        <w:t xml:space="preserve"> </w:t>
      </w:r>
    </w:p>
    <w:p w14:paraId="490B2534" w14:textId="4B9F210B" w:rsidR="00324EDE" w:rsidRDefault="00324EDE" w:rsidP="00324EDE">
      <w:pPr>
        <w:pStyle w:val="NormalHanging12a"/>
        <w:ind w:left="0" w:firstLine="0"/>
        <w:jc w:val="center"/>
        <w:rPr>
          <w:bCs/>
          <w:iCs/>
        </w:rPr>
      </w:pPr>
      <w:r>
        <w:rPr>
          <w:bCs/>
          <w:iCs/>
        </w:rPr>
        <w:t>°</w:t>
      </w:r>
    </w:p>
    <w:p w14:paraId="20C34E91" w14:textId="77777777" w:rsidR="009F3065" w:rsidRPr="000D2B2F" w:rsidRDefault="00324EDE" w:rsidP="009F3065">
      <w:pPr>
        <w:pStyle w:val="NormalHanging12a"/>
        <w:jc w:val="center"/>
        <w:rPr>
          <w:bCs/>
          <w:iCs/>
          <w:lang w:val="ru-RU"/>
        </w:rPr>
      </w:pPr>
      <w:r>
        <w:rPr>
          <w:bCs/>
          <w:iCs/>
        </w:rPr>
        <w:t>°     °</w:t>
      </w:r>
    </w:p>
    <w:p w14:paraId="6727F887" w14:textId="04A749B5" w:rsidR="005E6253" w:rsidRPr="005E6253" w:rsidRDefault="005C721E" w:rsidP="00324EDE">
      <w:pPr>
        <w:pStyle w:val="NormalHanging12a"/>
        <w:rPr>
          <w:sz w:val="28"/>
          <w:lang w:eastAsia="fr-FR"/>
        </w:rPr>
      </w:pPr>
      <w:r w:rsidRPr="005E6253">
        <w:t>42.</w:t>
      </w:r>
      <w:r w:rsidRPr="005E6253">
        <w:tab/>
        <w:t>възлага на своя председател да предаде настоящата резолюция съответно на Съвета и на Комисията.</w:t>
      </w:r>
      <w:bookmarkEnd w:id="1"/>
    </w:p>
    <w:p w14:paraId="517DA386" w14:textId="78F029D9" w:rsidR="00E365E1" w:rsidRPr="005E6253" w:rsidRDefault="00E365E1" w:rsidP="005C721E">
      <w:pPr>
        <w:rPr>
          <w:sz w:val="28"/>
          <w:lang w:eastAsia="fr-FR"/>
        </w:rPr>
      </w:pPr>
    </w:p>
    <w:sectPr w:rsidR="00E365E1" w:rsidRPr="005E6253" w:rsidSect="005E62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9DB2C" w14:textId="77777777" w:rsidR="00D32FDD" w:rsidRPr="005E6253" w:rsidRDefault="00D32FDD">
      <w:r w:rsidRPr="005E6253">
        <w:separator/>
      </w:r>
    </w:p>
  </w:endnote>
  <w:endnote w:type="continuationSeparator" w:id="0">
    <w:p w14:paraId="6579E567" w14:textId="77777777" w:rsidR="00D32FDD" w:rsidRPr="005E6253" w:rsidRDefault="00D32FDD">
      <w:r w:rsidRPr="005E62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413F" w14:textId="77777777" w:rsidR="00064002" w:rsidRPr="005E62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BD237" w14:textId="77777777" w:rsidR="00064002" w:rsidRPr="005E62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54FF" w14:textId="77777777" w:rsidR="00064002" w:rsidRPr="005E62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A2FC4" w14:textId="77777777" w:rsidR="00D32FDD" w:rsidRPr="005E6253" w:rsidRDefault="00D32FDD">
      <w:r w:rsidRPr="005E6253">
        <w:separator/>
      </w:r>
    </w:p>
  </w:footnote>
  <w:footnote w:type="continuationSeparator" w:id="0">
    <w:p w14:paraId="72B1B54A" w14:textId="77777777" w:rsidR="00D32FDD" w:rsidRPr="005E6253" w:rsidRDefault="00D32FDD">
      <w:r w:rsidRPr="005E6253">
        <w:continuationSeparator/>
      </w:r>
    </w:p>
  </w:footnote>
  <w:footnote w:id="1">
    <w:p w14:paraId="67D86972" w14:textId="785126C9" w:rsidR="005C721E" w:rsidRPr="005E6253" w:rsidRDefault="005C721E" w:rsidP="005E6253">
      <w:pPr>
        <w:pStyle w:val="FootnoteText"/>
        <w:ind w:left="567" w:hanging="567"/>
        <w:rPr>
          <w:color w:val="0000FF"/>
          <w:sz w:val="24"/>
          <w:u w:val="single" w:color="0000FF"/>
          <w:lang w:val="bg-BG"/>
        </w:rPr>
      </w:pPr>
      <w:r w:rsidRPr="005E6253">
        <w:rPr>
          <w:rStyle w:val="FootnoteReference"/>
          <w:color w:val="000000" w:themeColor="text1"/>
          <w:sz w:val="24"/>
          <w:lang w:val="bg-BG"/>
        </w:rPr>
        <w:footnoteRef/>
      </w:r>
      <w:r w:rsidR="005E6253" w:rsidRPr="005E6253">
        <w:rPr>
          <w:color w:val="000000" w:themeColor="text1"/>
          <w:sz w:val="24"/>
          <w:lang w:val="bg-BG"/>
        </w:rPr>
        <w:t xml:space="preserve"> </w:t>
      </w:r>
      <w:r w:rsidR="005E6253" w:rsidRPr="005E6253">
        <w:rPr>
          <w:color w:val="000000" w:themeColor="text1"/>
          <w:sz w:val="24"/>
          <w:lang w:val="bg-BG"/>
        </w:rPr>
        <w:tab/>
      </w:r>
      <w:r w:rsidRPr="005E6253">
        <w:rPr>
          <w:color w:val="000000" w:themeColor="text1"/>
          <w:sz w:val="24"/>
          <w:lang w:val="bg-BG"/>
        </w:rPr>
        <w:t>ОВ L, 2024/765, 29.2.2024 г., ELI:</w:t>
      </w:r>
      <w:r w:rsidRPr="005E6253">
        <w:rPr>
          <w:color w:val="0000FF"/>
          <w:sz w:val="24"/>
          <w:u w:val="single" w:color="0000FF"/>
          <w:lang w:val="bg-BG"/>
        </w:rPr>
        <w:t xml:space="preserve"> </w:t>
      </w:r>
      <w:bookmarkStart w:id="7" w:name="_Hlk213075500"/>
      <w:r w:rsidRPr="005E6253">
        <w:rPr>
          <w:color w:val="0000FF"/>
          <w:sz w:val="24"/>
          <w:u w:val="single" w:color="0000FF"/>
          <w:lang w:val="bg-BG"/>
        </w:rPr>
        <w:t>https://data.europa.eu/eli/reg/2024/765/oj.</w:t>
      </w:r>
    </w:p>
    <w:bookmarkEnd w:id="7"/>
  </w:footnote>
  <w:footnote w:id="2">
    <w:p w14:paraId="74521659" w14:textId="530321AF" w:rsidR="005C721E" w:rsidRPr="005E6253" w:rsidRDefault="005C721E" w:rsidP="005E6253">
      <w:pPr>
        <w:pStyle w:val="FootnoteText"/>
        <w:ind w:left="567" w:hanging="567"/>
        <w:rPr>
          <w:sz w:val="24"/>
          <w:lang w:val="bg-BG"/>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ОВ L 325, 20.12.2022 г., стр. </w:t>
      </w:r>
      <w:r w:rsidRPr="005E6253">
        <w:rPr>
          <w:sz w:val="24"/>
          <w:lang w:val="bg-BG"/>
        </w:rPr>
        <w:t>11, ELI:</w:t>
      </w:r>
      <w:r w:rsidR="004441FF" w:rsidRPr="000D2B2F">
        <w:rPr>
          <w:sz w:val="24"/>
          <w:lang w:val="ru-RU"/>
        </w:rPr>
        <w:t xml:space="preserve"> </w:t>
      </w:r>
      <w:hyperlink r:id="rId1" w:history="1">
        <w:r w:rsidR="004441FF" w:rsidRPr="004441FF">
          <w:rPr>
            <w:rStyle w:val="Hyperlink"/>
            <w:sz w:val="24"/>
            <w:lang w:val="bg-BG"/>
          </w:rPr>
          <w:t>https://data.europa.eu/eli/reg/2022/2496/oj</w:t>
        </w:r>
      </w:hyperlink>
      <w:r w:rsidRPr="005E6253">
        <w:rPr>
          <w:color w:val="000000" w:themeColor="text1"/>
          <w:sz w:val="24"/>
          <w:lang w:val="bg-BG"/>
        </w:rPr>
        <w:t>.</w:t>
      </w:r>
    </w:p>
  </w:footnote>
  <w:footnote w:id="3">
    <w:p w14:paraId="0C304FAB" w14:textId="0A3B1815" w:rsidR="005C721E" w:rsidRPr="005E6253" w:rsidRDefault="005C721E" w:rsidP="005E6253">
      <w:pPr>
        <w:pStyle w:val="FootnoteText"/>
        <w:ind w:left="567" w:hanging="567"/>
        <w:rPr>
          <w:color w:val="000000" w:themeColor="text1"/>
          <w:sz w:val="24"/>
          <w:lang w:val="bg-BG"/>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ОВ L 433</w:t>
      </w:r>
      <w:r w:rsidR="000D2B2F">
        <w:rPr>
          <w:sz w:val="24"/>
          <w:lang w:val="bg-BG"/>
        </w:rPr>
        <w:t xml:space="preserve"> </w:t>
      </w:r>
      <w:r w:rsidRPr="005E6253">
        <w:rPr>
          <w:sz w:val="24"/>
          <w:lang w:val="bg-BG"/>
        </w:rPr>
        <w:t xml:space="preserve">I, 22.12.2020 г., стр. 11, ELI: </w:t>
      </w:r>
      <w:hyperlink r:id="rId2" w:history="1">
        <w:r w:rsidRPr="005E6253">
          <w:rPr>
            <w:rStyle w:val="Hyperlink"/>
            <w:sz w:val="24"/>
            <w:lang w:val="bg-BG"/>
          </w:rPr>
          <w:t>https://data.europa.eu/eli/reg/2020/2093/oj</w:t>
        </w:r>
      </w:hyperlink>
      <w:r w:rsidRPr="005E6253">
        <w:rPr>
          <w:sz w:val="24"/>
          <w:lang w:val="bg-BG"/>
        </w:rPr>
        <w:t>.</w:t>
      </w:r>
    </w:p>
  </w:footnote>
  <w:footnote w:id="4">
    <w:p w14:paraId="346D0600" w14:textId="664D83E0" w:rsidR="005C721E" w:rsidRPr="005E6253" w:rsidRDefault="005C721E" w:rsidP="005E6253">
      <w:pPr>
        <w:pStyle w:val="FootnoteText"/>
        <w:ind w:left="567" w:hanging="567"/>
        <w:rPr>
          <w:sz w:val="24"/>
          <w:lang w:val="bg-BG"/>
        </w:rPr>
      </w:pPr>
      <w:r w:rsidRPr="005E6253">
        <w:rPr>
          <w:rStyle w:val="FootnoteReference"/>
          <w:color w:val="000000" w:themeColor="text1"/>
          <w:sz w:val="24"/>
          <w:lang w:val="bg-BG"/>
        </w:rPr>
        <w:footnoteRef/>
      </w:r>
      <w:r w:rsidR="005E6253" w:rsidRPr="005E6253">
        <w:rPr>
          <w:color w:val="000000" w:themeColor="text1"/>
          <w:sz w:val="24"/>
          <w:lang w:val="bg-BG"/>
        </w:rPr>
        <w:t xml:space="preserve"> </w:t>
      </w:r>
      <w:r w:rsidR="005E6253" w:rsidRPr="005E6253">
        <w:rPr>
          <w:color w:val="000000" w:themeColor="text1"/>
          <w:sz w:val="24"/>
          <w:lang w:val="bg-BG"/>
        </w:rPr>
        <w:tab/>
      </w:r>
      <w:r w:rsidRPr="005E6253">
        <w:rPr>
          <w:color w:val="000000" w:themeColor="text1"/>
          <w:sz w:val="24"/>
          <w:lang w:val="bg-BG"/>
        </w:rPr>
        <w:t>OВ C, C/2024/1195, 23.2.2024 г., ELI:</w:t>
      </w:r>
      <w:r w:rsidRPr="005E6253">
        <w:rPr>
          <w:color w:val="000000" w:themeColor="text1"/>
          <w:sz w:val="24"/>
          <w:u w:val="single" w:color="0000FF"/>
          <w:lang w:val="bg-BG"/>
        </w:rPr>
        <w:t xml:space="preserve"> </w:t>
      </w:r>
      <w:hyperlink r:id="rId3" w:history="1">
        <w:r w:rsidRPr="005E6253">
          <w:rPr>
            <w:rStyle w:val="Hyperlink"/>
            <w:sz w:val="24"/>
            <w:lang w:val="bg-BG"/>
          </w:rPr>
          <w:t>http://data.europa.eu/eli/C/2024/1195/oj</w:t>
        </w:r>
      </w:hyperlink>
      <w:r w:rsidRPr="005E6253">
        <w:rPr>
          <w:color w:val="000000" w:themeColor="text1"/>
          <w:sz w:val="24"/>
          <w:lang w:val="bg-BG"/>
        </w:rPr>
        <w:t>.</w:t>
      </w:r>
    </w:p>
  </w:footnote>
  <w:footnote w:id="5">
    <w:p w14:paraId="558BEE4A" w14:textId="18179C32" w:rsidR="005C721E" w:rsidRPr="000D2B2F" w:rsidRDefault="005C721E" w:rsidP="005E6253">
      <w:pPr>
        <w:pStyle w:val="FootnoteText"/>
        <w:ind w:left="567" w:hanging="567"/>
        <w:rPr>
          <w:sz w:val="24"/>
          <w:lang w:val="fi-FI"/>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OВ L 433</w:t>
      </w:r>
      <w:r w:rsidR="000D2B2F">
        <w:rPr>
          <w:sz w:val="24"/>
          <w:lang w:val="bg-BG"/>
        </w:rPr>
        <w:t xml:space="preserve"> </w:t>
      </w:r>
      <w:r w:rsidRPr="005E6253">
        <w:rPr>
          <w:sz w:val="24"/>
          <w:lang w:val="bg-BG"/>
        </w:rPr>
        <w:t xml:space="preserve">I, 22.12.2020 г., стр. 28, ELI: </w:t>
      </w:r>
      <w:hyperlink r:id="rId4" w:history="1">
        <w:r w:rsidRPr="005E6253">
          <w:rPr>
            <w:rStyle w:val="Hyperlink"/>
            <w:sz w:val="24"/>
            <w:lang w:val="bg-BG"/>
          </w:rPr>
          <w:t>https://data.europa.eu/eli/agree_interinstit/2020/1222/oj</w:t>
        </w:r>
      </w:hyperlink>
      <w:r w:rsidRPr="005E6253">
        <w:rPr>
          <w:sz w:val="24"/>
          <w:lang w:val="bg-BG"/>
        </w:rPr>
        <w:t>.</w:t>
      </w:r>
    </w:p>
  </w:footnote>
  <w:footnote w:id="6">
    <w:p w14:paraId="744160E0" w14:textId="236CB913" w:rsidR="005C721E" w:rsidRPr="000D2B2F" w:rsidRDefault="005C721E" w:rsidP="005E6253">
      <w:pPr>
        <w:pStyle w:val="FootnoteText"/>
        <w:ind w:left="567" w:hanging="567"/>
        <w:rPr>
          <w:color w:val="000000" w:themeColor="text1"/>
          <w:sz w:val="24"/>
          <w:u w:val="single" w:color="0000FF"/>
          <w:lang w:val="fi-FI"/>
        </w:rPr>
      </w:pPr>
      <w:r w:rsidRPr="005E6253">
        <w:rPr>
          <w:rStyle w:val="FootnoteReference"/>
          <w:color w:val="000000" w:themeColor="text1"/>
          <w:sz w:val="24"/>
          <w:lang w:val="bg-BG"/>
        </w:rPr>
        <w:footnoteRef/>
      </w:r>
      <w:r w:rsidR="005E6253" w:rsidRPr="005E6253">
        <w:rPr>
          <w:color w:val="000000" w:themeColor="text1"/>
          <w:sz w:val="24"/>
          <w:lang w:val="bg-BG"/>
        </w:rPr>
        <w:t xml:space="preserve"> </w:t>
      </w:r>
      <w:r w:rsidR="005E6253" w:rsidRPr="005E6253">
        <w:rPr>
          <w:color w:val="000000" w:themeColor="text1"/>
          <w:sz w:val="24"/>
          <w:lang w:val="bg-BG"/>
        </w:rPr>
        <w:tab/>
      </w:r>
      <w:r w:rsidRPr="005E6253">
        <w:rPr>
          <w:color w:val="000000" w:themeColor="text1"/>
          <w:sz w:val="24"/>
          <w:lang w:val="bg-BG"/>
        </w:rPr>
        <w:t>OВ L, 2024/2509, 26.9.2024 г., ELI:</w:t>
      </w:r>
      <w:r w:rsidRPr="005E6253">
        <w:rPr>
          <w:color w:val="000000" w:themeColor="text1"/>
          <w:sz w:val="24"/>
          <w:u w:val="single" w:color="0000FF"/>
          <w:lang w:val="bg-BG"/>
        </w:rPr>
        <w:t xml:space="preserve"> </w:t>
      </w:r>
      <w:hyperlink r:id="rId5" w:history="1">
        <w:r w:rsidRPr="005E6253">
          <w:rPr>
            <w:rStyle w:val="Hyperlink"/>
            <w:sz w:val="24"/>
            <w:lang w:val="bg-BG"/>
          </w:rPr>
          <w:t>https://data.europa.eu/eli/reg/2024/2509/oj</w:t>
        </w:r>
      </w:hyperlink>
      <w:r w:rsidRPr="005E6253">
        <w:rPr>
          <w:color w:val="000000" w:themeColor="text1"/>
          <w:sz w:val="24"/>
          <w:lang w:val="bg-BG"/>
        </w:rPr>
        <w:t>.</w:t>
      </w:r>
    </w:p>
  </w:footnote>
  <w:footnote w:id="7">
    <w:p w14:paraId="0B2E62F8" w14:textId="261A6813" w:rsidR="005C721E" w:rsidRPr="005E6253" w:rsidRDefault="005C721E" w:rsidP="005E6253">
      <w:pPr>
        <w:pStyle w:val="FootnoteText"/>
        <w:ind w:left="567" w:hanging="567"/>
        <w:rPr>
          <w:sz w:val="24"/>
          <w:lang w:val="bg-BG"/>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ОВ C 456, 10.11.2021 г., стр. 208.</w:t>
      </w:r>
    </w:p>
  </w:footnote>
  <w:footnote w:id="8">
    <w:p w14:paraId="0D9785A9" w14:textId="412F31D9" w:rsidR="005C721E" w:rsidRPr="005E6253" w:rsidRDefault="005C721E" w:rsidP="005E6253">
      <w:pPr>
        <w:pStyle w:val="FootnoteText"/>
        <w:ind w:left="567" w:hanging="567"/>
        <w:rPr>
          <w:sz w:val="24"/>
          <w:lang w:val="bg-BG"/>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OВ C 347, 9.9.2022 г., стр. 139.</w:t>
      </w:r>
    </w:p>
  </w:footnote>
  <w:footnote w:id="9">
    <w:p w14:paraId="08EF5567" w14:textId="4B9C4DF9" w:rsidR="005C721E" w:rsidRPr="005E6253" w:rsidRDefault="005C721E" w:rsidP="005E6253">
      <w:pPr>
        <w:pStyle w:val="FootnoteText"/>
        <w:ind w:left="567" w:hanging="567"/>
        <w:rPr>
          <w:sz w:val="24"/>
          <w:lang w:val="bg-BG"/>
        </w:rPr>
      </w:pPr>
      <w:r w:rsidRPr="005E6253">
        <w:rPr>
          <w:rStyle w:val="FootnoteReference"/>
          <w:sz w:val="24"/>
          <w:lang w:val="bg-BG"/>
        </w:rPr>
        <w:footnoteRef/>
      </w:r>
      <w:bookmarkStart w:id="8" w:name="_Hlk213073209"/>
      <w:r w:rsidR="005E6253" w:rsidRPr="005E6253">
        <w:rPr>
          <w:sz w:val="24"/>
          <w:lang w:val="bg-BG"/>
        </w:rPr>
        <w:t xml:space="preserve"> </w:t>
      </w:r>
      <w:r w:rsidR="005E6253" w:rsidRPr="005E6253">
        <w:rPr>
          <w:sz w:val="24"/>
          <w:lang w:val="bg-BG"/>
        </w:rPr>
        <w:tab/>
      </w:r>
      <w:r w:rsidRPr="005E6253">
        <w:rPr>
          <w:sz w:val="24"/>
          <w:lang w:val="bg-BG"/>
        </w:rPr>
        <w:t xml:space="preserve">OВ C, C/2025/4382, 9.9.2025 г., </w:t>
      </w:r>
      <w:bookmarkEnd w:id="8"/>
      <w:r w:rsidRPr="005E6253">
        <w:rPr>
          <w:sz w:val="24"/>
          <w:lang w:val="bg-BG"/>
        </w:rPr>
        <w:t>ELI: </w:t>
      </w:r>
      <w:hyperlink r:id="rId6" w:history="1">
        <w:r w:rsidRPr="005E6253">
          <w:rPr>
            <w:rStyle w:val="Hyperlink"/>
            <w:sz w:val="24"/>
            <w:lang w:val="bg-BG"/>
          </w:rPr>
          <w:t>http://data.europa.eu/eli/C/2025/4382/oj</w:t>
        </w:r>
      </w:hyperlink>
      <w:r w:rsidRPr="005E6253">
        <w:rPr>
          <w:sz w:val="24"/>
          <w:lang w:val="bg-BG"/>
        </w:rPr>
        <w:t>.</w:t>
      </w:r>
    </w:p>
  </w:footnote>
  <w:footnote w:id="10">
    <w:p w14:paraId="60ABFBF3" w14:textId="2632B45C" w:rsidR="005C721E" w:rsidRPr="005E6253" w:rsidRDefault="005C721E" w:rsidP="005E6253">
      <w:pPr>
        <w:pStyle w:val="FootnoteText"/>
        <w:ind w:left="567" w:hanging="567"/>
        <w:rPr>
          <w:sz w:val="24"/>
          <w:lang w:val="bg-BG"/>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Приети текстове, P10_TA(2025)0090.</w:t>
      </w:r>
    </w:p>
  </w:footnote>
  <w:footnote w:id="11">
    <w:p w14:paraId="40ED8792" w14:textId="1C5504D6" w:rsidR="005C721E" w:rsidRPr="005E6253" w:rsidRDefault="005C721E" w:rsidP="005E6253">
      <w:pPr>
        <w:pStyle w:val="FootnoteText"/>
        <w:ind w:left="567" w:hanging="567"/>
        <w:rPr>
          <w:sz w:val="24"/>
          <w:lang w:val="bg-BG"/>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Оценка на въздействието, придружаваща предложението на Комисията за регламент за създаване на рамка за проследяване на бюджетните разходи и за изпълнението и на други хоризонтални правила за програмите и дейностите на Съюза (COM</w:t>
      </w:r>
      <w:r w:rsidR="00324EDE">
        <w:rPr>
          <w:sz w:val="24"/>
          <w:lang w:val="bg-BG"/>
        </w:rPr>
        <w:t>(</w:t>
      </w:r>
      <w:r w:rsidRPr="005E6253">
        <w:rPr>
          <w:sz w:val="24"/>
          <w:lang w:val="bg-BG"/>
        </w:rPr>
        <w:t>2025</w:t>
      </w:r>
      <w:r w:rsidR="00324EDE">
        <w:rPr>
          <w:sz w:val="24"/>
          <w:lang w:val="bg-BG"/>
        </w:rPr>
        <w:t>)</w:t>
      </w:r>
      <w:r w:rsidRPr="005E6253">
        <w:rPr>
          <w:sz w:val="24"/>
          <w:lang w:val="bg-BG"/>
        </w:rPr>
        <w:t>0545).</w:t>
      </w:r>
    </w:p>
  </w:footnote>
  <w:footnote w:id="12">
    <w:p w14:paraId="7376D443" w14:textId="28E8C600" w:rsidR="005C721E" w:rsidRPr="005E6253" w:rsidRDefault="005C721E" w:rsidP="005E6253">
      <w:pPr>
        <w:pStyle w:val="FootnoteText"/>
        <w:ind w:left="567" w:hanging="567"/>
        <w:rPr>
          <w:sz w:val="24"/>
          <w:lang w:val="bg-BG"/>
        </w:rPr>
      </w:pPr>
      <w:r w:rsidRPr="005E6253">
        <w:rPr>
          <w:rStyle w:val="FootnoteReference"/>
          <w:sz w:val="24"/>
          <w:lang w:val="bg-BG"/>
        </w:rPr>
        <w:footnoteRef/>
      </w:r>
      <w:r w:rsidR="005E6253" w:rsidRPr="005E6253">
        <w:rPr>
          <w:sz w:val="24"/>
          <w:lang w:val="bg-BG"/>
        </w:rPr>
        <w:t xml:space="preserve"> </w:t>
      </w:r>
      <w:r w:rsidR="005E6253" w:rsidRPr="005E6253">
        <w:rPr>
          <w:sz w:val="24"/>
          <w:lang w:val="bg-BG"/>
        </w:rPr>
        <w:tab/>
      </w:r>
      <w:r w:rsidRPr="005E6253">
        <w:rPr>
          <w:sz w:val="24"/>
          <w:lang w:val="bg-BG"/>
        </w:rPr>
        <w:t xml:space="preserve">Директива (ЕС) 2023/970 на Европейския парламент и на Съвета от 10 май 2023 г. </w:t>
      </w:r>
      <w:r w:rsidRPr="005E6253">
        <w:rPr>
          <w:sz w:val="24"/>
          <w:lang w:val="bg-BG"/>
        </w:rPr>
        <w:t>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r w:rsidR="000D2B2F">
        <w:rPr>
          <w:sz w:val="24"/>
          <w:lang w:val="bg-BG"/>
        </w:rPr>
        <w:t xml:space="preserve"> (ОВ </w:t>
      </w:r>
      <w:r w:rsidR="000D2B2F" w:rsidRPr="00243129">
        <w:rPr>
          <w:sz w:val="24"/>
          <w:lang w:val="en-GB"/>
        </w:rPr>
        <w:t>L</w:t>
      </w:r>
      <w:r w:rsidR="000D2B2F" w:rsidRPr="000D2B2F">
        <w:rPr>
          <w:sz w:val="24"/>
          <w:lang w:val="ru-RU"/>
        </w:rPr>
        <w:t xml:space="preserve"> 132, 17.5.2023</w:t>
      </w:r>
      <w:r w:rsidR="000D2B2F">
        <w:rPr>
          <w:sz w:val="24"/>
          <w:lang w:val="ru-RU"/>
        </w:rPr>
        <w:t xml:space="preserve"> г.</w:t>
      </w:r>
      <w:r w:rsidR="000D2B2F" w:rsidRPr="000D2B2F">
        <w:rPr>
          <w:sz w:val="24"/>
          <w:lang w:val="ru-RU"/>
        </w:rPr>
        <w:t xml:space="preserve">, </w:t>
      </w:r>
      <w:r w:rsidR="000D2B2F">
        <w:rPr>
          <w:sz w:val="24"/>
          <w:lang w:val="ru-RU"/>
        </w:rPr>
        <w:t>стр</w:t>
      </w:r>
      <w:r w:rsidR="000D2B2F" w:rsidRPr="000D2B2F">
        <w:rPr>
          <w:sz w:val="24"/>
          <w:lang w:val="ru-RU"/>
        </w:rPr>
        <w:t xml:space="preserve">. 21, </w:t>
      </w:r>
      <w:r w:rsidR="000D2B2F" w:rsidRPr="00243129">
        <w:rPr>
          <w:sz w:val="24"/>
          <w:lang w:val="en-GB"/>
        </w:rPr>
        <w:t>ELI</w:t>
      </w:r>
      <w:r w:rsidR="000D2B2F" w:rsidRPr="000D2B2F">
        <w:rPr>
          <w:sz w:val="24"/>
          <w:lang w:val="ru-RU"/>
        </w:rPr>
        <w:t xml:space="preserve">: </w:t>
      </w:r>
      <w:hyperlink r:id="rId7" w:history="1">
        <w:r w:rsidR="000D2B2F" w:rsidRPr="00243129">
          <w:rPr>
            <w:rStyle w:val="Hyperlink"/>
            <w:sz w:val="24"/>
            <w:lang w:val="en-GB"/>
          </w:rPr>
          <w:t>http</w:t>
        </w:r>
        <w:r w:rsidR="000D2B2F" w:rsidRPr="000D2B2F">
          <w:rPr>
            <w:rStyle w:val="Hyperlink"/>
            <w:sz w:val="24"/>
            <w:lang w:val="ru-RU"/>
          </w:rPr>
          <w:t>://</w:t>
        </w:r>
        <w:r w:rsidR="000D2B2F" w:rsidRPr="00243129">
          <w:rPr>
            <w:rStyle w:val="Hyperlink"/>
            <w:sz w:val="24"/>
            <w:lang w:val="en-GB"/>
          </w:rPr>
          <w:t>data</w:t>
        </w:r>
        <w:r w:rsidR="000D2B2F" w:rsidRPr="000D2B2F">
          <w:rPr>
            <w:rStyle w:val="Hyperlink"/>
            <w:sz w:val="24"/>
            <w:lang w:val="ru-RU"/>
          </w:rPr>
          <w:t>.</w:t>
        </w:r>
        <w:r w:rsidR="000D2B2F" w:rsidRPr="00243129">
          <w:rPr>
            <w:rStyle w:val="Hyperlink"/>
            <w:sz w:val="24"/>
            <w:lang w:val="en-GB"/>
          </w:rPr>
          <w:t>europa</w:t>
        </w:r>
        <w:r w:rsidR="000D2B2F" w:rsidRPr="000D2B2F">
          <w:rPr>
            <w:rStyle w:val="Hyperlink"/>
            <w:sz w:val="24"/>
            <w:lang w:val="ru-RU"/>
          </w:rPr>
          <w:t>.</w:t>
        </w:r>
        <w:proofErr w:type="spellStart"/>
        <w:r w:rsidR="000D2B2F" w:rsidRPr="00243129">
          <w:rPr>
            <w:rStyle w:val="Hyperlink"/>
            <w:sz w:val="24"/>
            <w:lang w:val="en-GB"/>
          </w:rPr>
          <w:t>eu</w:t>
        </w:r>
        <w:proofErr w:type="spellEnd"/>
        <w:r w:rsidR="000D2B2F" w:rsidRPr="000D2B2F">
          <w:rPr>
            <w:rStyle w:val="Hyperlink"/>
            <w:sz w:val="24"/>
            <w:lang w:val="ru-RU"/>
          </w:rPr>
          <w:t>/</w:t>
        </w:r>
        <w:proofErr w:type="spellStart"/>
        <w:r w:rsidR="000D2B2F" w:rsidRPr="00243129">
          <w:rPr>
            <w:rStyle w:val="Hyperlink"/>
            <w:sz w:val="24"/>
            <w:lang w:val="en-GB"/>
          </w:rPr>
          <w:t>eli</w:t>
        </w:r>
        <w:proofErr w:type="spellEnd"/>
        <w:r w:rsidR="000D2B2F" w:rsidRPr="000D2B2F">
          <w:rPr>
            <w:rStyle w:val="Hyperlink"/>
            <w:sz w:val="24"/>
            <w:lang w:val="ru-RU"/>
          </w:rPr>
          <w:t>/</w:t>
        </w:r>
        <w:proofErr w:type="spellStart"/>
        <w:r w:rsidR="000D2B2F" w:rsidRPr="00243129">
          <w:rPr>
            <w:rStyle w:val="Hyperlink"/>
            <w:sz w:val="24"/>
            <w:lang w:val="en-GB"/>
          </w:rPr>
          <w:t>dir</w:t>
        </w:r>
        <w:proofErr w:type="spellEnd"/>
        <w:r w:rsidR="000D2B2F" w:rsidRPr="000D2B2F">
          <w:rPr>
            <w:rStyle w:val="Hyperlink"/>
            <w:sz w:val="24"/>
            <w:lang w:val="ru-RU"/>
          </w:rPr>
          <w:t>/2023/970/</w:t>
        </w:r>
        <w:proofErr w:type="spellStart"/>
        <w:r w:rsidR="000D2B2F" w:rsidRPr="00243129">
          <w:rPr>
            <w:rStyle w:val="Hyperlink"/>
            <w:sz w:val="24"/>
            <w:lang w:val="en-GB"/>
          </w:rPr>
          <w:t>oj</w:t>
        </w:r>
        <w:proofErr w:type="spellEnd"/>
      </w:hyperlink>
      <w:r w:rsidR="000D2B2F" w:rsidRPr="000D2B2F">
        <w:t>)</w:t>
      </w:r>
      <w:r w:rsidRPr="005E6253">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06AC" w14:textId="77777777" w:rsidR="00064002" w:rsidRPr="005E62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1298" w14:textId="77777777" w:rsidR="00064002" w:rsidRPr="005E62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C402" w14:textId="77777777" w:rsidR="00064002" w:rsidRPr="005E62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5489269">
    <w:abstractNumId w:val="9"/>
  </w:num>
  <w:num w:numId="2" w16cid:durableId="377244616">
    <w:abstractNumId w:val="9"/>
  </w:num>
  <w:num w:numId="3" w16cid:durableId="1126198364">
    <w:abstractNumId w:val="7"/>
  </w:num>
  <w:num w:numId="4" w16cid:durableId="553732602">
    <w:abstractNumId w:val="7"/>
  </w:num>
  <w:num w:numId="5" w16cid:durableId="1688946260">
    <w:abstractNumId w:val="6"/>
  </w:num>
  <w:num w:numId="6" w16cid:durableId="1383746188">
    <w:abstractNumId w:val="6"/>
  </w:num>
  <w:num w:numId="7" w16cid:durableId="521671108">
    <w:abstractNumId w:val="5"/>
  </w:num>
  <w:num w:numId="8" w16cid:durableId="1363356760">
    <w:abstractNumId w:val="5"/>
  </w:num>
  <w:num w:numId="9" w16cid:durableId="1208182384">
    <w:abstractNumId w:val="4"/>
  </w:num>
  <w:num w:numId="10" w16cid:durableId="71046032">
    <w:abstractNumId w:val="4"/>
  </w:num>
  <w:num w:numId="11" w16cid:durableId="1094352355">
    <w:abstractNumId w:val="8"/>
  </w:num>
  <w:num w:numId="12" w16cid:durableId="455565335">
    <w:abstractNumId w:val="8"/>
  </w:num>
  <w:num w:numId="13" w16cid:durableId="897281415">
    <w:abstractNumId w:val="3"/>
  </w:num>
  <w:num w:numId="14" w16cid:durableId="765343154">
    <w:abstractNumId w:val="3"/>
  </w:num>
  <w:num w:numId="15" w16cid:durableId="1569261839">
    <w:abstractNumId w:val="2"/>
  </w:num>
  <w:num w:numId="16" w16cid:durableId="1767730927">
    <w:abstractNumId w:val="2"/>
  </w:num>
  <w:num w:numId="17" w16cid:durableId="868495322">
    <w:abstractNumId w:val="1"/>
  </w:num>
  <w:num w:numId="18" w16cid:durableId="789662475">
    <w:abstractNumId w:val="1"/>
  </w:num>
  <w:num w:numId="19" w16cid:durableId="1196623716">
    <w:abstractNumId w:val="0"/>
  </w:num>
  <w:num w:numId="20" w16cid:durableId="2036491463">
    <w:abstractNumId w:val="0"/>
  </w:num>
  <w:num w:numId="21" w16cid:durableId="424887905">
    <w:abstractNumId w:val="9"/>
  </w:num>
  <w:num w:numId="22" w16cid:durableId="113867994">
    <w:abstractNumId w:val="7"/>
  </w:num>
  <w:num w:numId="23" w16cid:durableId="735202873">
    <w:abstractNumId w:val="6"/>
  </w:num>
  <w:num w:numId="24" w16cid:durableId="751128543">
    <w:abstractNumId w:val="5"/>
  </w:num>
  <w:num w:numId="25" w16cid:durableId="277882214">
    <w:abstractNumId w:val="4"/>
  </w:num>
  <w:num w:numId="26" w16cid:durableId="1910311914">
    <w:abstractNumId w:val="8"/>
  </w:num>
  <w:num w:numId="27" w16cid:durableId="1143498435">
    <w:abstractNumId w:val="3"/>
  </w:num>
  <w:num w:numId="28" w16cid:durableId="1882015853">
    <w:abstractNumId w:val="2"/>
  </w:num>
  <w:num w:numId="29" w16cid:durableId="2013951029">
    <w:abstractNumId w:val="1"/>
  </w:num>
  <w:num w:numId="30" w16cid:durableId="468713597">
    <w:abstractNumId w:val="0"/>
  </w:num>
  <w:num w:numId="31" w16cid:durableId="624122162">
    <w:abstractNumId w:val="9"/>
  </w:num>
  <w:num w:numId="32" w16cid:durableId="650985595">
    <w:abstractNumId w:val="7"/>
  </w:num>
  <w:num w:numId="33" w16cid:durableId="44720899">
    <w:abstractNumId w:val="6"/>
  </w:num>
  <w:num w:numId="34" w16cid:durableId="1072968734">
    <w:abstractNumId w:val="5"/>
  </w:num>
  <w:num w:numId="35" w16cid:durableId="42026869">
    <w:abstractNumId w:val="4"/>
  </w:num>
  <w:num w:numId="36" w16cid:durableId="1334378949">
    <w:abstractNumId w:val="8"/>
  </w:num>
  <w:num w:numId="37" w16cid:durableId="1823693050">
    <w:abstractNumId w:val="3"/>
  </w:num>
  <w:num w:numId="38" w16cid:durableId="1325279323">
    <w:abstractNumId w:val="2"/>
  </w:num>
  <w:num w:numId="39" w16cid:durableId="1033924387">
    <w:abstractNumId w:val="1"/>
  </w:num>
  <w:num w:numId="40" w16cid:durableId="899369856">
    <w:abstractNumId w:val="0"/>
  </w:num>
  <w:num w:numId="41" w16cid:durableId="91165199">
    <w:abstractNumId w:val="10"/>
  </w:num>
  <w:num w:numId="42" w16cid:durableId="1718317130">
    <w:abstractNumId w:val="10"/>
  </w:num>
  <w:num w:numId="43" w16cid:durableId="948123644">
    <w:abstractNumId w:val="10"/>
  </w:num>
  <w:num w:numId="44" w16cid:durableId="1823814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BG"/>
    <w:docVar w:name="dvnumam" w:val="0"/>
    <w:docVar w:name="dvpe" w:val="775.770"/>
    <w:docVar w:name="dvrapporteur" w:val="Докладчик: "/>
    <w:docVar w:name="dvtitre" w:val="Резолюция на Европейския парламент от ... 2025 г. относно бюджета за 2024 г. – оценка на прилагането на методиката за интегриране на принципа на равенство между половете в бюджета на ЕС(2025/2033(INI))"/>
  </w:docVars>
  <w:rsids>
    <w:rsidRoot w:val="00D32FDD"/>
    <w:rsid w:val="00002272"/>
    <w:rsid w:val="00064002"/>
    <w:rsid w:val="000677B9"/>
    <w:rsid w:val="000831BA"/>
    <w:rsid w:val="000A42CC"/>
    <w:rsid w:val="000D2B2F"/>
    <w:rsid w:val="000E7DD9"/>
    <w:rsid w:val="0010095E"/>
    <w:rsid w:val="00125B37"/>
    <w:rsid w:val="00187494"/>
    <w:rsid w:val="001E24DF"/>
    <w:rsid w:val="001F32AE"/>
    <w:rsid w:val="002767FF"/>
    <w:rsid w:val="002B18FE"/>
    <w:rsid w:val="002B5493"/>
    <w:rsid w:val="00324EDE"/>
    <w:rsid w:val="00343214"/>
    <w:rsid w:val="00361C00"/>
    <w:rsid w:val="00395FA1"/>
    <w:rsid w:val="003E15D4"/>
    <w:rsid w:val="00411CCE"/>
    <w:rsid w:val="0041666E"/>
    <w:rsid w:val="00421060"/>
    <w:rsid w:val="004441FF"/>
    <w:rsid w:val="00471C19"/>
    <w:rsid w:val="004867E3"/>
    <w:rsid w:val="00494A28"/>
    <w:rsid w:val="004C0004"/>
    <w:rsid w:val="004C5D52"/>
    <w:rsid w:val="0050519A"/>
    <w:rsid w:val="005072A1"/>
    <w:rsid w:val="00514517"/>
    <w:rsid w:val="00545827"/>
    <w:rsid w:val="00560270"/>
    <w:rsid w:val="005C2568"/>
    <w:rsid w:val="005C721E"/>
    <w:rsid w:val="005E625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2F3"/>
    <w:rsid w:val="009F306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E22"/>
    <w:rsid w:val="00D058B8"/>
    <w:rsid w:val="00D32FD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DF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A0F47"/>
  <w15:chartTrackingRefBased/>
  <w15:docId w15:val="{2A91EB3D-57B7-4961-8366-EBA72ACC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721E"/>
    <w:pPr>
      <w:spacing w:before="480" w:after="240"/>
    </w:pPr>
    <w:rPr>
      <w:snapToGrid w:val="0"/>
      <w:lang w:eastAsia="en-US"/>
    </w:rPr>
  </w:style>
  <w:style w:type="paragraph" w:customStyle="1" w:styleId="NormalHanging12a">
    <w:name w:val="NormalHanging12a"/>
    <w:basedOn w:val="Normal"/>
    <w:link w:val="NormalHanging12aChar"/>
    <w:rsid w:val="005C721E"/>
    <w:pPr>
      <w:widowControl/>
      <w:spacing w:after="240"/>
      <w:ind w:left="567" w:hanging="567"/>
    </w:pPr>
    <w:rPr>
      <w:snapToGrid w:val="0"/>
      <w:lang w:eastAsia="en-US"/>
    </w:rPr>
  </w:style>
  <w:style w:type="character" w:customStyle="1" w:styleId="BoldItalic">
    <w:name w:val="BoldItalic"/>
    <w:uiPriority w:val="1"/>
    <w:rsid w:val="005C721E"/>
    <w:rPr>
      <w:b/>
      <w:i/>
      <w:u w:val="none"/>
    </w:rPr>
  </w:style>
  <w:style w:type="character" w:customStyle="1" w:styleId="Italic">
    <w:name w:val="Italic"/>
    <w:uiPriority w:val="1"/>
    <w:rsid w:val="005C721E"/>
    <w:rPr>
      <w:i/>
    </w:rPr>
  </w:style>
  <w:style w:type="paragraph" w:customStyle="1" w:styleId="NormalHanging12a1">
    <w:name w:val="NormalHanging12a1"/>
    <w:basedOn w:val="Normal"/>
    <w:qFormat/>
    <w:rsid w:val="005C721E"/>
    <w:pPr>
      <w:spacing w:after="240"/>
      <w:ind w:left="992" w:hanging="425"/>
    </w:pPr>
  </w:style>
  <w:style w:type="paragraph" w:customStyle="1" w:styleId="Normal12a24b">
    <w:name w:val="Normal12a24b"/>
    <w:basedOn w:val="Normal"/>
    <w:rsid w:val="005C721E"/>
    <w:pPr>
      <w:spacing w:before="360" w:after="240"/>
    </w:pPr>
    <w:rPr>
      <w:snapToGrid w:val="0"/>
      <w:lang w:eastAsia="en-US"/>
    </w:rPr>
  </w:style>
  <w:style w:type="character" w:styleId="Hyperlink">
    <w:name w:val="Hyperlink"/>
    <w:basedOn w:val="DefaultParagraphFont"/>
    <w:rsid w:val="005C721E"/>
    <w:rPr>
      <w:color w:val="0000FF"/>
      <w:u w:val="single"/>
    </w:rPr>
  </w:style>
  <w:style w:type="character" w:customStyle="1" w:styleId="NormalHanging12aChar">
    <w:name w:val="NormalHanging12a Char"/>
    <w:basedOn w:val="DefaultParagraphFont"/>
    <w:link w:val="NormalHanging12a"/>
    <w:rsid w:val="005C721E"/>
    <w:rPr>
      <w:snapToGrid w:val="0"/>
      <w:sz w:val="24"/>
      <w:lang w:val="bg-BG" w:eastAsia="en-US"/>
    </w:rPr>
  </w:style>
  <w:style w:type="paragraph" w:styleId="Revision">
    <w:name w:val="Revision"/>
    <w:hidden/>
    <w:uiPriority w:val="99"/>
    <w:semiHidden/>
    <w:rsid w:val="00324EDE"/>
    <w:rPr>
      <w:sz w:val="24"/>
      <w:lang w:val="bg-BG"/>
    </w:rPr>
  </w:style>
  <w:style w:type="character" w:styleId="UnresolvedMention">
    <w:name w:val="Unresolved Mention"/>
    <w:basedOn w:val="DefaultParagraphFont"/>
    <w:uiPriority w:val="99"/>
    <w:semiHidden/>
    <w:unhideWhenUsed/>
    <w:rsid w:val="00444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4516</Words>
  <Characters>26164</Characters>
  <Application>Microsoft Office Word</Application>
  <DocSecurity>0</DocSecurity>
  <Lines>1453</Lines>
  <Paragraphs>829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2026-01-20T10:45:00Z</dcterms:created>
  <dcterms:modified xsi:type="dcterms:W3CDTF">2026-01-20T10:45:00Z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A10-0212/2025</vt:lpwstr>
  </property>
  <property fmtid="{D5CDD505-2E9C-101B-9397-08002B2CF9AE}" pid="4" name="&lt;Type&gt;">
    <vt:lpwstr>RR</vt:lpwstr>
  </property>
</Properties>
</file>