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14A7" w14:paraId="6E1578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BA26D3" w14:textId="77777777" w:rsidR="00751A4A" w:rsidRPr="00A514A7" w:rsidRDefault="00776D87" w:rsidP="0010095E">
            <w:pPr>
              <w:pStyle w:val="EPName"/>
            </w:pPr>
            <w:r w:rsidRPr="00A514A7">
              <w:t>Evropský parlament</w:t>
            </w:r>
          </w:p>
          <w:p w14:paraId="48706849" w14:textId="77777777" w:rsidR="00751A4A" w:rsidRPr="00A514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14A7">
              <w:t>2024</w:t>
            </w:r>
            <w:r w:rsidR="00817416" w:rsidRPr="00A514A7">
              <w:t>-202</w:t>
            </w:r>
            <w:r w:rsidRPr="00A514A7">
              <w:t>9</w:t>
            </w:r>
          </w:p>
        </w:tc>
        <w:tc>
          <w:tcPr>
            <w:tcW w:w="2268" w:type="dxa"/>
            <w:shd w:val="clear" w:color="auto" w:fill="auto"/>
          </w:tcPr>
          <w:p w14:paraId="1B5D871F" w14:textId="77777777" w:rsidR="00751A4A" w:rsidRPr="00A514A7" w:rsidRDefault="00187494" w:rsidP="0010095E">
            <w:pPr>
              <w:pStyle w:val="EPLogo"/>
            </w:pPr>
            <w:r w:rsidRPr="00A514A7">
              <w:rPr>
                <w:noProof/>
                <w:lang w:eastAsia="ja-JP"/>
              </w:rPr>
              <w:drawing>
                <wp:inline distT="0" distB="0" distL="0" distR="0" wp14:anchorId="275A9BC2" wp14:editId="5A163A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BC5782" w14:textId="77777777" w:rsidR="00D058B8" w:rsidRPr="00A514A7" w:rsidRDefault="00D058B8" w:rsidP="004C5D52">
      <w:pPr>
        <w:pStyle w:val="LineTop"/>
      </w:pPr>
    </w:p>
    <w:p w14:paraId="7C75F90E" w14:textId="77777777" w:rsidR="00680577" w:rsidRPr="00A514A7" w:rsidRDefault="00776D87" w:rsidP="00680577">
      <w:pPr>
        <w:pStyle w:val="EPBodyTA1"/>
      </w:pPr>
      <w:r w:rsidRPr="00A514A7">
        <w:t>PŘIJATÉ TEXTY</w:t>
      </w:r>
    </w:p>
    <w:p w14:paraId="54E07E54" w14:textId="77777777" w:rsidR="00D058B8" w:rsidRPr="00A514A7" w:rsidRDefault="00D058B8" w:rsidP="00D058B8">
      <w:pPr>
        <w:pStyle w:val="LineBottom"/>
      </w:pPr>
    </w:p>
    <w:p w14:paraId="435B3A40" w14:textId="471B6790" w:rsidR="00776D87" w:rsidRPr="00A514A7" w:rsidRDefault="00776D87" w:rsidP="00776D87">
      <w:pPr>
        <w:pStyle w:val="ATHeading1"/>
      </w:pPr>
      <w:bookmarkStart w:id="0" w:name="TANumber"/>
      <w:r w:rsidRPr="00A514A7">
        <w:t>P10_TA(2025)0</w:t>
      </w:r>
      <w:bookmarkEnd w:id="0"/>
      <w:r w:rsidR="0094481D">
        <w:t>287</w:t>
      </w:r>
    </w:p>
    <w:p w14:paraId="1DD68C02" w14:textId="77777777" w:rsidR="00776D87" w:rsidRPr="00A514A7" w:rsidRDefault="00776D87" w:rsidP="00776D87">
      <w:pPr>
        <w:pStyle w:val="ATHeading2"/>
      </w:pPr>
      <w:bookmarkStart w:id="1" w:name="title"/>
      <w:r w:rsidRPr="00A514A7">
        <w:t>Rozpočet na rok 2024 – posouzení uplatňování metodiky začleňování hlediska rovnosti žen a mužů do rozpočtu EU</w:t>
      </w:r>
      <w:bookmarkEnd w:id="1"/>
    </w:p>
    <w:p w14:paraId="4AC5EBA3" w14:textId="77777777" w:rsidR="00776D87" w:rsidRPr="00A514A7" w:rsidRDefault="00776D87" w:rsidP="00776D87">
      <w:pPr>
        <w:rPr>
          <w:i/>
          <w:vanish/>
        </w:rPr>
      </w:pPr>
      <w:r w:rsidRPr="00A514A7">
        <w:rPr>
          <w:i/>
        </w:rPr>
        <w:fldChar w:fldCharType="begin"/>
      </w:r>
      <w:r w:rsidRPr="00A514A7">
        <w:rPr>
          <w:i/>
        </w:rPr>
        <w:instrText xml:space="preserve"> TC"(</w:instrText>
      </w:r>
      <w:bookmarkStart w:id="2" w:name="DocNumber"/>
      <w:r w:rsidRPr="00A514A7">
        <w:rPr>
          <w:i/>
        </w:rPr>
        <w:instrText>A10-0212/2025</w:instrText>
      </w:r>
      <w:bookmarkEnd w:id="2"/>
      <w:r w:rsidRPr="00A514A7">
        <w:rPr>
          <w:i/>
        </w:rPr>
        <w:instrText xml:space="preserve"> - Zpravodajka: Marit Maij)"\l3 \n&gt; \* MERGEFORMAT </w:instrText>
      </w:r>
      <w:r w:rsidRPr="00A514A7">
        <w:rPr>
          <w:i/>
        </w:rPr>
        <w:fldChar w:fldCharType="end"/>
      </w:r>
    </w:p>
    <w:p w14:paraId="25EDADEC" w14:textId="77777777" w:rsidR="00776D87" w:rsidRPr="00A514A7" w:rsidRDefault="00776D87" w:rsidP="00776D87">
      <w:pPr>
        <w:rPr>
          <w:vanish/>
        </w:rPr>
      </w:pPr>
      <w:bookmarkStart w:id="3" w:name="Commission"/>
      <w:r w:rsidRPr="00A514A7">
        <w:rPr>
          <w:vanish/>
        </w:rPr>
        <w:t>Výbor pro rozpočtovou kontrolu</w:t>
      </w:r>
      <w:bookmarkEnd w:id="3"/>
    </w:p>
    <w:p w14:paraId="2A360B2E" w14:textId="77777777" w:rsidR="00776D87" w:rsidRPr="00A514A7" w:rsidRDefault="00776D87" w:rsidP="00776D87">
      <w:pPr>
        <w:rPr>
          <w:vanish/>
        </w:rPr>
      </w:pPr>
      <w:bookmarkStart w:id="4" w:name="PE"/>
      <w:r w:rsidRPr="00A514A7">
        <w:rPr>
          <w:vanish/>
        </w:rPr>
        <w:t>PE775.770</w:t>
      </w:r>
      <w:bookmarkEnd w:id="4"/>
    </w:p>
    <w:p w14:paraId="7657B262" w14:textId="461B3530" w:rsidR="00776D87" w:rsidRPr="00A514A7" w:rsidRDefault="00776D87" w:rsidP="00776D87">
      <w:pPr>
        <w:pStyle w:val="ATHeading3"/>
      </w:pPr>
      <w:bookmarkStart w:id="5" w:name="Sujet"/>
      <w:r w:rsidRPr="00A514A7">
        <w:t>Usnesení Evropského parlamentu ze dne</w:t>
      </w:r>
      <w:r w:rsidR="00116B68">
        <w:t xml:space="preserve"> </w:t>
      </w:r>
      <w:r w:rsidR="00906F6E">
        <w:t>25</w:t>
      </w:r>
      <w:r w:rsidR="00116B68">
        <w:t>. l</w:t>
      </w:r>
      <w:r w:rsidR="00906F6E">
        <w:t>istopadu</w:t>
      </w:r>
      <w:r w:rsidRPr="00A514A7">
        <w:t xml:space="preserve"> 2025 o rozpočtu na rok 2024 – posouzení uplatňování metodiky začleňování hlediska rovnosti žen a mužů do rozpočtu EU</w:t>
      </w:r>
      <w:bookmarkEnd w:id="5"/>
      <w:r w:rsidRPr="00A514A7">
        <w:t xml:space="preserve"> </w:t>
      </w:r>
      <w:bookmarkStart w:id="6" w:name="References"/>
      <w:r w:rsidRPr="00A514A7">
        <w:t>(2025/2033(INI))</w:t>
      </w:r>
      <w:bookmarkEnd w:id="6"/>
    </w:p>
    <w:p w14:paraId="4D4B8A73" w14:textId="77777777" w:rsidR="009C628C" w:rsidRPr="00A514A7" w:rsidRDefault="009C628C" w:rsidP="009C628C">
      <w:pPr>
        <w:pStyle w:val="EPComma"/>
      </w:pPr>
      <w:r w:rsidRPr="00A514A7">
        <w:rPr>
          <w:i/>
        </w:rPr>
        <w:t>Evropský parlament</w:t>
      </w:r>
      <w:r w:rsidRPr="00A514A7">
        <w:t>,</w:t>
      </w:r>
    </w:p>
    <w:p w14:paraId="660B46AD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 ohledem na články 2 a 3 Smlouvy o Evropské unii,</w:t>
      </w:r>
    </w:p>
    <w:p w14:paraId="59A34013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články 8, 10 a 19 Smlouvy o fungování Evropské unie (SFEU),</w:t>
      </w:r>
    </w:p>
    <w:p w14:paraId="66DE01F3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 ohledem na články 21 a 23 Listiny základních práv Evropské unie,</w:t>
      </w:r>
    </w:p>
    <w:p w14:paraId="6DFDBA71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nařízení Rady (EU, Euratom) 2024/765 ze dne 29. února 2024, kterým se mění nařízení (EU, Euratom) 2020/2093, kterým se stanoví víceletý finanční rámec na období 2021–2027</w:t>
      </w:r>
      <w:r w:rsidRPr="00A514A7">
        <w:rPr>
          <w:rStyle w:val="FootnoteReference"/>
        </w:rPr>
        <w:footnoteReference w:id="1"/>
      </w:r>
      <w:r w:rsidRPr="00A514A7">
        <w:t>,</w:t>
      </w:r>
    </w:p>
    <w:p w14:paraId="39E661DC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nařízení Rady (EU, Euratom) 2022/2496 ze dne 15. prosince 2022, kterým se mění nařízení (EU, Euratom) 2020/2093, kterým se stanoví víceletý finanční rámec na období 2021–2027</w:t>
      </w:r>
      <w:r w:rsidRPr="00A514A7">
        <w:rPr>
          <w:rStyle w:val="FootnoteReference"/>
        </w:rPr>
        <w:footnoteReference w:id="2"/>
      </w:r>
      <w:r w:rsidRPr="00A514A7">
        <w:t>,</w:t>
      </w:r>
    </w:p>
    <w:p w14:paraId="56450279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 ohledem na nařízení Rady (EU, Euratom) 2020/2093 ze dne 17. prosince 2020, kterým se stanoví víceletý finanční rámec na období 2021–2027</w:t>
      </w:r>
      <w:r w:rsidRPr="00A514A7">
        <w:rPr>
          <w:rStyle w:val="FootnoteReference"/>
        </w:rPr>
        <w:footnoteReference w:id="3"/>
      </w:r>
      <w:r w:rsidRPr="00A514A7">
        <w:t>,</w:t>
      </w:r>
    </w:p>
    <w:p w14:paraId="307CB5B9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své usnesení ze dne 3. října 2023 o návrhu revize víceletého finančního rámce na období 2021–2027 v polovině období</w:t>
      </w:r>
      <w:r w:rsidRPr="00A514A7">
        <w:rPr>
          <w:rStyle w:val="FootnoteReference"/>
        </w:rPr>
        <w:footnoteReference w:id="4"/>
      </w:r>
      <w:r w:rsidRPr="00A514A7">
        <w:t>,</w:t>
      </w:r>
    </w:p>
    <w:p w14:paraId="3B5444E9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 xml:space="preserve">s ohledem na interinstitucionální dohodu ze dne 16. prosince 2020 mezi Evropským parlamentem, Radou Evropské unie a Evropskou komisí o rozpočtové kázni, spolupráci v rozpočtových záležitostech a řádném finančním řízení, jakož i o nových vlastních </w:t>
      </w:r>
      <w:r w:rsidRPr="00A514A7">
        <w:lastRenderedPageBreak/>
        <w:t>zdrojích, včetně plánu zavádění nových vlastních zdrojů</w:t>
      </w:r>
      <w:r w:rsidRPr="00A514A7">
        <w:rPr>
          <w:rStyle w:val="FootnoteReference"/>
        </w:rPr>
        <w:footnoteReference w:id="5"/>
      </w:r>
      <w:r w:rsidRPr="00A514A7">
        <w:t>, a zejména na bod 16 písm. f) této dohody,</w:t>
      </w:r>
    </w:p>
    <w:p w14:paraId="2AE47C28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nařízení Evropského parlamentu a Rady (EU, Euratom) 2024/2509 ze dne 23. září 2024, kterým se stanoví finanční pravidla pro souhrnný rozpočet Unie</w:t>
      </w:r>
      <w:r w:rsidRPr="00A514A7">
        <w:rPr>
          <w:rStyle w:val="FootnoteReference"/>
        </w:rPr>
        <w:footnoteReference w:id="6"/>
      </w:r>
      <w:r w:rsidRPr="00A514A7">
        <w:t>, a zejména na článek 33 tohoto nařízení,</w:t>
      </w:r>
    </w:p>
    <w:p w14:paraId="1A7BD862" w14:textId="77777777" w:rsidR="009C628C" w:rsidRPr="00A514A7" w:rsidRDefault="009C628C" w:rsidP="009C628C">
      <w:pPr>
        <w:pStyle w:val="NormalHanging12a"/>
        <w:rPr>
          <w:bCs/>
          <w:iCs/>
        </w:rPr>
      </w:pPr>
      <w:r w:rsidRPr="00A514A7">
        <w:t>–</w:t>
      </w:r>
      <w:r w:rsidRPr="00A514A7">
        <w:tab/>
        <w:t>s ohledem na návrh nařízení Rady, kterým se stanovuje víceletý finanční rámec na období 2028–2034 a který dne 16. července 2025 předložila Komise (COM(2025)0571),</w:t>
      </w:r>
    </w:p>
    <w:p w14:paraId="1C28F6E1" w14:textId="77777777" w:rsidR="009C628C" w:rsidRPr="00A514A7" w:rsidRDefault="009C628C" w:rsidP="009C628C">
      <w:pPr>
        <w:pStyle w:val="NormalHanging12a"/>
        <w:rPr>
          <w:bCs/>
          <w:iCs/>
        </w:rPr>
      </w:pPr>
      <w:r w:rsidRPr="00A514A7">
        <w:t>–</w:t>
      </w:r>
      <w:r w:rsidRPr="00A514A7">
        <w:tab/>
        <w:t>s ohledem na návrh nařízení Evropského parlamentu a Rady, kterým se stanoví rámec pro sledování a výkonnost rozpočtových výdajů a další horizontální pravidla pro programy a činnosti Unie (COM(2025)0545), který předložila Komise dne 16. července 2025, a na doprovodnou zprávu o posouzení dopadů ze dne 16. července 2025 (SWD(2025)0590),</w:t>
      </w:r>
    </w:p>
    <w:p w14:paraId="6A93CFF5" w14:textId="77777777" w:rsidR="009C628C" w:rsidRPr="00A514A7" w:rsidRDefault="009C628C" w:rsidP="009C628C">
      <w:pPr>
        <w:pStyle w:val="NormalHanging12a"/>
        <w:rPr>
          <w:bCs/>
          <w:iCs/>
        </w:rPr>
      </w:pPr>
      <w:r w:rsidRPr="00A514A7">
        <w:t>–</w:t>
      </w:r>
      <w:r w:rsidRPr="00A514A7">
        <w:tab/>
        <w:t>s ohledem na pracovní dokument útvarů Komise ze dne 3. listopadu 2021 o pokynech ke zlepšování právní úpravy (SWD(2021)0305),</w:t>
      </w:r>
    </w:p>
    <w:p w14:paraId="439DC903" w14:textId="73EBE8DE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 xml:space="preserve">s ohledem na sdělení Komise ze dne 5. března 2020 nazvané „Unie rovnosti: strategie pro rovnost žen a mužů na období 2020–2025“ </w:t>
      </w:r>
      <w:hyperlink r:id="rId9" w:history="1">
        <w:r w:rsidRPr="00116B68">
          <w:t>(COM(2020)0152),</w:t>
        </w:r>
      </w:hyperlink>
    </w:p>
    <w:p w14:paraId="17355E38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zprávu Komise o rovnosti žen a mužů v EU za rok 2025,</w:t>
      </w:r>
    </w:p>
    <w:p w14:paraId="756C53EC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 xml:space="preserve">s ohledem na sdělení Komise ze dne 7. března 2025 nazvané „Plán pro práva žen“ </w:t>
      </w:r>
      <w:hyperlink r:id="rId10" w:history="1">
        <w:r w:rsidRPr="00116B68">
          <w:t>(COM(2025)0097)</w:t>
        </w:r>
      </w:hyperlink>
      <w:r w:rsidRPr="00A514A7">
        <w:t>,</w:t>
      </w:r>
    </w:p>
    <w:p w14:paraId="57DC6CCF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 ohledem na své usnesení ze dne 21. ledna 2021 o strategii EU pro rovnost žen a mužů</w:t>
      </w:r>
      <w:r w:rsidRPr="00A514A7">
        <w:rPr>
          <w:rStyle w:val="FootnoteReference"/>
        </w:rPr>
        <w:footnoteReference w:id="7"/>
      </w:r>
      <w:r w:rsidRPr="00A514A7">
        <w:t>,</w:t>
      </w:r>
    </w:p>
    <w:p w14:paraId="3E472694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 ohledem na své usnesení ze dne 10. března 2022 o začleňování hlediska rovnoprávnosti žen a mužů („genderový mainstreaming“) v Evropském parlamentu – výroční zpráva za rok 2020</w:t>
      </w:r>
      <w:r w:rsidRPr="00A514A7">
        <w:rPr>
          <w:rStyle w:val="FootnoteReference"/>
        </w:rPr>
        <w:footnoteReference w:id="8"/>
      </w:r>
      <w:r w:rsidRPr="00A514A7">
        <w:t>,</w:t>
      </w:r>
    </w:p>
    <w:p w14:paraId="4A9FCC63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své usnesení ze dne 2. dubna 2025 o obecných pokynech pro přípravu rozpočtu na rok 2026, oddíl III – Komise</w:t>
      </w:r>
      <w:r w:rsidRPr="00A514A7">
        <w:rPr>
          <w:rStyle w:val="FootnoteReference"/>
        </w:rPr>
        <w:footnoteReference w:id="9"/>
      </w:r>
      <w:r w:rsidRPr="00A514A7">
        <w:t>,</w:t>
      </w:r>
    </w:p>
    <w:p w14:paraId="6F70DCE3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své usnesení ze dne 7. května 2025 o přepracovaném dlouhodobém rozpočtu Unie v měnícím se světě</w:t>
      </w:r>
      <w:r w:rsidRPr="00A514A7">
        <w:rPr>
          <w:rStyle w:val="FootnoteReference"/>
        </w:rPr>
        <w:footnoteReference w:id="10"/>
      </w:r>
      <w:r w:rsidRPr="00A514A7">
        <w:t>,</w:t>
      </w:r>
    </w:p>
    <w:p w14:paraId="57D6D205" w14:textId="11AE24C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 xml:space="preserve">s ohledem na odhad příjmů a výdajů na rozpočtový rok 2026, který dne </w:t>
      </w:r>
      <w:r w:rsidR="009B4E32">
        <w:t>4</w:t>
      </w:r>
      <w:r w:rsidRPr="00A514A7">
        <w:t xml:space="preserve">. </w:t>
      </w:r>
      <w:r w:rsidR="009B4E32">
        <w:t>června</w:t>
      </w:r>
      <w:r w:rsidRPr="00A514A7">
        <w:t xml:space="preserve"> 2025 předložila Komise (SEC(2025)0250),</w:t>
      </w:r>
    </w:p>
    <w:p w14:paraId="6743F6D6" w14:textId="77777777" w:rsidR="009C628C" w:rsidRPr="00A514A7" w:rsidRDefault="009C628C" w:rsidP="009C628C">
      <w:pPr>
        <w:pStyle w:val="NormalHanging12a"/>
      </w:pPr>
      <w:r w:rsidRPr="00A514A7">
        <w:lastRenderedPageBreak/>
        <w:t>–</w:t>
      </w:r>
      <w:r w:rsidRPr="00A514A7">
        <w:tab/>
        <w:t xml:space="preserve">s ohledem na prohlášení o výkonnosti programů týkající se provozních výdajů obsažená v části I pracovního dokumentu z června 2025, která jsou připojena k návrhu souhrnného rozpočtu Evropské unie na rozpočtový rok 2026 </w:t>
      </w:r>
      <w:hyperlink r:id="rId11" w:history="1">
        <w:r w:rsidRPr="00116B68">
          <w:t>(COM(2025)0300)</w:t>
        </w:r>
      </w:hyperlink>
      <w:r w:rsidRPr="00A514A7">
        <w:t>,</w:t>
      </w:r>
    </w:p>
    <w:p w14:paraId="35615499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výroční zprávu Komise o řízení a výkonnosti rozpočtu EU – rozpočtový rok 2021 (COM(2022)0401),</w:t>
      </w:r>
    </w:p>
    <w:p w14:paraId="71F737CA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výroční zprávu Komise o řízení a výkonnosti rozpočtu EU – rozpočtový rok 2022 (COM(2023)0401),</w:t>
      </w:r>
    </w:p>
    <w:p w14:paraId="342421CA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 ohledem na výroční zprávu Komise o řízení a výkonnosti rozpočtu EU – rozpočtový rok 2023 (COM(2024)0401),</w:t>
      </w:r>
    </w:p>
    <w:p w14:paraId="69312151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výroční zprávu Komise o řízení a výkonnosti rozpočtu EU – rozpočtový rok 2024 (COM(2025)0824),</w:t>
      </w:r>
    </w:p>
    <w:p w14:paraId="1CD7FF96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 ohledem na zvláštní zprávu Evropského účetního dvora 10/2021 ze dne 26. května 2021 s názvem „Začleňování hlediska rovnosti žen a mužů do rozpočtu EU: čas změnit slova v činy“;</w:t>
      </w:r>
    </w:p>
    <w:p w14:paraId="2574EB32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publikaci výzkumné služby Evropského parlamentu z února 2025 nazvanou „Genderové rozpočtování: aktuální stav a příležitosti pro 10. volební období Evropského parlamentu“,</w:t>
      </w:r>
    </w:p>
    <w:p w14:paraId="116F9E81" w14:textId="77777777" w:rsidR="009C628C" w:rsidRPr="00A514A7" w:rsidRDefault="009C628C" w:rsidP="009C628C">
      <w:pPr>
        <w:pStyle w:val="NormalHanging12a"/>
        <w:rPr>
          <w:bCs/>
          <w:iCs/>
        </w:rPr>
      </w:pPr>
      <w:r w:rsidRPr="00A514A7">
        <w:rPr>
          <w:b/>
          <w:i/>
        </w:rPr>
        <w:t>–</w:t>
      </w:r>
      <w:r w:rsidRPr="00A514A7">
        <w:tab/>
        <w:t>s ohledem na studii s názvem „Genderové rozpočtování Evropské unie – aktuální stav 2024“, kterou si vyžádal Rozpočtový výbor a Výbor pro rozpočtovou kontrolu,</w:t>
      </w:r>
    </w:p>
    <w:p w14:paraId="02207D54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seminář konaný dne 25. června 2025 na žádost Výboru pro rozpočtovou kontrolu nazvaný „Uplatňování metodiky začleňování hlediska rovnosti žen a mužů do rozpočtu EU“,</w:t>
      </w:r>
    </w:p>
    <w:p w14:paraId="3374B76A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písemné odpovědi tehdejšího kandidáta na komisaře pro rozpočet, boj proti podvodům a veřejnou správu během potvrzujících slyšení v roce 2024,</w:t>
      </w:r>
    </w:p>
    <w:p w14:paraId="1FAD2452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Pekingskou deklaraci a akční platformu (1995),</w:t>
      </w:r>
    </w:p>
    <w:p w14:paraId="50571ADB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závěrečnou zprávu skupiny odborníků Rady Evropy o genderovém rozpočtování (2005),</w:t>
      </w:r>
    </w:p>
    <w:p w14:paraId="38AE1ED2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činnost Evropského institutu pro rovnost žen a mužů (EIGE) a jeho publikace,</w:t>
      </w:r>
    </w:p>
    <w:p w14:paraId="0AE14146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článek 55 jednacího řádu,</w:t>
      </w:r>
    </w:p>
    <w:p w14:paraId="7E91CBE1" w14:textId="77777777" w:rsidR="009C628C" w:rsidRPr="00A514A7" w:rsidRDefault="009C628C" w:rsidP="009C628C">
      <w:pPr>
        <w:pStyle w:val="NormalHanging12a"/>
      </w:pPr>
      <w:r w:rsidRPr="00A514A7">
        <w:t>–</w:t>
      </w:r>
      <w:r w:rsidRPr="00A514A7">
        <w:tab/>
        <w:t>s ohledem na zprávu Výboru pro rozpočtovou kontrolu (A10-0212/2025),</w:t>
      </w:r>
    </w:p>
    <w:p w14:paraId="3A477272" w14:textId="77777777" w:rsidR="009C628C" w:rsidRPr="00A514A7" w:rsidRDefault="009C628C" w:rsidP="009C628C">
      <w:pPr>
        <w:pStyle w:val="NormalHanging12a"/>
      </w:pPr>
      <w:r w:rsidRPr="00A514A7">
        <w:t>A.</w:t>
      </w:r>
      <w:r w:rsidRPr="00A514A7">
        <w:tab/>
        <w:t>vzhledem k tomu, že rovnost žen a mužů je cílem EU, který je zakotven v jejím primárním právu a představuje zásadu, jež by měla být v jádru všech politik EU;</w:t>
      </w:r>
    </w:p>
    <w:p w14:paraId="61FE550E" w14:textId="77777777" w:rsidR="009C628C" w:rsidRPr="00A514A7" w:rsidRDefault="009C628C" w:rsidP="009C628C">
      <w:pPr>
        <w:pStyle w:val="NormalHanging12a"/>
      </w:pPr>
      <w:r w:rsidRPr="00A514A7">
        <w:t>B.</w:t>
      </w:r>
      <w:r w:rsidRPr="00A514A7">
        <w:tab/>
        <w:t xml:space="preserve">vzhledem k tomu, že začleňování hlediska rovnosti žen a mužů je celosvětově uznávanou strategií, která má zajistit, aby bylo genderové hledisko zohledňováno při tvorbě, provádění a hodnocení všech politik, programů a opatření s cílem prosazovat </w:t>
      </w:r>
      <w:r w:rsidRPr="00A514A7">
        <w:lastRenderedPageBreak/>
        <w:t>rovnost žen a mužů a bojovat proti diskriminaci;</w:t>
      </w:r>
    </w:p>
    <w:p w14:paraId="7511EB86" w14:textId="77777777" w:rsidR="009C628C" w:rsidRPr="00A514A7" w:rsidRDefault="009C628C" w:rsidP="009C628C">
      <w:pPr>
        <w:pStyle w:val="NormalHanging12a"/>
      </w:pPr>
      <w:r w:rsidRPr="00A514A7">
        <w:t>C.</w:t>
      </w:r>
      <w:r w:rsidRPr="00A514A7">
        <w:tab/>
        <w:t>vzhledem k tomu, že genderové rozpočtování definuje Rada Evropy jako posuzování rozpočtu z genderového hlediska, přičemž toto hledisko je zohledňováno na všech úrovních rozpočtového procesu a vede k restrukturalizaci příjmů a výdajů za účelem podpory rovnosti žen a mužů;</w:t>
      </w:r>
    </w:p>
    <w:p w14:paraId="4B857408" w14:textId="77777777" w:rsidR="009C628C" w:rsidRPr="00A514A7" w:rsidRDefault="009C628C" w:rsidP="009C628C">
      <w:pPr>
        <w:pStyle w:val="NormalHanging12a"/>
      </w:pPr>
      <w:r w:rsidRPr="00A514A7">
        <w:t>D.</w:t>
      </w:r>
      <w:r w:rsidRPr="00A514A7">
        <w:tab/>
        <w:t>vzhledem k tomu, že institut EIGE popisuje genderové rozpočtování jako nástroj, který tvůrcům politik umožňuje prosazovat odpovědnost a transparentnost, zlepšovat vyváženou účast lidí všech pohlaví na rozpočtovém procesu a prosazovat rovnost žen a mužů;</w:t>
      </w:r>
    </w:p>
    <w:p w14:paraId="59C13697" w14:textId="77777777" w:rsidR="009C628C" w:rsidRPr="00A514A7" w:rsidRDefault="009C628C" w:rsidP="009C628C">
      <w:pPr>
        <w:pStyle w:val="NormalHanging12a"/>
      </w:pPr>
      <w:r w:rsidRPr="00A514A7">
        <w:t>E.</w:t>
      </w:r>
      <w:r w:rsidRPr="00A514A7">
        <w:tab/>
        <w:t>vzhledem k tomu, že Evropský účetní dvůr poukázal na to, že víceletý finanční rámec EU na období 2014–2020 dostatečně nezohledňoval rovnost žen a mužů;</w:t>
      </w:r>
    </w:p>
    <w:p w14:paraId="645816F8" w14:textId="77777777" w:rsidR="009C628C" w:rsidRPr="00A514A7" w:rsidRDefault="009C628C" w:rsidP="009C628C">
      <w:pPr>
        <w:pStyle w:val="NormalHanging12a"/>
      </w:pPr>
      <w:r w:rsidRPr="00A514A7">
        <w:t>F.</w:t>
      </w:r>
      <w:r w:rsidRPr="00A514A7">
        <w:tab/>
        <w:t>vzhledem k tomu, že začleňování rovnosti žen a mužů jako horizontální priority do rozpočtu EU je dlouhodobě předmětem zájmu jak ve Výboru pro rozpočtovou kontrolu, tak v Parlamentu, a je považováno za klíčové kritérium pro hodnocení plnění rozpočtu EU a jeho řádného finančního řízení, výkonnosti a přiměřenosti;</w:t>
      </w:r>
    </w:p>
    <w:p w14:paraId="22761950" w14:textId="77777777" w:rsidR="009C628C" w:rsidRPr="00A514A7" w:rsidRDefault="009C628C" w:rsidP="009C628C">
      <w:pPr>
        <w:pStyle w:val="NormalHanging12a"/>
        <w:rPr>
          <w:bCs/>
          <w:iCs/>
        </w:rPr>
      </w:pPr>
      <w:r w:rsidRPr="00A514A7">
        <w:t>G.</w:t>
      </w:r>
      <w:r w:rsidRPr="00A514A7">
        <w:tab/>
        <w:t>vzhledem k tomu, že začleňování hlediska rovnosti žen a mužů do rozpočtu EU je posíleno na základě interinstitucionální dohody připojené k VFR na období 2021–2027, mimo jiné prostřednictvím požadavků na posílení posuzování dopadu na rovnost žen a mužů v posouzeních dopadů a hodnoceních podle rámce pro zdokonalení tvorby právních předpisů a na vypracování pilotní metodiky pro měření výdajů souvisejících s prosazováním rovnosti žen a mužů na úrovni programu od roku 2023;</w:t>
      </w:r>
    </w:p>
    <w:p w14:paraId="27B5D726" w14:textId="77777777" w:rsidR="009C628C" w:rsidRPr="00A514A7" w:rsidRDefault="009C628C" w:rsidP="009C628C">
      <w:pPr>
        <w:pStyle w:val="NormalHanging12a"/>
        <w:rPr>
          <w:bCs/>
          <w:iCs/>
        </w:rPr>
      </w:pPr>
      <w:r w:rsidRPr="00A514A7">
        <w:t>H.</w:t>
      </w:r>
      <w:r w:rsidRPr="00A514A7">
        <w:tab/>
        <w:t xml:space="preserve">vzhledem k tomu, že úsilí o dosažení rovnosti žen a mužů vyžaduje intersekcionální přístup </w:t>
      </w:r>
      <w:proofErr w:type="gramStart"/>
      <w:r w:rsidRPr="00A514A7">
        <w:t>k</w:t>
      </w:r>
      <w:proofErr w:type="gramEnd"/>
      <w:r w:rsidRPr="00A514A7">
        <w:t> genderovému rozpočtování, který zohledňuje vícečetnou diskriminaci, jíž čelí ženy patřící do skupin posuzovaných podle rasy, osoby se zdravotním postižením, osoby LGBTIQ+ a migranti, s cílem zajistit, aby výdaje EU podporovaly rovnost ve všech dimenzích;</w:t>
      </w:r>
    </w:p>
    <w:p w14:paraId="060B926B" w14:textId="77777777" w:rsidR="009C628C" w:rsidRPr="00A514A7" w:rsidRDefault="009C628C" w:rsidP="009C628C">
      <w:pPr>
        <w:pStyle w:val="NormalHanging12a"/>
        <w:rPr>
          <w:bCs/>
          <w:iCs/>
        </w:rPr>
      </w:pPr>
      <w:r w:rsidRPr="00A514A7">
        <w:t>I.</w:t>
      </w:r>
      <w:r w:rsidRPr="00A514A7">
        <w:tab/>
        <w:t>vzhledem k tomu, že rodina je základní jednotkou společnosti a hraje zásadní úlohu při podpoře dobrých životních podmínek, stability a rozvoje jednotlivců, komunit a národů; vzhledem k tomu, že je proto nezbytné, aby ji horizontální politiky EU aktivně prosazovaly a podporovaly;</w:t>
      </w:r>
    </w:p>
    <w:p w14:paraId="04FCBC89" w14:textId="77777777" w:rsidR="009C628C" w:rsidRPr="00A514A7" w:rsidRDefault="009C628C" w:rsidP="009C628C">
      <w:pPr>
        <w:pStyle w:val="NormalHanging12a"/>
        <w:rPr>
          <w:iCs/>
        </w:rPr>
      </w:pPr>
      <w:r w:rsidRPr="00A514A7">
        <w:t>J.</w:t>
      </w:r>
      <w:r w:rsidRPr="00A514A7">
        <w:tab/>
        <w:t>vzhledem k tomu, že genderové rozpočtování je nezbytným předpokladem pro dosažení rovnosti žen a mužů, která je sama o sobě podmínkou inteligentního a udržitelného růstu podporujícího začlenění, a to i v rámci EU, jejíž institut EIGE prostřednictvím robustního ekonometrického modelu uplatňovaného ve specifickém kontextu EU prokázal, že zlepšení rovnosti žen a mužů by vedlo k řadě makroekonomických přínosů v několika oblastech, k nimž patří vzdělávání, aktivní účast na trhu práce a mzdy; vzhledem k tomu, že institut EIGE rovněž prokázal, že rovnost žen a mužů má obecně silný pozitivní dopad na HDP na obyvatele a že zlepšení rovnosti žen a mužů by do roku 2050 vedlo ke zvýšení HDP EU na obyvatele o nejméně 6,1 % (tj. o 1,95 bilionu EUR) a až o 9,6 % (tj. o 3,15 bilionu EUR);</w:t>
      </w:r>
    </w:p>
    <w:p w14:paraId="6ED986F1" w14:textId="77777777" w:rsidR="009C628C" w:rsidRPr="00A514A7" w:rsidRDefault="009C628C" w:rsidP="009C628C">
      <w:pPr>
        <w:pStyle w:val="NormalHanging12a"/>
        <w:rPr>
          <w:iCs/>
        </w:rPr>
      </w:pPr>
      <w:r w:rsidRPr="00A514A7">
        <w:t>K.</w:t>
      </w:r>
      <w:r w:rsidRPr="00A514A7">
        <w:tab/>
        <w:t xml:space="preserve">vzhledem k tomu, že podle informací institutu EIGE od roku 2021 dochází ke znepokojivému poklesu snahy členských států o začleňování hlediska rovnosti žen </w:t>
      </w:r>
      <w:r w:rsidRPr="00A514A7">
        <w:lastRenderedPageBreak/>
        <w:t>a mužů, což je trend, který by se neměl odrážet na úrovni Unie;</w:t>
      </w:r>
    </w:p>
    <w:p w14:paraId="2A1ACE14" w14:textId="77777777" w:rsidR="009C628C" w:rsidRPr="00A514A7" w:rsidRDefault="009C628C" w:rsidP="009C628C">
      <w:pPr>
        <w:pStyle w:val="NormalHanging12a"/>
      </w:pPr>
      <w:r w:rsidRPr="00A514A7">
        <w:t>L.</w:t>
      </w:r>
      <w:r w:rsidRPr="00A514A7">
        <w:tab/>
        <w:t>vzhledem k tomu, že systematické začleňování předběžných posouzení dopadů na rovnost žen a mužů a zmírňujících opatření do procesů tvorby politik EU je nezbytné k zajištění toho, aby budoucí iniciativy podporovaly rovnost žen a mužů a nezhoršovaly ji;</w:t>
      </w:r>
    </w:p>
    <w:p w14:paraId="616098ED" w14:textId="77777777" w:rsidR="009C628C" w:rsidRPr="00A514A7" w:rsidRDefault="009C628C" w:rsidP="009C628C">
      <w:pPr>
        <w:pStyle w:val="NormalHanging12a"/>
      </w:pPr>
      <w:r w:rsidRPr="00A514A7">
        <w:t>M.</w:t>
      </w:r>
      <w:r w:rsidRPr="00A514A7">
        <w:tab/>
        <w:t>vzhledem k tomu, že demokratické instituce musí odrážet rozmanitost společnosti, především ve složení svých zaměstnanců;</w:t>
      </w:r>
    </w:p>
    <w:p w14:paraId="51D796C3" w14:textId="77777777" w:rsidR="009C628C" w:rsidRPr="00A514A7" w:rsidRDefault="009C628C" w:rsidP="009C628C">
      <w:pPr>
        <w:pStyle w:val="NormalHanging12a"/>
      </w:pPr>
      <w:r w:rsidRPr="00A514A7">
        <w:t>N.</w:t>
      </w:r>
      <w:r w:rsidRPr="00A514A7">
        <w:tab/>
        <w:t>vzhledem k tomu, že vyvážené zastoupení žen a mužů je i nadále nenaplněným cílem na mnoha klíčových úrovních rozhodování;</w:t>
      </w:r>
    </w:p>
    <w:p w14:paraId="56BF8870" w14:textId="77777777" w:rsidR="009C628C" w:rsidRPr="00A514A7" w:rsidRDefault="009C628C" w:rsidP="009C628C">
      <w:pPr>
        <w:pStyle w:val="NormalHanging12a"/>
      </w:pPr>
      <w:r w:rsidRPr="00A514A7">
        <w:t>O.</w:t>
      </w:r>
      <w:r w:rsidRPr="00A514A7">
        <w:tab/>
        <w:t>vzhledem k tomu, že Pekingská deklarace a akční platforma vyzývají k začleňování genderového hlediska do rozpočtových rozhodnutí na všech úrovních, a vzhledem k tomu, že se EU zavázala uplatňovat její zásady a zejména zajistit, aby veřejné zdroje účinně přispívaly k rovnosti žen a mužů a silnějšímu postavení žen ve všech oblastech politiky;</w:t>
      </w:r>
    </w:p>
    <w:p w14:paraId="0CE2031D" w14:textId="77777777" w:rsidR="009C628C" w:rsidRPr="00A514A7" w:rsidRDefault="009C628C" w:rsidP="009C628C">
      <w:pPr>
        <w:pStyle w:val="Normal12a24b"/>
      </w:pPr>
      <w:r w:rsidRPr="00A514A7">
        <w:rPr>
          <w:rStyle w:val="BoldItalic"/>
        </w:rPr>
        <w:t>Obecné připomínky</w:t>
      </w:r>
    </w:p>
    <w:p w14:paraId="559E1B84" w14:textId="77777777" w:rsidR="009C628C" w:rsidRPr="00A514A7" w:rsidRDefault="009C628C" w:rsidP="009C628C">
      <w:pPr>
        <w:pStyle w:val="NormalHanging12a"/>
      </w:pPr>
      <w:r w:rsidRPr="00A514A7">
        <w:t>1.</w:t>
      </w:r>
      <w:r w:rsidRPr="00A514A7">
        <w:tab/>
        <w:t>vítá, že Komise v souladu se svými přísnými závazky a v návaznosti na opakované výzvy Parlamentu vypracovala pilotní metodiku pro sledování a měření výdajů souvisejících s rovností žen a mužů na úrovni programů ve VFR na období 2021–2027 s cílem zlepšit začleňování hlediska rovnosti žen a mužů do rozpočtového procesu Komise a zlepšit způsob, jakým tvorba politik a přidělování zdrojů přispívají k podpoře rovnosti žen a mužů;</w:t>
      </w:r>
    </w:p>
    <w:p w14:paraId="2D9288B2" w14:textId="77777777" w:rsidR="009C628C" w:rsidRPr="00A514A7" w:rsidRDefault="009C628C" w:rsidP="009C628C">
      <w:pPr>
        <w:pStyle w:val="NormalHanging12a"/>
      </w:pPr>
      <w:r w:rsidRPr="00A514A7">
        <w:t>2.</w:t>
      </w:r>
      <w:r w:rsidRPr="00A514A7">
        <w:tab/>
        <w:t>konstatuje, že podle stávající metodiky přiděluje Komise programům různá bodová hodnocení na základě posouzení jejich přínosu k rovnosti žen a mužů na co možná nejpodrobnější úrovni intervence, přičemž uděluje tato skóre:</w:t>
      </w:r>
    </w:p>
    <w:p w14:paraId="6992E429" w14:textId="77777777" w:rsidR="009C628C" w:rsidRPr="00A514A7" w:rsidRDefault="009C628C" w:rsidP="00116B68">
      <w:pPr>
        <w:pStyle w:val="NormalHanging12a1"/>
        <w:ind w:left="1134" w:hanging="567"/>
      </w:pPr>
      <w:r w:rsidRPr="00A514A7">
        <w:t>a)</w:t>
      </w:r>
      <w:r w:rsidRPr="00A514A7">
        <w:tab/>
        <w:t>skóre 2 za intervence, jejichž hlavním cílem je zlepšit rovnost žen a mužů;</w:t>
      </w:r>
    </w:p>
    <w:p w14:paraId="4347EE62" w14:textId="77777777" w:rsidR="009C628C" w:rsidRPr="00A514A7" w:rsidRDefault="009C628C" w:rsidP="00116B68">
      <w:pPr>
        <w:pStyle w:val="NormalHanging12a1"/>
        <w:ind w:left="1134" w:hanging="567"/>
      </w:pPr>
      <w:r w:rsidRPr="00A514A7">
        <w:t>b)</w:t>
      </w:r>
      <w:r w:rsidRPr="00A514A7">
        <w:tab/>
        <w:t>skóre 1 za intervence, pro něž je rovnost žen a mužů důležitým a záměrným cílem, nikoli však hlavní důvod intervence;</w:t>
      </w:r>
    </w:p>
    <w:p w14:paraId="3990F840" w14:textId="77777777" w:rsidR="009C628C" w:rsidRPr="00A514A7" w:rsidRDefault="009C628C" w:rsidP="00116B68">
      <w:pPr>
        <w:pStyle w:val="NormalHanging12a1"/>
        <w:ind w:left="1134" w:hanging="567"/>
      </w:pPr>
      <w:r w:rsidRPr="00A514A7">
        <w:t>c)</w:t>
      </w:r>
      <w:r w:rsidRPr="00A514A7">
        <w:tab/>
        <w:t>skóre 0 za necílené intervence, tj. intervence, u nichž se neočekává, že by měly významný dopad na rovnost žen a mužů;</w:t>
      </w:r>
    </w:p>
    <w:p w14:paraId="09907024" w14:textId="77777777" w:rsidR="009C628C" w:rsidRPr="00A514A7" w:rsidRDefault="009C628C" w:rsidP="00116B68">
      <w:pPr>
        <w:pStyle w:val="NormalHanging12a1"/>
        <w:ind w:left="1134" w:hanging="567"/>
      </w:pPr>
      <w:r w:rsidRPr="00A514A7">
        <w:t>d)</w:t>
      </w:r>
      <w:r w:rsidRPr="00A514A7">
        <w:tab/>
        <w:t>skóre 0* za intervence s pravděpodobným, ale dosud nejasným pozitivním dopadem na rovnost žen a mužů;</w:t>
      </w:r>
    </w:p>
    <w:p w14:paraId="052AD419" w14:textId="77777777" w:rsidR="009C628C" w:rsidRPr="00A514A7" w:rsidRDefault="009C628C" w:rsidP="009C628C">
      <w:pPr>
        <w:pStyle w:val="NormalHanging12a"/>
      </w:pPr>
      <w:r w:rsidRPr="00A514A7">
        <w:t>3.</w:t>
      </w:r>
      <w:r w:rsidRPr="00A514A7">
        <w:tab/>
        <w:t>konstatuje, že tato metodika je založena na ukazateli politiky rovnosti žen a mužů vypracovaném Organizací pro hospodářskou spolupráci a rozvoj, což je kvalitativní statistický nástroj používaný pro sledování a zaznamenávání rozvojových činností, které se zaměřují na rovnost žen a mužů jako na politický cíl, a Komise ji uplatňuje na všechny výdajové programy z rozpočtu EU v rámci sdíleného, přímého a nepřímého řízení;</w:t>
      </w:r>
    </w:p>
    <w:p w14:paraId="57176D57" w14:textId="23F5CDEB" w:rsidR="009C628C" w:rsidRPr="00A514A7" w:rsidRDefault="009C628C" w:rsidP="009C628C">
      <w:pPr>
        <w:pStyle w:val="NormalHanging12a"/>
        <w:rPr>
          <w:bCs/>
          <w:iCs/>
        </w:rPr>
      </w:pPr>
      <w:r w:rsidRPr="00A514A7">
        <w:t>4.</w:t>
      </w:r>
      <w:r w:rsidRPr="00A514A7">
        <w:tab/>
        <w:t xml:space="preserve">zdůrazňuje, že metodika Komise se liší od ukazatele politiky rovnosti žen a mužů vypracovaného Organizací pro hospodářskou spolupráci a rozvoj, neboť nezahrnuje </w:t>
      </w:r>
      <w:r w:rsidRPr="00A514A7">
        <w:lastRenderedPageBreak/>
        <w:t xml:space="preserve">bodové hodnocení, které by umožnilo sledovat </w:t>
      </w:r>
      <w:r w:rsidR="0094481D" w:rsidRPr="0094481D">
        <w:t>potenciálně</w:t>
      </w:r>
      <w:r w:rsidR="0094481D">
        <w:t xml:space="preserve"> </w:t>
      </w:r>
      <w:r w:rsidRPr="00A514A7">
        <w:t>negativní dopady výdajů EU na cíle začleňování hlediska rovnosti žen a mužů, a že zavádí kategorii 0* pro intervence s pravděpodobným, ale dosud nejasným pozitivním dopadem na rovnost žen a mužů;</w:t>
      </w:r>
      <w:r w:rsidR="0094481D">
        <w:t xml:space="preserve"> </w:t>
      </w:r>
      <w:r w:rsidR="0094481D" w:rsidRPr="0094481D">
        <w:t>zdůrazňuje, že metodika Komise by v žádném případě neměla vést k nezamýšleným důsledkům, jako je odrazování od investic nebo odmítání investic do odvětví, která jsou strategická, ale tradičně jim dominuje jedno pohlaví, včetně odvětví obrany;</w:t>
      </w:r>
    </w:p>
    <w:p w14:paraId="38CA8D87" w14:textId="77777777" w:rsidR="009C628C" w:rsidRPr="00A514A7" w:rsidRDefault="009C628C" w:rsidP="009C628C">
      <w:pPr>
        <w:pStyle w:val="Normal12a24b"/>
      </w:pPr>
      <w:r w:rsidRPr="00A514A7">
        <w:rPr>
          <w:rStyle w:val="BoldItalic"/>
        </w:rPr>
        <w:t>O uplatňování metodiky vypracované Komisí</w:t>
      </w:r>
    </w:p>
    <w:p w14:paraId="4DA45599" w14:textId="77777777" w:rsidR="009C628C" w:rsidRPr="00A514A7" w:rsidRDefault="009C628C" w:rsidP="009C628C">
      <w:pPr>
        <w:pStyle w:val="NormalHanging12a"/>
      </w:pPr>
      <w:r w:rsidRPr="00A514A7">
        <w:t>5.</w:t>
      </w:r>
      <w:r w:rsidRPr="00A514A7">
        <w:tab/>
        <w:t>konstatuje, že tato metodika byla poprvé použita při přípravě odhadu příjmů a výdajů rozpočtu EU na rozpočtový rok 2023 a že byla zpětně uplatněna na rozpočty na rozpočtové roky 2021 a 2022;</w:t>
      </w:r>
    </w:p>
    <w:p w14:paraId="3474BB74" w14:textId="77777777" w:rsidR="009C628C" w:rsidRPr="00A514A7" w:rsidRDefault="009C628C" w:rsidP="009C628C">
      <w:pPr>
        <w:pStyle w:val="NormalHanging12a"/>
      </w:pPr>
      <w:r w:rsidRPr="00A514A7">
        <w:t>6.</w:t>
      </w:r>
      <w:r w:rsidRPr="00A514A7">
        <w:tab/>
        <w:t>konstatuje, že za rozpočtový rok 2021 v době zveřejnění související výroční zprávy o řízení a výkonnosti získalo z 352 miliard EUR v prostředcích na závazky 1 % prostředků na závazky skóre 2, 3 % skóre 1, 1 % skóre 0 a 95 % obdrželo skóre 0*;</w:t>
      </w:r>
    </w:p>
    <w:p w14:paraId="7D48280E" w14:textId="77777777" w:rsidR="009C628C" w:rsidRPr="00A514A7" w:rsidRDefault="009C628C" w:rsidP="009C628C">
      <w:pPr>
        <w:pStyle w:val="NormalHanging12a"/>
      </w:pPr>
      <w:r w:rsidRPr="00A514A7">
        <w:t>7.</w:t>
      </w:r>
      <w:r w:rsidRPr="00A514A7">
        <w:tab/>
        <w:t>konstatuje, že za rozpočtový rok 2022 v době zveřejnění související výroční zprávy o řízení a výkonnosti získalo z 321 miliard EUR v prostředcích na závazky 2 % prostředků na závazky skóre 2, 9 % skóre 1, 16 % skóre 0 a 73 % obdrželo skóre 0*;</w:t>
      </w:r>
    </w:p>
    <w:p w14:paraId="543595E6" w14:textId="77777777" w:rsidR="009C628C" w:rsidRPr="00A514A7" w:rsidRDefault="009C628C" w:rsidP="009C628C">
      <w:pPr>
        <w:pStyle w:val="NormalHanging12a"/>
      </w:pPr>
      <w:r w:rsidRPr="00A514A7">
        <w:t>8.</w:t>
      </w:r>
      <w:r w:rsidRPr="00A514A7">
        <w:tab/>
        <w:t>konstatuje, že za rozpočtový rok 2023 v době zveřejnění související výroční zprávy o řízení a výkonnosti získalo ze 427 miliard EUR v prostředcích na závazky 2 % prostředků na závazky skóre 2, 9 % skóre 1, 69 % skóre 0 a 20 % obdrželo skóre 0*;</w:t>
      </w:r>
    </w:p>
    <w:p w14:paraId="26C4794A" w14:textId="77777777" w:rsidR="009C628C" w:rsidRPr="00A514A7" w:rsidRDefault="009C628C" w:rsidP="009C628C">
      <w:pPr>
        <w:pStyle w:val="NormalHanging12a"/>
      </w:pPr>
      <w:r w:rsidRPr="00A514A7">
        <w:t>9.</w:t>
      </w:r>
      <w:r w:rsidRPr="00A514A7">
        <w:tab/>
        <w:t>konstatuje, že za rozpočtový rok 2024 v době zveřejnění související výroční zprávy o řízení a výkonnosti získalo ze 195 miliard EUR v prostředcích na závazky 3 % prostředků na závazky skóre 2, 17 % skóre 1, 65 % skóre 0 a 16 % obdrželo skóre 0*, přičemž tyto výsledky byly zaokrouhleny;</w:t>
      </w:r>
    </w:p>
    <w:p w14:paraId="5A6DD277" w14:textId="77777777" w:rsidR="009C628C" w:rsidRPr="00A514A7" w:rsidRDefault="009C628C" w:rsidP="009C628C">
      <w:pPr>
        <w:pStyle w:val="NormalHanging12a"/>
      </w:pPr>
      <w:r w:rsidRPr="00A514A7">
        <w:t>10.</w:t>
      </w:r>
      <w:r w:rsidRPr="00A514A7">
        <w:tab/>
        <w:t>domnívá se, že klesající podíl závazků se skóre 0* v průběhu let je výsledkem lepšího shromažďování a dostupnosti dat i lepší kapacity Komise v oblasti podávání zpráv, což jejím generálním ředitelstvím umožňuje lépe a podrobněji měřit příspěvek svých programů k rovnosti žen a mužů;</w:t>
      </w:r>
    </w:p>
    <w:p w14:paraId="422FFD1E" w14:textId="77777777" w:rsidR="009C628C" w:rsidRPr="00A514A7" w:rsidRDefault="009C628C" w:rsidP="009C628C">
      <w:pPr>
        <w:pStyle w:val="NormalHanging12a"/>
      </w:pPr>
      <w:r w:rsidRPr="00A514A7">
        <w:t>11.</w:t>
      </w:r>
      <w:r w:rsidRPr="00A514A7">
        <w:tab/>
        <w:t>dále se domnívá, že vzhledem k omezené dostupnosti dat a kapacitě v oblasti podávání zpráv v prvních rozpočtových letech, na něž byla tato metodika použita, je porovnávání údajů mezi jednotlivými účetními obdobími, pokud jde o roční výsledky, nebo získávání poznatků z tohoto srovnávání jen málo přínosné;</w:t>
      </w:r>
    </w:p>
    <w:p w14:paraId="460E323A" w14:textId="77777777" w:rsidR="009C628C" w:rsidRPr="00A514A7" w:rsidRDefault="009C628C" w:rsidP="009C628C">
      <w:pPr>
        <w:pStyle w:val="NormalHanging12a"/>
      </w:pPr>
      <w:r w:rsidRPr="00A514A7">
        <w:t>12.</w:t>
      </w:r>
      <w:r w:rsidRPr="00A514A7">
        <w:tab/>
        <w:t>konstatuje, že podle Komise lze intervence, jež obdržely skóre 2 nebo 1, považovat za přínosné pro podporu rovnosti žen a mužů, a lze proto konstatovat, že v roce 2024 podporovaly rovnost žen a mužů intervence v hodnotě 37,99 miliardy EUR, zatímco v roce 2021 se jednalo o intervence v hodnotě 10,76 miliardy EUR, v roce 2022 o intervence v hodnotě 37,83 miliardy EUR a v roce 2023 o intervence v hodnotě 47,99 miliardy EUR;</w:t>
      </w:r>
    </w:p>
    <w:p w14:paraId="29A9BC1B" w14:textId="77777777" w:rsidR="009C628C" w:rsidRPr="00A514A7" w:rsidRDefault="009C628C" w:rsidP="009C628C">
      <w:pPr>
        <w:pStyle w:val="NormalHanging12a"/>
      </w:pPr>
      <w:r w:rsidRPr="00A514A7">
        <w:t>13.</w:t>
      </w:r>
      <w:r w:rsidRPr="00A514A7">
        <w:tab/>
        <w:t xml:space="preserve">konstatuje, že snížení absolutní hodnoty intervencí považovaných za přínosné pro podporu rovnosti žen a mužů mezi roky 2023 a 2024 je přímým důsledkem snížení celkové výše prostředků na závazky mezi těmito dvěma rozpočtovými roky, což je do </w:t>
      </w:r>
      <w:r w:rsidRPr="00A514A7">
        <w:lastRenderedPageBreak/>
        <w:t>značné míry vysvětleno postupným ukončováním závazků v rámci Nástroje pro oživení a odolnost;</w:t>
      </w:r>
    </w:p>
    <w:p w14:paraId="6FA213E6" w14:textId="77777777" w:rsidR="009C628C" w:rsidRPr="00A514A7" w:rsidRDefault="009C628C" w:rsidP="009C628C">
      <w:pPr>
        <w:pStyle w:val="NormalHanging12a"/>
      </w:pPr>
      <w:r w:rsidRPr="00A514A7">
        <w:t>14.</w:t>
      </w:r>
      <w:r w:rsidRPr="00A514A7">
        <w:tab/>
        <w:t>konstatuje, že vedle výsledků uváděných za každý rozpočtový rok zveřejnila Komise ve výroční zprávě o řízení a výkonnosti rozpočtu EU za rok 2024 také přehodnocení všech předchozích výsledků založené na novějších a komplexnějších posouzeních svých programů, což vedlo k souhrnným trendům, z nichž vyplývá, že u intervencí v období let 2021 až 2024 obdrželo 2 % prostředků skóre 2, 10 % získalo skóre 1, 83 % obdrželo skóre 0 a 5 % skóre 0*; dále konstatuje, že podle přehodnocení Komise přispělo v rozpočtových letech 2021–2024 k podpoře rovnosti žen a mužů celkem 12 % výdajů z rozpočtu EU (se skóre 1 a 2), tj. 158,4 miliardy EUR;</w:t>
      </w:r>
    </w:p>
    <w:p w14:paraId="37E25252" w14:textId="77777777" w:rsidR="009C628C" w:rsidRPr="00A514A7" w:rsidRDefault="009C628C" w:rsidP="009C628C">
      <w:pPr>
        <w:pStyle w:val="NormalHanging12a"/>
      </w:pPr>
      <w:r w:rsidRPr="00A514A7">
        <w:t>15.</w:t>
      </w:r>
      <w:r w:rsidRPr="00A514A7">
        <w:tab/>
        <w:t>zdůrazňuje, že ne všechny rozpočtové programy EU jsou stejně účinné, pokud jde o začleňování rovnosti žen a mužů jako horizontální priority, přičemž některé programy dosahují díky své politické koncepci mnohem lepších výsledků, například programy v okruhu 6 „Sousedství a svět“, u nichž bylo genderové hledisko stanoveno jako průřezová priorita s jasnými cíli a kritérii, a specifické programy v rámci jiných okruhů, jako je Horizont Evropa, který díky svému požadavku na uplatňování genderového rozpočtování nejen podporuje rovnost žen a mužů, ale díky vzájemnému ovlivňování během fáze provádění na vnitrostátní úrovni má také pozitivní vliv na postupy členských států;</w:t>
      </w:r>
    </w:p>
    <w:p w14:paraId="007CDFB2" w14:textId="77777777" w:rsidR="009C628C" w:rsidRPr="00A514A7" w:rsidRDefault="009C628C" w:rsidP="009C628C">
      <w:pPr>
        <w:pStyle w:val="NormalHanging12a"/>
      </w:pPr>
      <w:r w:rsidRPr="00A514A7">
        <w:t>16.</w:t>
      </w:r>
      <w:r w:rsidRPr="00A514A7">
        <w:tab/>
        <w:t>vyjadřuje politování nad tím, že vzhledem k tomu, že použitá metodika je nástrojem specificky určeným pro sledování provozních rozpočtů, nemůže přiměřeně posuzovat správní rozpočty orgánů a institucí EU;</w:t>
      </w:r>
    </w:p>
    <w:p w14:paraId="519E6337" w14:textId="77777777" w:rsidR="009C628C" w:rsidRPr="00A514A7" w:rsidRDefault="009C628C" w:rsidP="009C628C">
      <w:pPr>
        <w:pStyle w:val="NormalHanging12a"/>
        <w:rPr>
          <w:bCs/>
          <w:iCs/>
        </w:rPr>
      </w:pPr>
      <w:r w:rsidRPr="00A514A7">
        <w:t>17.</w:t>
      </w:r>
      <w:r w:rsidRPr="00A514A7">
        <w:tab/>
        <w:t>konstatuje, že oblast působnosti metodiky je omezená, neboť odpovídajícím způsobem nezachycuje sekundární nebo nepřímé účinky programů na rovnost žen a mužů, potenciální negativní dopady nebo meziodvětvové rozměry nezbytné pro komplexní posouzení dopadů politiky;</w:t>
      </w:r>
    </w:p>
    <w:p w14:paraId="44510D9F" w14:textId="61FAF541" w:rsidR="009C628C" w:rsidRPr="00A514A7" w:rsidRDefault="009C628C" w:rsidP="009C628C">
      <w:pPr>
        <w:pStyle w:val="NormalHanging12a"/>
      </w:pPr>
      <w:r w:rsidRPr="00A514A7">
        <w:t>18.</w:t>
      </w:r>
      <w:r w:rsidRPr="00A514A7">
        <w:tab/>
      </w:r>
      <w:r w:rsidR="0094481D" w:rsidRPr="0094481D">
        <w:t>dále konstatuje, že potenciální negativní dopady programů na rovnost žen a mužů nejsou dostatečně zohledňovány, zejména v odvětvích, jako je konkurenceschopnost, obrana a připravenost; zdůrazňuje, že podpora rovnosti žen a mužů by neměla vést k omezení nebo snížení investic do kritických odvětví; vyzývá Komisi, aby navrhla konkrétní opatření ke zlepšení rovnosti žen a mužů a zároveň zajistila, aby nebyla nepříznivě ovlivněna investiční rozhodnutí;</w:t>
      </w:r>
    </w:p>
    <w:p w14:paraId="74846D7E" w14:textId="77777777" w:rsidR="009C628C" w:rsidRPr="00A514A7" w:rsidRDefault="009C628C" w:rsidP="009C628C">
      <w:pPr>
        <w:pStyle w:val="NormalHanging12a"/>
      </w:pPr>
      <w:r w:rsidRPr="00A514A7">
        <w:t>19.</w:t>
      </w:r>
      <w:r w:rsidRPr="00A514A7">
        <w:tab/>
        <w:t>vyjadřuje politování nad tím, že vzhledem ke skutečnosti, že je tato metodika uplatňována ex post, nemůže strukturálně ovlivňovat tvorbu politik v předběžné fázi ani shromažďování a přidělování finančních zdrojů, což je pro řádné začleňování rovnosti žen a mužů do programů EU zásadní;</w:t>
      </w:r>
    </w:p>
    <w:p w14:paraId="176967B9" w14:textId="77777777" w:rsidR="009C628C" w:rsidRPr="00A514A7" w:rsidRDefault="009C628C" w:rsidP="009C628C">
      <w:pPr>
        <w:pStyle w:val="Normal12a24b"/>
      </w:pPr>
      <w:r w:rsidRPr="00A514A7">
        <w:rPr>
          <w:rStyle w:val="BoldItalic"/>
        </w:rPr>
        <w:t>O širším přístupu k začleňování hlediska rovnosti žen a mužů do finančních programů EU</w:t>
      </w:r>
    </w:p>
    <w:p w14:paraId="41BCDBE1" w14:textId="77777777" w:rsidR="009C628C" w:rsidRPr="00A514A7" w:rsidRDefault="009C628C" w:rsidP="009C628C">
      <w:pPr>
        <w:pStyle w:val="NormalHanging12a"/>
      </w:pPr>
      <w:r w:rsidRPr="00A514A7">
        <w:t>20.</w:t>
      </w:r>
      <w:r w:rsidRPr="00A514A7">
        <w:tab/>
        <w:t>konstatuje, že vedle metodiky pro začleňování hlediska rovnosti žen a mužů uplatňované na rozpočet EU je rovnost žen a mužů zakotvena v právních základech některých programů EU, zatímco u jiných programů tomu tak není;</w:t>
      </w:r>
    </w:p>
    <w:p w14:paraId="054C1F02" w14:textId="77777777" w:rsidR="009C628C" w:rsidRPr="00A514A7" w:rsidRDefault="009C628C" w:rsidP="009C628C">
      <w:pPr>
        <w:pStyle w:val="NormalHanging12a"/>
      </w:pPr>
      <w:r w:rsidRPr="00A514A7">
        <w:t>21.</w:t>
      </w:r>
      <w:r w:rsidRPr="00A514A7">
        <w:tab/>
        <w:t xml:space="preserve">konstatuje, že ačkoli přístup Komise k začleňování hlediska rovnosti žen a mužů, který probíhá ve dvou rovinách, tj. je rozdělen mezi sledování rozpočtu EU a určování cílů </w:t>
      </w:r>
      <w:r w:rsidRPr="00A514A7">
        <w:lastRenderedPageBreak/>
        <w:t>stanovených v právních základech programů, je užitečným rámcem, tento přístup je roztříštěný a nemá tentýž dopad na všechny programy, čímž se snižuje soudržnost přístupu EU k rovnosti žen a mužů;</w:t>
      </w:r>
    </w:p>
    <w:p w14:paraId="544E4227" w14:textId="77777777" w:rsidR="009C628C" w:rsidRPr="00A514A7" w:rsidRDefault="009C628C" w:rsidP="009C628C">
      <w:pPr>
        <w:pStyle w:val="Normal12a24b"/>
        <w:rPr>
          <w:rStyle w:val="BoldItalic"/>
        </w:rPr>
      </w:pPr>
      <w:r w:rsidRPr="00A514A7">
        <w:rPr>
          <w:rStyle w:val="BoldItalic"/>
        </w:rPr>
        <w:t>Závěrečné připomínky</w:t>
      </w:r>
    </w:p>
    <w:p w14:paraId="594CB55F" w14:textId="77777777" w:rsidR="009C628C" w:rsidRPr="00A514A7" w:rsidRDefault="009C628C" w:rsidP="009C628C">
      <w:pPr>
        <w:pStyle w:val="NormalHanging12a"/>
      </w:pPr>
      <w:r w:rsidRPr="00A514A7">
        <w:t>22.</w:t>
      </w:r>
      <w:r w:rsidRPr="00A514A7">
        <w:tab/>
        <w:t>bere na vědomí hodnocení Komise týkající se začleňování hlediska rovnosti žen a mužů do rozpočtu EU</w:t>
      </w:r>
      <w:r w:rsidRPr="00A514A7">
        <w:rPr>
          <w:rStyle w:val="FootnoteReference"/>
        </w:rPr>
        <w:footnoteReference w:id="11"/>
      </w:r>
      <w:r w:rsidRPr="00A514A7">
        <w:t xml:space="preserve"> a sdílí názor, že ve zbývajících letech VFR na období 2021–2027 by mělo být prioritou pokračování v hodnocení programů, aby bylo možné lépe posoudit jejich přínos k rovnosti žen a mužů a získat poznatky z jejich provádění, a to s řádným využitím posíleného vykazování údajů rozčleněných podle pohlaví, které je zavedeno od roku 2023; zdůrazňuje, že je třeba posílit spolupráci se všemi členskými státy s cílem harmonizovat metodiky a zabránit případnému roztříštěnému přístupu a že je třeba také zlepšit shromažďování, agregaci a vykazování údajů;</w:t>
      </w:r>
    </w:p>
    <w:p w14:paraId="6ED6EA3B" w14:textId="77777777" w:rsidR="009C628C" w:rsidRPr="00A514A7" w:rsidRDefault="009C628C" w:rsidP="009C628C">
      <w:pPr>
        <w:pStyle w:val="NormalHanging12a"/>
      </w:pPr>
      <w:r w:rsidRPr="00A514A7">
        <w:t>23.</w:t>
      </w:r>
      <w:r w:rsidRPr="00A514A7">
        <w:tab/>
        <w:t>domnívá se, že i když je metodika vypracovaná Komisí užitečným nástrojem pro posuzování příspěvku rozpočtu EU k rovnosti žen a mužů, čelí omezením, která snižují její transformační účinek; zdůrazňuje, že je v tomto ohledu důležité zajistit dostupnost údajů a používání konkrétních, měřitelných, dosažitelných, relevantních a časově vymezených ukazatelů výkonnosti (SMART);</w:t>
      </w:r>
    </w:p>
    <w:p w14:paraId="45E4C8C7" w14:textId="77777777" w:rsidR="009C628C" w:rsidRPr="00A514A7" w:rsidRDefault="009C628C" w:rsidP="009C628C">
      <w:pPr>
        <w:pStyle w:val="NormalHanging12a"/>
      </w:pPr>
      <w:r w:rsidRPr="00A514A7">
        <w:t>24.</w:t>
      </w:r>
      <w:r w:rsidRPr="00A514A7">
        <w:tab/>
        <w:t>zdůrazňuje, že vzhledem k tomu, že na rozpočet EU dopadají četné krize a změny v politických prioritách, je nezbytné, aby genderové rozpočtování bylo již předem úměrně začleněno do jádra rozpočtového cyklu programů, a to i v nových prioritních oblastech, jako je konkurenceschopnost, obrana a připravenost;</w:t>
      </w:r>
    </w:p>
    <w:p w14:paraId="74F75122" w14:textId="77777777" w:rsidR="009C628C" w:rsidRPr="00A514A7" w:rsidRDefault="009C628C" w:rsidP="009C628C">
      <w:pPr>
        <w:pStyle w:val="NormalHanging12a"/>
      </w:pPr>
      <w:r w:rsidRPr="00A514A7">
        <w:t>25.</w:t>
      </w:r>
      <w:r w:rsidRPr="00A514A7">
        <w:tab/>
        <w:t xml:space="preserve">vyzývá Komisi, aby vybudovala plnohodnotný a soudržný přístup </w:t>
      </w:r>
      <w:proofErr w:type="gramStart"/>
      <w:r w:rsidRPr="00A514A7">
        <w:t>k</w:t>
      </w:r>
      <w:proofErr w:type="gramEnd"/>
      <w:r w:rsidRPr="00A514A7">
        <w:t> genderovému rozpočtování a vypracovala specifickou a komplexní metodiku pro rozpočet EU, která by byla plně funkční již na začátku příštího programového období a měla transformační potenciál, tj. mohla ovlivňovat celý rozpočtový cyklus a řešit problémy uvedené v tomto usnesení, aby bylo zajištěno řádné finanční řízení finančních prostředků EU;</w:t>
      </w:r>
    </w:p>
    <w:p w14:paraId="4EF07332" w14:textId="77777777" w:rsidR="009C628C" w:rsidRPr="00A514A7" w:rsidRDefault="009C628C" w:rsidP="009C628C">
      <w:pPr>
        <w:pStyle w:val="NormalHanging12a"/>
        <w:rPr>
          <w:bCs/>
          <w:iCs/>
        </w:rPr>
      </w:pPr>
      <w:r w:rsidRPr="00A514A7">
        <w:t>26.</w:t>
      </w:r>
      <w:r w:rsidRPr="00A514A7">
        <w:tab/>
        <w:t>zdůrazňuje, že nejen VFR, ale také každý nástroj přijatý podle článku 122 SFEU by měl uplatňovat ustanovení o začleňování hlediska rovnosti žen a mužů a genderovém rozpočtování, aniž by se změnily cíle programu či kritéria způsobilosti nebo kritéria pro přidělování prostředků, která byla již stanovena v odvětvových právních předpisech, aby bylo možné komplexně a důsledně sledovat, jak EU přispívá k prosazování rovnosti žen a mužů ve všech nástrojích financování;</w:t>
      </w:r>
    </w:p>
    <w:p w14:paraId="79802A17" w14:textId="77777777" w:rsidR="009C628C" w:rsidRPr="00A514A7" w:rsidRDefault="009C628C" w:rsidP="009C628C">
      <w:pPr>
        <w:pStyle w:val="NormalHanging12a"/>
      </w:pPr>
      <w:r w:rsidRPr="00A514A7">
        <w:t>27.</w:t>
      </w:r>
      <w:r w:rsidRPr="00A514A7">
        <w:tab/>
        <w:t>vyzývá Komisi, aby v souladu s pokyny pro zlepšování právní úpravy prováděla systematická posouzení dopadů ex ante, která rovněž analyzují konkrétní dopady politik a opatření fiskální politiky EU – včetně daňových režimů a programů státní podpory – na rovnost žen a mužů, s cílem identifikovat a zmírňovat rozdíly mezi ženami a muži; zdůrazňuje, že je rovněž třeba pečlivě zvážit sociální a hospodářské dopady zlepšení rovnosti žen a mužů a zároveň zohlednit administrativní náklady malých a středních podniků;</w:t>
      </w:r>
    </w:p>
    <w:p w14:paraId="44DBA7E5" w14:textId="049127F5" w:rsidR="009C628C" w:rsidRPr="00A514A7" w:rsidRDefault="009C628C" w:rsidP="009C628C">
      <w:pPr>
        <w:pStyle w:val="NormalHanging12a"/>
      </w:pPr>
      <w:r w:rsidRPr="00A514A7">
        <w:lastRenderedPageBreak/>
        <w:t>28.</w:t>
      </w:r>
      <w:r w:rsidRPr="00A514A7">
        <w:tab/>
      </w:r>
      <w:r w:rsidR="0094481D" w:rsidRPr="0094481D">
        <w:t>připomíná, že všechny legislativní návrhy EU musí být v souladu s primárním právem EU včetně zásady rovnosti žen a mužů; vyzývá Komisi, aby posílila svá předběžná posouzení dopadů s cílem pečlivě zvážit a minimalizovat případné negativní dopady na rovnost žen a mužů v EU při přípravě legislativních návrhů;</w:t>
      </w:r>
    </w:p>
    <w:p w14:paraId="39C4D9A1" w14:textId="59C9AFDE" w:rsidR="009C628C" w:rsidRPr="00A514A7" w:rsidRDefault="009C628C" w:rsidP="009C628C">
      <w:pPr>
        <w:pStyle w:val="NormalHanging12a"/>
      </w:pPr>
      <w:r w:rsidRPr="00A514A7">
        <w:t>29.</w:t>
      </w:r>
      <w:r w:rsidRPr="00A514A7">
        <w:tab/>
        <w:t>naléhavě vyzývá Komisi, aby jako standardní součást legislativních postupů EU zavedla „mechanismus na ochranu rovnosti žen a mužů“, který by vyžadoval revizi každého návrhu, u něhož by se na základě analýzy Účetního dvora ukázalo, že oslabuje strategii a cíle EU v oblasti rovnosti žen a mužů;</w:t>
      </w:r>
    </w:p>
    <w:p w14:paraId="4FDDBC5F" w14:textId="77777777" w:rsidR="009C628C" w:rsidRPr="00A514A7" w:rsidRDefault="009C628C" w:rsidP="009C628C">
      <w:pPr>
        <w:pStyle w:val="NormalHanging12a"/>
      </w:pPr>
      <w:r w:rsidRPr="00A514A7">
        <w:t>30.</w:t>
      </w:r>
      <w:r w:rsidRPr="00A514A7">
        <w:tab/>
        <w:t>vyjadřuje politování nad nerovnoměrným zastoupením žen a mužů mezi úředníky a politickými představiteli jak na úrovni EU, tak na úrovni členských států, což následně podkopává zásadu rovného zastoupení žen a mužů;</w:t>
      </w:r>
    </w:p>
    <w:p w14:paraId="08905BE9" w14:textId="07DA8F8D" w:rsidR="009C628C" w:rsidRPr="00A514A7" w:rsidRDefault="009C628C" w:rsidP="009C628C">
      <w:pPr>
        <w:pStyle w:val="NormalHanging12a"/>
      </w:pPr>
      <w:r w:rsidRPr="00A514A7">
        <w:t>31.</w:t>
      </w:r>
      <w:r w:rsidRPr="00A514A7">
        <w:tab/>
        <w:t>vyzývá Komisi, aby posoudila, zda je možné zavést další opatření v oblasti rovnosti žen a mužů na úrovni řízení, aby se tak prostřednictvím cílených režimů podpory mohli do tvorby politik dostatečně zapojit lidé všech pohlaví;</w:t>
      </w:r>
    </w:p>
    <w:p w14:paraId="2522B37E" w14:textId="48533F8B" w:rsidR="009C628C" w:rsidRPr="00A514A7" w:rsidRDefault="009C628C" w:rsidP="009C628C">
      <w:pPr>
        <w:pStyle w:val="NormalHanging12a"/>
      </w:pPr>
      <w:r w:rsidRPr="00A514A7">
        <w:t>32.</w:t>
      </w:r>
      <w:r w:rsidRPr="00A514A7">
        <w:tab/>
        <w:t>vyzývá Komisi, aby zajistila, že rovnosti žen a mužů jako hlavnímu cíli (což odpovídá skóre 2 ve stávající metodice) bude věnován minimální podíl rozpočtu EU;</w:t>
      </w:r>
    </w:p>
    <w:p w14:paraId="3F4CA4F1" w14:textId="77777777" w:rsidR="009C628C" w:rsidRPr="00A514A7" w:rsidRDefault="009C628C" w:rsidP="009C628C">
      <w:pPr>
        <w:pStyle w:val="NormalHanging12a"/>
        <w:rPr>
          <w:bCs/>
          <w:iCs/>
        </w:rPr>
      </w:pPr>
      <w:r w:rsidRPr="00A514A7">
        <w:t>33.</w:t>
      </w:r>
      <w:r w:rsidRPr="00A514A7">
        <w:tab/>
        <w:t>vybízí Komisi, aby prozkoumala možnost stanovit v příštím programovém období kvantitativní cíl pro část rozpočtu EU, která přispívá k prosazování rovnosti žen a mužů (což odpovídá skóre 2 nebo 1 ve stávající metodice), s tím, že podobné cíle se ukázaly jako užitečné při dosahování cílů EU v oblasti klimatu a biologické rozmanitosti;</w:t>
      </w:r>
    </w:p>
    <w:p w14:paraId="7A6085EB" w14:textId="77777777" w:rsidR="009C628C" w:rsidRPr="00A514A7" w:rsidRDefault="009C628C" w:rsidP="009C628C">
      <w:pPr>
        <w:pStyle w:val="NormalHanging12a"/>
      </w:pPr>
      <w:r w:rsidRPr="00A514A7">
        <w:t>34.</w:t>
      </w:r>
      <w:r w:rsidRPr="00A514A7">
        <w:tab/>
        <w:t>vyzývá Komisi a Radu, aby během jednání o příští generaci programů dodržovaly ustanovení obsažená v revidovaném finančním nařízení, konkrétně aby programy a činnosti, je-li to proveditelné a vhodné, byly prováděny v souladu s příslušnými odvětvovými pravidly, s ohledem na zásadu rovnosti žen a mužů a v souladu s příslušnou metodikou pro začleňování hlediska rovnosti žen a mužů;</w:t>
      </w:r>
    </w:p>
    <w:p w14:paraId="63FE7670" w14:textId="77777777" w:rsidR="009C628C" w:rsidRPr="00A514A7" w:rsidRDefault="009C628C" w:rsidP="009C628C">
      <w:pPr>
        <w:pStyle w:val="NormalHanging12a"/>
      </w:pPr>
      <w:r w:rsidRPr="00A514A7">
        <w:t>35.</w:t>
      </w:r>
      <w:r w:rsidRPr="00A514A7">
        <w:tab/>
        <w:t>domnívá se, že je v souladu s revidovaným finančním nařízením zásadní zajistit, aby příští generace programů zahrnovala cíle umožňující případné shromažďování údajů rozčleněných podle pohlaví a agregaci těchto údajů napříč všemi relevantními programy; vyzývá Komisi, aby dále rozvíjela a zlepšovala metodiku EU pro sledování toho, jak rozpočet EU přispívá k rovnosti žen a mužů, a to i prostřednictvím systematického používání digitálních nástrojů, jako je umělá inteligence, s cílem zlepšit shromažďování a agregaci údajů a jejich analýzu napříč programy;</w:t>
      </w:r>
    </w:p>
    <w:p w14:paraId="3412A072" w14:textId="77777777" w:rsidR="009C628C" w:rsidRPr="00A514A7" w:rsidRDefault="009C628C" w:rsidP="009C628C">
      <w:pPr>
        <w:pStyle w:val="NormalHanging12a"/>
      </w:pPr>
      <w:r w:rsidRPr="00A514A7">
        <w:t>36.</w:t>
      </w:r>
      <w:r w:rsidRPr="00A514A7">
        <w:tab/>
        <w:t>vyzývá všechny příslušné aktéry, včetně Rady, Komise, organizací občanské společnosti a dalších příslušných partnerů, aby usilovali o to, aby se genderové rozpočtování stalo v příštím programovém období skutečností;</w:t>
      </w:r>
    </w:p>
    <w:p w14:paraId="49A2159F" w14:textId="77777777" w:rsidR="009C628C" w:rsidRPr="00A514A7" w:rsidRDefault="009C628C" w:rsidP="009C628C">
      <w:pPr>
        <w:pStyle w:val="NormalHanging12a"/>
      </w:pPr>
      <w:r w:rsidRPr="00A514A7">
        <w:t>37.</w:t>
      </w:r>
      <w:r w:rsidRPr="00A514A7">
        <w:tab/>
        <w:t xml:space="preserve">vyzývá Komisi, aby na intervence, které přispívají k rovnosti žen a mužů a posilování postavení žen, přidělila větší část rozpočtu na vnější činnosti EU a aby v nadcházejícím VFR vyčlenila 25 % nástrojů EU pro financování vnější činnosti na podporu rovnosti žen a mužů jako hlavního cíle; dále vyzývá Komisi, aby zřídila zvláštní fond na podporu rovnosti žen a mužů po celém světě a zajistila, aby se opatření, která podporuje, zaměřovala na přístup k sexuálnímu a reprodukčnímu zdraví a právům, zvyšování účasti žen na rozhodování, podporu místních nevládních organizací vedených </w:t>
      </w:r>
      <w:r w:rsidRPr="00A514A7">
        <w:lastRenderedPageBreak/>
        <w:t>ženami a pomoc místním obránkyním lidských práv;</w:t>
      </w:r>
    </w:p>
    <w:p w14:paraId="6A24574A" w14:textId="77777777" w:rsidR="009C628C" w:rsidRPr="00A514A7" w:rsidRDefault="009C628C" w:rsidP="009C628C">
      <w:pPr>
        <w:pStyle w:val="NormalHanging12a"/>
      </w:pPr>
      <w:r w:rsidRPr="00A514A7">
        <w:t>38.</w:t>
      </w:r>
      <w:r w:rsidRPr="00A514A7">
        <w:tab/>
        <w:t>vyzývá Komisi, aby pro příští VFR stanovila jasné cíle, pokud jde o příspěvek ke zmenšení rozdílů v odměňování a důchodech žen a mužů a řešení otázky chudoby žen, a to i prostřednictvím lepších služeb péče o děti;</w:t>
      </w:r>
    </w:p>
    <w:p w14:paraId="0F35AC9E" w14:textId="77777777" w:rsidR="009C628C" w:rsidRPr="00A514A7" w:rsidRDefault="009C628C" w:rsidP="009C628C">
      <w:pPr>
        <w:pStyle w:val="NormalHanging12a"/>
        <w:rPr>
          <w:bCs/>
          <w:iCs/>
        </w:rPr>
      </w:pPr>
      <w:r w:rsidRPr="00A514A7">
        <w:t>39.</w:t>
      </w:r>
      <w:r w:rsidRPr="00A514A7">
        <w:tab/>
        <w:t>vyzývá Komisi, aby zajistila, že programy financované EU budou chránit a prosazovat práva žen, se zvláštním důrazem na přístup k veřejné zdravotní péči, na péči o děti a sexuální a reprodukční zdraví a práva;</w:t>
      </w:r>
    </w:p>
    <w:p w14:paraId="192BF11C" w14:textId="77777777" w:rsidR="009C628C" w:rsidRPr="00A514A7" w:rsidRDefault="009C628C" w:rsidP="009C628C">
      <w:pPr>
        <w:pStyle w:val="NormalHanging12a"/>
      </w:pPr>
      <w:r w:rsidRPr="00A514A7">
        <w:t>40.</w:t>
      </w:r>
      <w:r w:rsidRPr="00A514A7">
        <w:tab/>
        <w:t>vyzývá orgány EU, aby v souladu se zásadami směrnice o transparentnosti odměňování</w:t>
      </w:r>
      <w:r w:rsidRPr="00A514A7">
        <w:rPr>
          <w:rStyle w:val="FootnoteReference"/>
        </w:rPr>
        <w:footnoteReference w:id="12"/>
      </w:r>
      <w:r w:rsidRPr="00A514A7">
        <w:t xml:space="preserve"> analyzovaly své případné rozdíly v odměňování žen a mužů a podávaly o nich zprávy a aby v případě potřeby přijaly vhodná opatření; znovu vyzývá orgány, instituce a jiné subjekty EU, aby zajistily vyváženější zastoupení žen a mužů, zejména na úrovni vrcholného vedení; vyzývá orgány, instituce a jiné subjekty EU, aby provedly analýzu s cílem určit oblasti v rámci cyklu lidských zdrojů (od náboru až po přístup k povýšení), v nichž jsou tato zlepšení nejvíce zapotřebí, a aby prozkoumaly možnost zavedení dalších opatření k dosažení vyváženého zastoupení žen a mužů v nejkratším možném čase;</w:t>
      </w:r>
    </w:p>
    <w:p w14:paraId="45CD6C21" w14:textId="77777777" w:rsidR="009C628C" w:rsidRDefault="009C628C" w:rsidP="009C628C">
      <w:pPr>
        <w:pStyle w:val="NormalHanging12a"/>
        <w:rPr>
          <w:b/>
          <w:i/>
        </w:rPr>
      </w:pPr>
      <w:r w:rsidRPr="00A514A7">
        <w:t>41.</w:t>
      </w:r>
      <w:r w:rsidRPr="00A514A7">
        <w:tab/>
        <w:t>je si vědom přetrvávajících genderových rozdílů v některých odvětvích, v nichž tradičně převládají osoby jednoho pohlaví; vyzývá Komisi, aby uplatňovala genderové rozpočtování, a tím zajistila a monitorovala nediskriminační podmínky pro přístup k nezbytným dovednostem a vzdělávacím programům pro osoby všech pohlaví, a aby zlepšila rovnost žen a mužů v těchto konkrétních odvětvích v zájmu větší konkurenceschopnosti průmyslu; vyzývá k tomu, aby byla věnována zvláštní pozornost podnikatelkám, zejména v malých a středních podnicích a startupech, a to i prostřednictvím zvláštního monitorování v programech, jako je InvestEU a Horizont Evropa; vyzývá k posílení mechanismů monitorování a podávání zpráv s cílem zajistit, aby finanční prostředky byly skutečně ku prospěchu žen a marginalizovaných skupin;</w:t>
      </w:r>
      <w:r w:rsidRPr="00A514A7">
        <w:rPr>
          <w:b/>
          <w:i/>
        </w:rPr>
        <w:t xml:space="preserve"> </w:t>
      </w:r>
    </w:p>
    <w:p w14:paraId="1CA32B55" w14:textId="3AC20D8F" w:rsidR="00906F6E" w:rsidRDefault="00906F6E" w:rsidP="00906F6E">
      <w:pPr>
        <w:pStyle w:val="NormalHanging12a"/>
        <w:widowControl/>
        <w:ind w:left="0" w:firstLine="0"/>
        <w:jc w:val="center"/>
        <w:rPr>
          <w:b/>
          <w:i/>
        </w:rPr>
      </w:pPr>
      <w:r>
        <w:rPr>
          <w:b/>
          <w:i/>
        </w:rPr>
        <w:t>°</w:t>
      </w:r>
    </w:p>
    <w:p w14:paraId="22D3DCF3" w14:textId="34D01B83" w:rsidR="00906F6E" w:rsidRDefault="00906F6E" w:rsidP="00906F6E">
      <w:pPr>
        <w:pStyle w:val="NormalHanging12a"/>
        <w:widowControl/>
        <w:ind w:left="0" w:firstLine="0"/>
        <w:jc w:val="center"/>
        <w:rPr>
          <w:b/>
          <w:i/>
        </w:rPr>
      </w:pPr>
      <w:r>
        <w:rPr>
          <w:b/>
          <w:i/>
        </w:rPr>
        <w:t>°     °</w:t>
      </w:r>
    </w:p>
    <w:p w14:paraId="74BA073A" w14:textId="77777777" w:rsidR="009C628C" w:rsidRPr="00A514A7" w:rsidRDefault="009C628C" w:rsidP="009C628C">
      <w:pPr>
        <w:pStyle w:val="NormalHanging12a"/>
      </w:pPr>
      <w:r w:rsidRPr="00A514A7">
        <w:t>42.</w:t>
      </w:r>
      <w:r w:rsidRPr="00A514A7">
        <w:tab/>
        <w:t>pověřuje svou předsedkyni, aby předala toto usnesení Radě a Komisi.</w:t>
      </w:r>
    </w:p>
    <w:p w14:paraId="6DC30DD1" w14:textId="77777777" w:rsidR="009C628C" w:rsidRDefault="009C628C" w:rsidP="009C628C">
      <w:pPr>
        <w:pStyle w:val="NormalHanging12a"/>
      </w:pPr>
    </w:p>
    <w:sectPr w:rsidR="009C628C" w:rsidSect="00A514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600F1" w14:textId="77777777" w:rsidR="00776D87" w:rsidRPr="00A514A7" w:rsidRDefault="00776D87">
      <w:r w:rsidRPr="00A514A7">
        <w:separator/>
      </w:r>
    </w:p>
  </w:endnote>
  <w:endnote w:type="continuationSeparator" w:id="0">
    <w:p w14:paraId="62B9934A" w14:textId="77777777" w:rsidR="00776D87" w:rsidRPr="00A514A7" w:rsidRDefault="00776D87">
      <w:r w:rsidRPr="00A514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?a??fc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F52A1" w14:textId="77777777" w:rsidR="00064002" w:rsidRPr="00A514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6A140" w14:textId="77777777" w:rsidR="00064002" w:rsidRPr="00A514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4D6BC" w14:textId="77777777" w:rsidR="00064002" w:rsidRPr="00A514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92200" w14:textId="77777777" w:rsidR="00776D87" w:rsidRPr="00A514A7" w:rsidRDefault="00776D87">
      <w:r w:rsidRPr="00A514A7">
        <w:separator/>
      </w:r>
    </w:p>
  </w:footnote>
  <w:footnote w:type="continuationSeparator" w:id="0">
    <w:p w14:paraId="6C2C8BA9" w14:textId="77777777" w:rsidR="00776D87" w:rsidRPr="00A514A7" w:rsidRDefault="00776D87">
      <w:r w:rsidRPr="00A514A7">
        <w:continuationSeparator/>
      </w:r>
    </w:p>
  </w:footnote>
  <w:footnote w:id="1">
    <w:p w14:paraId="3161179B" w14:textId="14AEC4CD" w:rsidR="009C628C" w:rsidRPr="00A514A7" w:rsidRDefault="009C628C" w:rsidP="00A514A7">
      <w:pPr>
        <w:pStyle w:val="FootnoteText"/>
        <w:ind w:left="567" w:hanging="567"/>
        <w:rPr>
          <w:color w:val="0000FF"/>
          <w:sz w:val="24"/>
          <w:u w:val="single" w:color="0000FF"/>
          <w:lang w:val="cs-CZ"/>
        </w:rPr>
      </w:pPr>
      <w:r w:rsidRPr="00A514A7">
        <w:rPr>
          <w:rStyle w:val="FootnoteReference"/>
          <w:color w:val="000000" w:themeColor="text1"/>
          <w:sz w:val="24"/>
          <w:lang w:val="cs-CZ"/>
        </w:rPr>
        <w:footnoteRef/>
      </w:r>
      <w:r w:rsidR="00A514A7" w:rsidRPr="00A514A7">
        <w:rPr>
          <w:color w:val="000000" w:themeColor="text1"/>
          <w:sz w:val="24"/>
          <w:lang w:val="cs-CZ"/>
        </w:rPr>
        <w:t xml:space="preserve"> </w:t>
      </w:r>
      <w:r w:rsidR="00A514A7" w:rsidRPr="00A514A7">
        <w:rPr>
          <w:color w:val="000000" w:themeColor="text1"/>
          <w:sz w:val="24"/>
          <w:lang w:val="cs-CZ"/>
        </w:rPr>
        <w:tab/>
      </w:r>
      <w:r w:rsidRPr="00A514A7">
        <w:rPr>
          <w:color w:val="000000" w:themeColor="text1"/>
          <w:sz w:val="24"/>
          <w:lang w:val="cs-CZ"/>
        </w:rPr>
        <w:t>Úř. věst. L, 2024/765, 29.2.2024, ELI:</w:t>
      </w:r>
      <w:r w:rsidRPr="00A514A7">
        <w:rPr>
          <w:color w:val="0000FF"/>
          <w:sz w:val="24"/>
          <w:u w:val="single" w:color="0000FF"/>
          <w:lang w:val="cs-CZ"/>
        </w:rPr>
        <w:t xml:space="preserve"> </w:t>
      </w:r>
      <w:bookmarkStart w:id="7" w:name="_Hlk213075500"/>
      <w:r w:rsidRPr="00A514A7">
        <w:rPr>
          <w:color w:val="0000FF"/>
          <w:sz w:val="24"/>
          <w:u w:val="single" w:color="0000FF"/>
          <w:lang w:val="cs-CZ"/>
        </w:rPr>
        <w:t>https://data.europa.eu/eli/reg/2024/765/oj.</w:t>
      </w:r>
    </w:p>
    <w:bookmarkEnd w:id="7"/>
  </w:footnote>
  <w:footnote w:id="2">
    <w:p w14:paraId="74D36D6C" w14:textId="3B393B1E" w:rsidR="009C628C" w:rsidRPr="00A514A7" w:rsidRDefault="009C628C" w:rsidP="00A514A7">
      <w:pPr>
        <w:pStyle w:val="FootnoteText"/>
        <w:ind w:left="567" w:hanging="567"/>
        <w:rPr>
          <w:sz w:val="24"/>
          <w:lang w:val="cs-CZ"/>
        </w:rPr>
      </w:pPr>
      <w:r w:rsidRPr="00A514A7">
        <w:rPr>
          <w:rStyle w:val="FootnoteReference"/>
          <w:sz w:val="24"/>
          <w:lang w:val="cs-CZ"/>
        </w:rPr>
        <w:footnoteRef/>
      </w:r>
      <w:r w:rsidR="00A514A7" w:rsidRPr="00A514A7">
        <w:rPr>
          <w:sz w:val="24"/>
          <w:lang w:val="cs-CZ"/>
        </w:rPr>
        <w:t xml:space="preserve"> </w:t>
      </w:r>
      <w:r w:rsidR="00A514A7" w:rsidRPr="00A514A7">
        <w:rPr>
          <w:sz w:val="24"/>
          <w:lang w:val="cs-CZ"/>
        </w:rPr>
        <w:tab/>
      </w:r>
      <w:r w:rsidRPr="00A514A7">
        <w:rPr>
          <w:sz w:val="24"/>
          <w:lang w:val="cs-CZ"/>
        </w:rPr>
        <w:t>Úř. věst. L 325, 20.12.2022, s. 11, ELI:</w:t>
      </w:r>
      <w:hyperlink r:id="rId1" w:history="1">
        <w:r w:rsidRPr="00A514A7">
          <w:rPr>
            <w:rStyle w:val="Hyperlink"/>
            <w:sz w:val="24"/>
            <w:lang w:val="cs-CZ"/>
          </w:rPr>
          <w:t>https://data.europa.eu/eli/reg/2022/2496/oj</w:t>
        </w:r>
      </w:hyperlink>
      <w:r w:rsidRPr="00A514A7">
        <w:rPr>
          <w:color w:val="000000" w:themeColor="text1"/>
          <w:sz w:val="24"/>
          <w:lang w:val="cs-CZ"/>
        </w:rPr>
        <w:t>.</w:t>
      </w:r>
    </w:p>
  </w:footnote>
  <w:footnote w:id="3">
    <w:p w14:paraId="6E19B973" w14:textId="1D9DC425" w:rsidR="009C628C" w:rsidRPr="00A514A7" w:rsidRDefault="009C628C" w:rsidP="00A514A7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A514A7">
        <w:rPr>
          <w:rStyle w:val="FootnoteReference"/>
          <w:sz w:val="24"/>
          <w:lang w:val="cs-CZ"/>
        </w:rPr>
        <w:footnoteRef/>
      </w:r>
      <w:r w:rsidR="00A514A7" w:rsidRPr="00A514A7">
        <w:rPr>
          <w:sz w:val="24"/>
          <w:lang w:val="cs-CZ"/>
        </w:rPr>
        <w:t xml:space="preserve"> </w:t>
      </w:r>
      <w:r w:rsidR="00A514A7" w:rsidRPr="00A514A7">
        <w:rPr>
          <w:sz w:val="24"/>
          <w:lang w:val="cs-CZ"/>
        </w:rPr>
        <w:tab/>
      </w:r>
      <w:r w:rsidRPr="00A514A7">
        <w:rPr>
          <w:sz w:val="24"/>
          <w:lang w:val="cs-CZ"/>
        </w:rPr>
        <w:t>Úř. věst L 433</w:t>
      </w:r>
      <w:r w:rsidR="00116B68">
        <w:rPr>
          <w:sz w:val="24"/>
          <w:lang w:val="cs-CZ"/>
        </w:rPr>
        <w:t xml:space="preserve"> </w:t>
      </w:r>
      <w:r w:rsidRPr="00A514A7">
        <w:rPr>
          <w:sz w:val="24"/>
          <w:lang w:val="cs-CZ"/>
        </w:rPr>
        <w:t xml:space="preserve">I, 22.12.2020, s. 11, ELI: </w:t>
      </w:r>
      <w:hyperlink r:id="rId2" w:history="1">
        <w:r w:rsidRPr="00A514A7">
          <w:rPr>
            <w:rStyle w:val="Hyperlink"/>
            <w:sz w:val="24"/>
            <w:lang w:val="cs-CZ"/>
          </w:rPr>
          <w:t>https://data.europa.eu/eli/reg/2020/2093/oj</w:t>
        </w:r>
      </w:hyperlink>
      <w:r w:rsidRPr="00A514A7">
        <w:rPr>
          <w:sz w:val="24"/>
          <w:lang w:val="cs-CZ"/>
        </w:rPr>
        <w:t>.</w:t>
      </w:r>
    </w:p>
  </w:footnote>
  <w:footnote w:id="4">
    <w:p w14:paraId="6BEC5C4C" w14:textId="2075A068" w:rsidR="009C628C" w:rsidRPr="00A514A7" w:rsidRDefault="009C628C" w:rsidP="00A514A7">
      <w:pPr>
        <w:pStyle w:val="FootnoteText"/>
        <w:ind w:left="567" w:hanging="567"/>
        <w:rPr>
          <w:sz w:val="24"/>
          <w:lang w:val="cs-CZ"/>
        </w:rPr>
      </w:pPr>
      <w:r w:rsidRPr="00A514A7">
        <w:rPr>
          <w:rStyle w:val="FootnoteReference"/>
          <w:color w:val="000000" w:themeColor="text1"/>
          <w:sz w:val="24"/>
          <w:lang w:val="cs-CZ"/>
        </w:rPr>
        <w:footnoteRef/>
      </w:r>
      <w:r w:rsidR="00A514A7" w:rsidRPr="00A514A7">
        <w:rPr>
          <w:sz w:val="24"/>
          <w:lang w:val="cs-CZ"/>
        </w:rPr>
        <w:t xml:space="preserve"> </w:t>
      </w:r>
      <w:r w:rsidR="00A514A7" w:rsidRPr="00A514A7">
        <w:rPr>
          <w:sz w:val="24"/>
          <w:lang w:val="cs-CZ"/>
        </w:rPr>
        <w:tab/>
      </w:r>
      <w:r w:rsidRPr="00A514A7">
        <w:rPr>
          <w:sz w:val="24"/>
          <w:lang w:val="cs-CZ"/>
        </w:rPr>
        <w:t>Úř. věst</w:t>
      </w:r>
      <w:r w:rsidRPr="00A514A7">
        <w:rPr>
          <w:color w:val="000000" w:themeColor="text1"/>
          <w:sz w:val="24"/>
          <w:lang w:val="cs-CZ"/>
        </w:rPr>
        <w:t xml:space="preserve"> C, C/2024/1195, 23.2.2024, ELI:</w:t>
      </w:r>
      <w:r w:rsidRPr="00A514A7">
        <w:rPr>
          <w:color w:val="000000" w:themeColor="text1"/>
          <w:sz w:val="24"/>
          <w:u w:val="single" w:color="0000FF"/>
          <w:lang w:val="cs-CZ"/>
        </w:rPr>
        <w:t xml:space="preserve"> </w:t>
      </w:r>
      <w:hyperlink r:id="rId3" w:history="1">
        <w:r w:rsidRPr="00A514A7">
          <w:rPr>
            <w:rStyle w:val="Hyperlink"/>
            <w:sz w:val="24"/>
            <w:lang w:val="cs-CZ"/>
          </w:rPr>
          <w:t>http://data.europa.eu/eli/C/2024/1195/oj</w:t>
        </w:r>
      </w:hyperlink>
      <w:r w:rsidRPr="00A514A7">
        <w:rPr>
          <w:color w:val="000000" w:themeColor="text1"/>
          <w:sz w:val="24"/>
          <w:lang w:val="cs-CZ"/>
        </w:rPr>
        <w:t>.</w:t>
      </w:r>
    </w:p>
  </w:footnote>
  <w:footnote w:id="5">
    <w:p w14:paraId="659DC29F" w14:textId="56EF78FD" w:rsidR="009C628C" w:rsidRPr="00A514A7" w:rsidRDefault="009C628C" w:rsidP="00A514A7">
      <w:pPr>
        <w:pStyle w:val="FootnoteText"/>
        <w:ind w:left="567" w:hanging="567"/>
        <w:rPr>
          <w:sz w:val="24"/>
          <w:lang w:val="cs-CZ"/>
        </w:rPr>
      </w:pPr>
      <w:r w:rsidRPr="00A514A7">
        <w:rPr>
          <w:rStyle w:val="FootnoteReference"/>
          <w:sz w:val="24"/>
          <w:lang w:val="cs-CZ"/>
        </w:rPr>
        <w:footnoteRef/>
      </w:r>
      <w:r w:rsidR="00A514A7" w:rsidRPr="00A514A7">
        <w:rPr>
          <w:sz w:val="24"/>
          <w:lang w:val="cs-CZ"/>
        </w:rPr>
        <w:t xml:space="preserve"> </w:t>
      </w:r>
      <w:r w:rsidR="00A514A7" w:rsidRPr="00A514A7">
        <w:rPr>
          <w:sz w:val="24"/>
          <w:lang w:val="cs-CZ"/>
        </w:rPr>
        <w:tab/>
      </w:r>
      <w:r w:rsidRPr="00A514A7">
        <w:rPr>
          <w:sz w:val="24"/>
          <w:lang w:val="cs-CZ"/>
        </w:rPr>
        <w:t>Úř. věst L 433</w:t>
      </w:r>
      <w:r w:rsidR="00116B68">
        <w:rPr>
          <w:sz w:val="24"/>
          <w:lang w:val="cs-CZ"/>
        </w:rPr>
        <w:t xml:space="preserve"> </w:t>
      </w:r>
      <w:r w:rsidRPr="00A514A7">
        <w:rPr>
          <w:sz w:val="24"/>
          <w:lang w:val="cs-CZ"/>
        </w:rPr>
        <w:t xml:space="preserve">I, 22.12.2020, s. 28, ELI: </w:t>
      </w:r>
      <w:hyperlink r:id="rId4" w:history="1">
        <w:r w:rsidRPr="00A514A7">
          <w:rPr>
            <w:rStyle w:val="Hyperlink"/>
            <w:sz w:val="24"/>
            <w:lang w:val="cs-CZ"/>
          </w:rPr>
          <w:t>https://data.europa.eu/eli/agree_interinstit/2020/1222/oj</w:t>
        </w:r>
      </w:hyperlink>
      <w:r w:rsidRPr="00A514A7">
        <w:rPr>
          <w:sz w:val="24"/>
          <w:lang w:val="cs-CZ"/>
        </w:rPr>
        <w:t>.</w:t>
      </w:r>
    </w:p>
  </w:footnote>
  <w:footnote w:id="6">
    <w:p w14:paraId="70404711" w14:textId="3C0153E2" w:rsidR="009C628C" w:rsidRPr="00A514A7" w:rsidRDefault="009C628C" w:rsidP="00A514A7">
      <w:pPr>
        <w:pStyle w:val="FootnoteText"/>
        <w:ind w:left="567" w:hanging="567"/>
        <w:rPr>
          <w:color w:val="000000" w:themeColor="text1"/>
          <w:sz w:val="24"/>
          <w:u w:val="single" w:color="0000FF"/>
          <w:lang w:val="cs-CZ"/>
        </w:rPr>
      </w:pPr>
      <w:r w:rsidRPr="00A514A7">
        <w:rPr>
          <w:rStyle w:val="FootnoteReference"/>
          <w:color w:val="000000" w:themeColor="text1"/>
          <w:sz w:val="24"/>
          <w:lang w:val="cs-CZ"/>
        </w:rPr>
        <w:footnoteRef/>
      </w:r>
      <w:r w:rsidR="00A514A7" w:rsidRPr="00A514A7">
        <w:rPr>
          <w:sz w:val="24"/>
          <w:lang w:val="cs-CZ"/>
        </w:rPr>
        <w:t xml:space="preserve"> </w:t>
      </w:r>
      <w:r w:rsidR="00A514A7" w:rsidRPr="00A514A7">
        <w:rPr>
          <w:sz w:val="24"/>
          <w:lang w:val="cs-CZ"/>
        </w:rPr>
        <w:tab/>
      </w:r>
      <w:r w:rsidRPr="00A514A7">
        <w:rPr>
          <w:sz w:val="24"/>
          <w:lang w:val="cs-CZ"/>
        </w:rPr>
        <w:t>Úř. věst</w:t>
      </w:r>
      <w:r w:rsidRPr="00A514A7">
        <w:rPr>
          <w:color w:val="000000" w:themeColor="text1"/>
          <w:sz w:val="24"/>
          <w:lang w:val="cs-CZ"/>
        </w:rPr>
        <w:t xml:space="preserve"> L, 2024/2509, 26.9.2024, ELI:</w:t>
      </w:r>
      <w:r w:rsidRPr="00A514A7">
        <w:rPr>
          <w:color w:val="000000" w:themeColor="text1"/>
          <w:sz w:val="24"/>
          <w:u w:val="single" w:color="0000FF"/>
          <w:lang w:val="cs-CZ"/>
        </w:rPr>
        <w:t xml:space="preserve"> </w:t>
      </w:r>
      <w:hyperlink r:id="rId5" w:history="1">
        <w:r w:rsidRPr="00A514A7">
          <w:rPr>
            <w:rStyle w:val="Hyperlink"/>
            <w:sz w:val="24"/>
            <w:lang w:val="cs-CZ"/>
          </w:rPr>
          <w:t>https://data.europa.eu/eli/reg/2024/2509/oj</w:t>
        </w:r>
      </w:hyperlink>
      <w:r w:rsidRPr="00A514A7">
        <w:rPr>
          <w:color w:val="000000" w:themeColor="text1"/>
          <w:sz w:val="24"/>
          <w:lang w:val="cs-CZ"/>
        </w:rPr>
        <w:t>.</w:t>
      </w:r>
    </w:p>
  </w:footnote>
  <w:footnote w:id="7">
    <w:p w14:paraId="6CF35A4C" w14:textId="01A32F53" w:rsidR="009C628C" w:rsidRPr="00A514A7" w:rsidRDefault="009C628C" w:rsidP="00A514A7">
      <w:pPr>
        <w:pStyle w:val="FootnoteText"/>
        <w:ind w:left="567" w:hanging="567"/>
        <w:rPr>
          <w:sz w:val="24"/>
          <w:lang w:val="cs-CZ"/>
        </w:rPr>
      </w:pPr>
      <w:r w:rsidRPr="00A514A7">
        <w:rPr>
          <w:rStyle w:val="FootnoteReference"/>
          <w:sz w:val="24"/>
          <w:lang w:val="cs-CZ"/>
        </w:rPr>
        <w:footnoteRef/>
      </w:r>
      <w:r w:rsidR="00A514A7" w:rsidRPr="00A514A7">
        <w:rPr>
          <w:sz w:val="24"/>
          <w:lang w:val="cs-CZ"/>
        </w:rPr>
        <w:t xml:space="preserve"> </w:t>
      </w:r>
      <w:r w:rsidR="00A514A7" w:rsidRPr="00A514A7">
        <w:rPr>
          <w:sz w:val="24"/>
          <w:lang w:val="cs-CZ"/>
        </w:rPr>
        <w:tab/>
      </w:r>
      <w:r w:rsidRPr="00A514A7">
        <w:rPr>
          <w:sz w:val="24"/>
          <w:lang w:val="cs-CZ"/>
        </w:rPr>
        <w:t>Úř. věst C 456, 10.11.2021, s. 208.</w:t>
      </w:r>
    </w:p>
  </w:footnote>
  <w:footnote w:id="8">
    <w:p w14:paraId="4EDC1104" w14:textId="027F4DD6" w:rsidR="009C628C" w:rsidRPr="00A514A7" w:rsidRDefault="009C628C" w:rsidP="00A514A7">
      <w:pPr>
        <w:pStyle w:val="FootnoteText"/>
        <w:ind w:left="567" w:hanging="567"/>
        <w:rPr>
          <w:sz w:val="24"/>
          <w:lang w:val="cs-CZ"/>
        </w:rPr>
      </w:pPr>
      <w:r w:rsidRPr="00A514A7">
        <w:rPr>
          <w:rStyle w:val="FootnoteReference"/>
          <w:sz w:val="24"/>
          <w:lang w:val="cs-CZ"/>
        </w:rPr>
        <w:footnoteRef/>
      </w:r>
      <w:r w:rsidR="00A514A7" w:rsidRPr="00A514A7">
        <w:rPr>
          <w:sz w:val="24"/>
          <w:lang w:val="cs-CZ"/>
        </w:rPr>
        <w:t xml:space="preserve"> </w:t>
      </w:r>
      <w:r w:rsidR="00A514A7" w:rsidRPr="00A514A7">
        <w:rPr>
          <w:sz w:val="24"/>
          <w:lang w:val="cs-CZ"/>
        </w:rPr>
        <w:tab/>
      </w:r>
      <w:r w:rsidRPr="00A514A7">
        <w:rPr>
          <w:sz w:val="24"/>
          <w:lang w:val="cs-CZ"/>
        </w:rPr>
        <w:t>Úř. věst C 347, 9.9.2022, s. 139.</w:t>
      </w:r>
    </w:p>
  </w:footnote>
  <w:footnote w:id="9">
    <w:p w14:paraId="6B85A695" w14:textId="066E647C" w:rsidR="009C628C" w:rsidRPr="00A514A7" w:rsidRDefault="009C628C" w:rsidP="00A514A7">
      <w:pPr>
        <w:pStyle w:val="FootnoteText"/>
        <w:ind w:left="567" w:hanging="567"/>
        <w:rPr>
          <w:sz w:val="24"/>
          <w:lang w:val="cs-CZ"/>
        </w:rPr>
      </w:pPr>
      <w:r w:rsidRPr="00A514A7">
        <w:rPr>
          <w:rStyle w:val="FootnoteReference"/>
          <w:sz w:val="24"/>
          <w:lang w:val="cs-CZ"/>
        </w:rPr>
        <w:footnoteRef/>
      </w:r>
      <w:bookmarkStart w:id="8" w:name="_Hlk213073209"/>
      <w:r w:rsidR="00A514A7" w:rsidRPr="00A514A7">
        <w:rPr>
          <w:sz w:val="24"/>
          <w:lang w:val="cs-CZ"/>
        </w:rPr>
        <w:t xml:space="preserve"> </w:t>
      </w:r>
      <w:r w:rsidR="00A514A7" w:rsidRPr="00A514A7">
        <w:rPr>
          <w:sz w:val="24"/>
          <w:lang w:val="cs-CZ"/>
        </w:rPr>
        <w:tab/>
      </w:r>
      <w:r w:rsidRPr="00A514A7">
        <w:rPr>
          <w:sz w:val="24"/>
          <w:lang w:val="cs-CZ"/>
        </w:rPr>
        <w:t xml:space="preserve">Úř. věst C, C/2025/4382, 9.9.2025, </w:t>
      </w:r>
      <w:bookmarkEnd w:id="8"/>
      <w:r w:rsidRPr="00A514A7">
        <w:rPr>
          <w:sz w:val="24"/>
          <w:lang w:val="cs-CZ"/>
        </w:rPr>
        <w:t>ELI: </w:t>
      </w:r>
      <w:hyperlink r:id="rId6" w:history="1">
        <w:r w:rsidRPr="00A514A7">
          <w:rPr>
            <w:rStyle w:val="Hyperlink"/>
            <w:sz w:val="24"/>
            <w:lang w:val="cs-CZ"/>
          </w:rPr>
          <w:t>http://data.europa.eu/eli/C/2025/4382/oj</w:t>
        </w:r>
      </w:hyperlink>
      <w:r w:rsidRPr="00A514A7">
        <w:rPr>
          <w:sz w:val="24"/>
          <w:lang w:val="cs-CZ"/>
        </w:rPr>
        <w:t>.</w:t>
      </w:r>
    </w:p>
  </w:footnote>
  <w:footnote w:id="10">
    <w:p w14:paraId="0154A40F" w14:textId="42E52FE5" w:rsidR="009C628C" w:rsidRPr="00A514A7" w:rsidRDefault="009C628C" w:rsidP="00A514A7">
      <w:pPr>
        <w:pStyle w:val="FootnoteText"/>
        <w:ind w:left="567" w:hanging="567"/>
        <w:rPr>
          <w:sz w:val="24"/>
          <w:lang w:val="cs-CZ"/>
        </w:rPr>
      </w:pPr>
      <w:r w:rsidRPr="00A514A7">
        <w:rPr>
          <w:rStyle w:val="FootnoteReference"/>
          <w:sz w:val="24"/>
          <w:lang w:val="cs-CZ"/>
        </w:rPr>
        <w:footnoteRef/>
      </w:r>
      <w:r w:rsidR="00A514A7" w:rsidRPr="00A514A7">
        <w:rPr>
          <w:sz w:val="24"/>
          <w:lang w:val="cs-CZ"/>
        </w:rPr>
        <w:t xml:space="preserve"> </w:t>
      </w:r>
      <w:r w:rsidR="00A514A7" w:rsidRPr="00A514A7">
        <w:rPr>
          <w:sz w:val="24"/>
          <w:lang w:val="cs-CZ"/>
        </w:rPr>
        <w:tab/>
      </w:r>
      <w:r w:rsidRPr="00A514A7">
        <w:rPr>
          <w:sz w:val="24"/>
          <w:lang w:val="cs-CZ"/>
        </w:rPr>
        <w:t>Přijaté texty, P10_TA(2025)0090.</w:t>
      </w:r>
    </w:p>
  </w:footnote>
  <w:footnote w:id="11">
    <w:p w14:paraId="272685BA" w14:textId="5DAA94AD" w:rsidR="009C628C" w:rsidRPr="00A514A7" w:rsidRDefault="009C628C" w:rsidP="00A514A7">
      <w:pPr>
        <w:pStyle w:val="FootnoteText"/>
        <w:ind w:left="567" w:hanging="567"/>
        <w:rPr>
          <w:sz w:val="24"/>
          <w:lang w:val="cs-CZ"/>
        </w:rPr>
      </w:pPr>
      <w:r w:rsidRPr="00A514A7">
        <w:rPr>
          <w:rStyle w:val="FootnoteReference"/>
          <w:sz w:val="24"/>
          <w:lang w:val="cs-CZ"/>
        </w:rPr>
        <w:footnoteRef/>
      </w:r>
      <w:r w:rsidR="00A514A7" w:rsidRPr="00A514A7">
        <w:rPr>
          <w:sz w:val="24"/>
          <w:lang w:val="cs-CZ"/>
        </w:rPr>
        <w:t xml:space="preserve"> </w:t>
      </w:r>
      <w:r w:rsidR="00A514A7" w:rsidRPr="00A514A7">
        <w:rPr>
          <w:sz w:val="24"/>
          <w:lang w:val="cs-CZ"/>
        </w:rPr>
        <w:tab/>
      </w:r>
      <w:r w:rsidRPr="00A514A7">
        <w:rPr>
          <w:sz w:val="24"/>
          <w:lang w:val="cs-CZ"/>
        </w:rPr>
        <w:t>Zpráva o posouzení dopadů připojená k návrhu nařízení, kterým se stanoví rámec pro sledování rozpočtových výdajů a výkonnost a další horizontální pravidla programů a činností Unie, předloženému Komisí (COM</w:t>
      </w:r>
      <w:r w:rsidR="00116B68">
        <w:rPr>
          <w:sz w:val="24"/>
          <w:lang w:val="cs-CZ"/>
        </w:rPr>
        <w:t>(</w:t>
      </w:r>
      <w:r w:rsidRPr="00A514A7">
        <w:rPr>
          <w:sz w:val="24"/>
          <w:lang w:val="cs-CZ"/>
        </w:rPr>
        <w:t>2025</w:t>
      </w:r>
      <w:r w:rsidR="00116B68">
        <w:rPr>
          <w:sz w:val="24"/>
          <w:lang w:val="cs-CZ"/>
        </w:rPr>
        <w:t>)</w:t>
      </w:r>
      <w:r w:rsidRPr="00A514A7">
        <w:rPr>
          <w:sz w:val="24"/>
          <w:lang w:val="cs-CZ"/>
        </w:rPr>
        <w:t>0545).</w:t>
      </w:r>
    </w:p>
  </w:footnote>
  <w:footnote w:id="12">
    <w:p w14:paraId="0BE505D8" w14:textId="1B29316D" w:rsidR="009C628C" w:rsidRPr="00A514A7" w:rsidRDefault="009C628C" w:rsidP="00A514A7">
      <w:pPr>
        <w:pStyle w:val="FootnoteText"/>
        <w:ind w:left="567" w:hanging="567"/>
        <w:rPr>
          <w:sz w:val="24"/>
          <w:lang w:val="cs-CZ"/>
        </w:rPr>
      </w:pPr>
      <w:r w:rsidRPr="00A514A7">
        <w:rPr>
          <w:rStyle w:val="FootnoteReference"/>
          <w:sz w:val="24"/>
          <w:lang w:val="cs-CZ"/>
        </w:rPr>
        <w:footnoteRef/>
      </w:r>
      <w:r w:rsidR="00A514A7" w:rsidRPr="00A514A7">
        <w:rPr>
          <w:sz w:val="24"/>
          <w:lang w:val="cs-CZ"/>
        </w:rPr>
        <w:t xml:space="preserve"> </w:t>
      </w:r>
      <w:r w:rsidR="00A514A7" w:rsidRPr="00A514A7">
        <w:rPr>
          <w:sz w:val="24"/>
          <w:lang w:val="cs-CZ"/>
        </w:rPr>
        <w:tab/>
      </w:r>
      <w:r w:rsidRPr="00A514A7">
        <w:rPr>
          <w:sz w:val="24"/>
          <w:lang w:val="cs-CZ"/>
        </w:rPr>
        <w:t xml:space="preserve">Směrnice Evropského parlamentu a Rady (EU) 2023/970 ze dne 10. května 2023, kterou se posiluje uplatňování zásady stejné odměny mužů a žen za stejnou práci nebo práci stejné hodnoty prostřednictvím transparentnosti odměňování a mechanismů </w:t>
      </w:r>
      <w:r w:rsidRPr="00906F6E">
        <w:rPr>
          <w:sz w:val="24"/>
          <w:lang w:val="cs-CZ"/>
        </w:rPr>
        <w:t>prosazování</w:t>
      </w:r>
      <w:r w:rsidR="00906F6E" w:rsidRPr="00906F6E">
        <w:rPr>
          <w:sz w:val="24"/>
          <w:lang w:val="cs-CZ"/>
        </w:rPr>
        <w:t xml:space="preserve"> </w:t>
      </w:r>
      <w:r w:rsidR="00906F6E" w:rsidRPr="0094481D">
        <w:rPr>
          <w:sz w:val="24"/>
          <w:lang w:val="cs-CZ"/>
        </w:rPr>
        <w:t xml:space="preserve">(Úř. věst. </w:t>
      </w:r>
      <w:r w:rsidR="00906F6E" w:rsidRPr="0094481D">
        <w:rPr>
          <w:sz w:val="24"/>
          <w:lang w:val="fi-FI"/>
        </w:rPr>
        <w:t xml:space="preserve">L 132, 17.5.2023, s. 21, ELI: </w:t>
      </w:r>
      <w:hyperlink r:id="rId7" w:history="1">
        <w:r w:rsidR="00906F6E" w:rsidRPr="0094481D">
          <w:rPr>
            <w:rStyle w:val="Hyperlink"/>
            <w:sz w:val="24"/>
            <w:lang w:val="fi-FI"/>
          </w:rPr>
          <w:t>http://data.europa.eu/eli/dir/2023/970/oj</w:t>
        </w:r>
      </w:hyperlink>
      <w:r w:rsidR="00906F6E" w:rsidRPr="0094481D">
        <w:rPr>
          <w:sz w:val="24"/>
          <w:lang w:val="fi-F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FBE40" w14:textId="77777777" w:rsidR="00064002" w:rsidRPr="00A514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CF62E" w14:textId="77777777" w:rsidR="00064002" w:rsidRPr="00A514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464F7" w14:textId="77777777" w:rsidR="00064002" w:rsidRPr="00A514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0563617">
    <w:abstractNumId w:val="9"/>
  </w:num>
  <w:num w:numId="2" w16cid:durableId="901018314">
    <w:abstractNumId w:val="9"/>
  </w:num>
  <w:num w:numId="3" w16cid:durableId="2066247397">
    <w:abstractNumId w:val="7"/>
  </w:num>
  <w:num w:numId="4" w16cid:durableId="832796598">
    <w:abstractNumId w:val="7"/>
  </w:num>
  <w:num w:numId="5" w16cid:durableId="2050638942">
    <w:abstractNumId w:val="6"/>
  </w:num>
  <w:num w:numId="6" w16cid:durableId="761339599">
    <w:abstractNumId w:val="6"/>
  </w:num>
  <w:num w:numId="7" w16cid:durableId="556208597">
    <w:abstractNumId w:val="5"/>
  </w:num>
  <w:num w:numId="8" w16cid:durableId="227569843">
    <w:abstractNumId w:val="5"/>
  </w:num>
  <w:num w:numId="9" w16cid:durableId="1093550727">
    <w:abstractNumId w:val="4"/>
  </w:num>
  <w:num w:numId="10" w16cid:durableId="94445484">
    <w:abstractNumId w:val="4"/>
  </w:num>
  <w:num w:numId="11" w16cid:durableId="1138649171">
    <w:abstractNumId w:val="8"/>
  </w:num>
  <w:num w:numId="12" w16cid:durableId="215315879">
    <w:abstractNumId w:val="8"/>
  </w:num>
  <w:num w:numId="13" w16cid:durableId="323513625">
    <w:abstractNumId w:val="3"/>
  </w:num>
  <w:num w:numId="14" w16cid:durableId="617641008">
    <w:abstractNumId w:val="3"/>
  </w:num>
  <w:num w:numId="15" w16cid:durableId="1490099098">
    <w:abstractNumId w:val="2"/>
  </w:num>
  <w:num w:numId="16" w16cid:durableId="2080977021">
    <w:abstractNumId w:val="2"/>
  </w:num>
  <w:num w:numId="17" w16cid:durableId="104810596">
    <w:abstractNumId w:val="1"/>
  </w:num>
  <w:num w:numId="18" w16cid:durableId="564336249">
    <w:abstractNumId w:val="1"/>
  </w:num>
  <w:num w:numId="19" w16cid:durableId="1692760564">
    <w:abstractNumId w:val="0"/>
  </w:num>
  <w:num w:numId="20" w16cid:durableId="1313410351">
    <w:abstractNumId w:val="0"/>
  </w:num>
  <w:num w:numId="21" w16cid:durableId="1100031166">
    <w:abstractNumId w:val="9"/>
  </w:num>
  <w:num w:numId="22" w16cid:durableId="892230231">
    <w:abstractNumId w:val="7"/>
  </w:num>
  <w:num w:numId="23" w16cid:durableId="2004816947">
    <w:abstractNumId w:val="6"/>
  </w:num>
  <w:num w:numId="24" w16cid:durableId="1495366916">
    <w:abstractNumId w:val="5"/>
  </w:num>
  <w:num w:numId="25" w16cid:durableId="864169245">
    <w:abstractNumId w:val="4"/>
  </w:num>
  <w:num w:numId="26" w16cid:durableId="1032389572">
    <w:abstractNumId w:val="8"/>
  </w:num>
  <w:num w:numId="27" w16cid:durableId="1394500810">
    <w:abstractNumId w:val="3"/>
  </w:num>
  <w:num w:numId="28" w16cid:durableId="420807398">
    <w:abstractNumId w:val="2"/>
  </w:num>
  <w:num w:numId="29" w16cid:durableId="319702109">
    <w:abstractNumId w:val="1"/>
  </w:num>
  <w:num w:numId="30" w16cid:durableId="572935639">
    <w:abstractNumId w:val="0"/>
  </w:num>
  <w:num w:numId="31" w16cid:durableId="71589988">
    <w:abstractNumId w:val="9"/>
  </w:num>
  <w:num w:numId="32" w16cid:durableId="2036929654">
    <w:abstractNumId w:val="7"/>
  </w:num>
  <w:num w:numId="33" w16cid:durableId="55858001">
    <w:abstractNumId w:val="6"/>
  </w:num>
  <w:num w:numId="34" w16cid:durableId="1631092516">
    <w:abstractNumId w:val="5"/>
  </w:num>
  <w:num w:numId="35" w16cid:durableId="2008944696">
    <w:abstractNumId w:val="4"/>
  </w:num>
  <w:num w:numId="36" w16cid:durableId="150023538">
    <w:abstractNumId w:val="8"/>
  </w:num>
  <w:num w:numId="37" w16cid:durableId="707146492">
    <w:abstractNumId w:val="3"/>
  </w:num>
  <w:num w:numId="38" w16cid:durableId="422190148">
    <w:abstractNumId w:val="2"/>
  </w:num>
  <w:num w:numId="39" w16cid:durableId="1716155741">
    <w:abstractNumId w:val="1"/>
  </w:num>
  <w:num w:numId="40" w16cid:durableId="1094207189">
    <w:abstractNumId w:val="0"/>
  </w:num>
  <w:num w:numId="41" w16cid:durableId="1935164501">
    <w:abstractNumId w:val="10"/>
  </w:num>
  <w:num w:numId="42" w16cid:durableId="1771198604">
    <w:abstractNumId w:val="10"/>
  </w:num>
  <w:num w:numId="43" w16cid:durableId="320542039">
    <w:abstractNumId w:val="10"/>
  </w:num>
  <w:num w:numId="44" w16cid:durableId="9255035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2/2025"/>
    <w:docVar w:name="dvlangue" w:val="CS"/>
    <w:docVar w:name="dvnumam" w:val="0"/>
    <w:docVar w:name="dvpe" w:val="775.770"/>
    <w:docVar w:name="dvrapporteur" w:val="Zpravodajka: "/>
    <w:docVar w:name="dvtitre" w:val="Usnesení Evropského parlamentu ze dne.... 2025 o rozpočtu na rok 2024 – posouzení uplatňování metodiky začleňování hlediska rovnosti žen a mužů do rozpočtu EU(2025/2033(INI))"/>
  </w:docVars>
  <w:rsids>
    <w:rsidRoot w:val="00776D87"/>
    <w:rsid w:val="00002272"/>
    <w:rsid w:val="00064002"/>
    <w:rsid w:val="000677B9"/>
    <w:rsid w:val="000831BA"/>
    <w:rsid w:val="000A42CC"/>
    <w:rsid w:val="000E7DD9"/>
    <w:rsid w:val="0010095E"/>
    <w:rsid w:val="00116B68"/>
    <w:rsid w:val="00125B37"/>
    <w:rsid w:val="00187494"/>
    <w:rsid w:val="001F32AE"/>
    <w:rsid w:val="002767FF"/>
    <w:rsid w:val="002B18FE"/>
    <w:rsid w:val="002B5493"/>
    <w:rsid w:val="002D1289"/>
    <w:rsid w:val="003314E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6D8F"/>
    <w:rsid w:val="006F74FA"/>
    <w:rsid w:val="00731ADD"/>
    <w:rsid w:val="00734777"/>
    <w:rsid w:val="00747932"/>
    <w:rsid w:val="00751A4A"/>
    <w:rsid w:val="00756632"/>
    <w:rsid w:val="00762C74"/>
    <w:rsid w:val="00776D8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F6E"/>
    <w:rsid w:val="00930C23"/>
    <w:rsid w:val="0093193B"/>
    <w:rsid w:val="0094481D"/>
    <w:rsid w:val="009509D8"/>
    <w:rsid w:val="00950B64"/>
    <w:rsid w:val="00981893"/>
    <w:rsid w:val="009B4E32"/>
    <w:rsid w:val="009C628C"/>
    <w:rsid w:val="009F044C"/>
    <w:rsid w:val="009F0D22"/>
    <w:rsid w:val="00A1687D"/>
    <w:rsid w:val="00A43E52"/>
    <w:rsid w:val="00A4678D"/>
    <w:rsid w:val="00A514A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CE404"/>
  <w15:chartTrackingRefBased/>
  <w15:docId w15:val="{3939FA6D-9398-4225-BEA7-D4C73CFC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C628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link w:val="NormalHanging12aChar"/>
    <w:rsid w:val="009C628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C62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C628C"/>
    <w:rPr>
      <w:sz w:val="24"/>
      <w:lang w:val="cs-CZ"/>
    </w:rPr>
  </w:style>
  <w:style w:type="paragraph" w:customStyle="1" w:styleId="EPFooter">
    <w:name w:val="EPFooter"/>
    <w:basedOn w:val="Normal"/>
    <w:rsid w:val="009C628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C628C"/>
    <w:pPr>
      <w:spacing w:before="480" w:after="240"/>
    </w:pPr>
  </w:style>
  <w:style w:type="character" w:customStyle="1" w:styleId="BoldItalic">
    <w:name w:val="BoldItalic"/>
    <w:uiPriority w:val="1"/>
    <w:rsid w:val="009C628C"/>
    <w:rPr>
      <w:b/>
      <w:i/>
      <w:u w:val="none"/>
    </w:rPr>
  </w:style>
  <w:style w:type="paragraph" w:customStyle="1" w:styleId="NormalHanging12a1">
    <w:name w:val="NormalHanging12a1"/>
    <w:basedOn w:val="Normal"/>
    <w:qFormat/>
    <w:rsid w:val="009C628C"/>
    <w:pPr>
      <w:spacing w:after="240"/>
      <w:ind w:left="992" w:hanging="425"/>
    </w:pPr>
  </w:style>
  <w:style w:type="paragraph" w:customStyle="1" w:styleId="Normal12a24b">
    <w:name w:val="Normal12a24b"/>
    <w:basedOn w:val="Normal"/>
    <w:rsid w:val="009C628C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9C628C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9C628C"/>
    <w:rPr>
      <w:sz w:val="24"/>
      <w:lang w:val="cs-CZ"/>
    </w:rPr>
  </w:style>
  <w:style w:type="paragraph" w:styleId="Revision">
    <w:name w:val="Revision"/>
    <w:hidden/>
    <w:uiPriority w:val="99"/>
    <w:semiHidden/>
    <w:rsid w:val="0094481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EN/ALL/?uri=CELEX:52025DC03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EN/ALL/?uri=CELEX:52025DC009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ALL/?uri=CELEX:52020DC0152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1195/oj" TargetMode="External"/><Relationship Id="rId7" Type="http://schemas.openxmlformats.org/officeDocument/2006/relationships/hyperlink" Target="http://data.europa.eu/eli/dir/2023/970/oj" TargetMode="External"/><Relationship Id="rId2" Type="http://schemas.openxmlformats.org/officeDocument/2006/relationships/hyperlink" Target="https://data.europa.eu/eli/reg/2020/2093/oj" TargetMode="External"/><Relationship Id="rId1" Type="http://schemas.openxmlformats.org/officeDocument/2006/relationships/hyperlink" Target="https://data.europa.eu/eli/reg/2022/2496/oj" TargetMode="External"/><Relationship Id="rId6" Type="http://schemas.openxmlformats.org/officeDocument/2006/relationships/hyperlink" Target="http://data.europa.eu/eli/C/2025/4382/oj" TargetMode="External"/><Relationship Id="rId5" Type="http://schemas.openxmlformats.org/officeDocument/2006/relationships/hyperlink" Target="https://data.europa.eu/eli/reg/2024/2509/oj" TargetMode="External"/><Relationship Id="rId4" Type="http://schemas.openxmlformats.org/officeDocument/2006/relationships/hyperlink" Target="https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3988</Words>
  <Characters>22241</Characters>
  <Application>Microsoft Office Word</Application>
  <DocSecurity>0</DocSecurity>
  <Lines>2471</Lines>
  <Paragraphs>2384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2026-01-21T10:28:00Z</dcterms:created>
  <dcterms:modified xsi:type="dcterms:W3CDTF">2026-01-21T10:28:00Z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A10-0212/2025</vt:lpwstr>
  </property>
  <property fmtid="{D5CDD505-2E9C-101B-9397-08002B2CF9AE}" pid="4" name="&lt;Type&gt;">
    <vt:lpwstr>RR</vt:lpwstr>
  </property>
</Properties>
</file>