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6EBD" w14:paraId="3DA644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037916" w14:textId="77777777" w:rsidR="00751A4A" w:rsidRPr="00966EBD" w:rsidRDefault="008B0B45" w:rsidP="0010095E">
            <w:pPr>
              <w:pStyle w:val="EPName"/>
            </w:pPr>
            <w:r w:rsidRPr="00966EBD">
              <w:t>Europski parlament</w:t>
            </w:r>
          </w:p>
          <w:p w14:paraId="75493414" w14:textId="77777777" w:rsidR="00751A4A" w:rsidRPr="00966E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6EBD">
              <w:t>2024</w:t>
            </w:r>
            <w:r w:rsidR="00817416" w:rsidRPr="00966EBD">
              <w:t>-202</w:t>
            </w:r>
            <w:r w:rsidRPr="00966EBD">
              <w:t>9</w:t>
            </w:r>
          </w:p>
        </w:tc>
        <w:tc>
          <w:tcPr>
            <w:tcW w:w="2268" w:type="dxa"/>
            <w:shd w:val="clear" w:color="auto" w:fill="auto"/>
          </w:tcPr>
          <w:p w14:paraId="145FE379" w14:textId="77777777" w:rsidR="00751A4A" w:rsidRPr="00966EBD" w:rsidRDefault="00187494" w:rsidP="0010095E">
            <w:pPr>
              <w:pStyle w:val="EPLogo"/>
            </w:pPr>
            <w:r w:rsidRPr="00966EBD">
              <w:rPr>
                <w:noProof/>
                <w:lang w:eastAsia="ja-JP"/>
              </w:rPr>
              <w:drawing>
                <wp:inline distT="0" distB="0" distL="0" distR="0" wp14:anchorId="0EF6A733" wp14:editId="277916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989DF7" w14:textId="77777777" w:rsidR="00D058B8" w:rsidRPr="00966EBD" w:rsidRDefault="00D058B8" w:rsidP="004C5D52">
      <w:pPr>
        <w:pStyle w:val="LineTop"/>
      </w:pPr>
    </w:p>
    <w:p w14:paraId="2FF0D6D6" w14:textId="77777777" w:rsidR="00680577" w:rsidRPr="00966EBD" w:rsidRDefault="008B0B45" w:rsidP="00680577">
      <w:pPr>
        <w:pStyle w:val="EPBodyTA1"/>
      </w:pPr>
      <w:r w:rsidRPr="00966EBD">
        <w:t>USVOJENI TEKSTOVI</w:t>
      </w:r>
    </w:p>
    <w:p w14:paraId="456E9BDF" w14:textId="77777777" w:rsidR="00D058B8" w:rsidRPr="00966EBD" w:rsidRDefault="00D058B8" w:rsidP="00D058B8">
      <w:pPr>
        <w:pStyle w:val="LineBottom"/>
      </w:pPr>
    </w:p>
    <w:p w14:paraId="3F5E8278" w14:textId="2148FF76" w:rsidR="008B0B45" w:rsidRPr="00966EBD" w:rsidRDefault="008B0B45" w:rsidP="008B0B45">
      <w:pPr>
        <w:pStyle w:val="ATHeading1"/>
      </w:pPr>
      <w:bookmarkStart w:id="0" w:name="TANumber"/>
      <w:r w:rsidRPr="00966EBD">
        <w:t>P10_TA(2025)0</w:t>
      </w:r>
      <w:r w:rsidR="008F45D6">
        <w:t>287</w:t>
      </w:r>
      <w:bookmarkEnd w:id="0"/>
    </w:p>
    <w:p w14:paraId="27C001DF" w14:textId="16103717" w:rsidR="008B0B45" w:rsidRPr="00966EBD" w:rsidRDefault="00D84EDF" w:rsidP="008B0B45">
      <w:pPr>
        <w:pStyle w:val="ATHeading2"/>
      </w:pPr>
      <w:bookmarkStart w:id="1" w:name="title"/>
      <w:r w:rsidRPr="00D84EDF">
        <w:rPr>
          <w:szCs w:val="28"/>
          <w:shd w:val="clear" w:color="auto" w:fill="FFFFFF"/>
        </w:rPr>
        <w:t>Proračun za 2024. – ocjena provedbe metodologije uključivanja rodne osviještenosti u proračunu EU-a</w:t>
      </w:r>
      <w:bookmarkEnd w:id="1"/>
    </w:p>
    <w:p w14:paraId="0C149E68" w14:textId="77777777" w:rsidR="008B0B45" w:rsidRPr="00966EBD" w:rsidRDefault="008B0B45" w:rsidP="008B0B45">
      <w:pPr>
        <w:rPr>
          <w:i/>
          <w:vanish/>
        </w:rPr>
      </w:pPr>
      <w:r w:rsidRPr="00966EBD">
        <w:rPr>
          <w:i/>
        </w:rPr>
        <w:fldChar w:fldCharType="begin"/>
      </w:r>
      <w:r w:rsidRPr="00966EBD">
        <w:rPr>
          <w:i/>
        </w:rPr>
        <w:instrText xml:space="preserve"> TC"(</w:instrText>
      </w:r>
      <w:bookmarkStart w:id="2" w:name="DocNumber"/>
      <w:r w:rsidRPr="00966EBD">
        <w:rPr>
          <w:i/>
        </w:rPr>
        <w:instrText>A10-0212/2025</w:instrText>
      </w:r>
      <w:bookmarkEnd w:id="2"/>
      <w:r w:rsidRPr="00966EBD">
        <w:rPr>
          <w:i/>
        </w:rPr>
        <w:instrText xml:space="preserve"> - Izvjestiteljica: Marit </w:instrText>
      </w:r>
      <w:proofErr w:type="spellStart"/>
      <w:r w:rsidRPr="00966EBD">
        <w:rPr>
          <w:i/>
        </w:rPr>
        <w:instrText>Maij</w:instrText>
      </w:r>
      <w:proofErr w:type="spellEnd"/>
      <w:r w:rsidRPr="00966EBD">
        <w:rPr>
          <w:i/>
        </w:rPr>
        <w:instrText xml:space="preserve">)"\l3 \n&gt; \* MERGEFORMAT </w:instrText>
      </w:r>
      <w:r w:rsidRPr="00966EBD">
        <w:rPr>
          <w:i/>
        </w:rPr>
        <w:fldChar w:fldCharType="end"/>
      </w:r>
    </w:p>
    <w:p w14:paraId="0E0DBFD2" w14:textId="77777777" w:rsidR="008B0B45" w:rsidRPr="00966EBD" w:rsidRDefault="008B0B45" w:rsidP="008B0B45">
      <w:pPr>
        <w:rPr>
          <w:vanish/>
        </w:rPr>
      </w:pPr>
      <w:bookmarkStart w:id="3" w:name="Commission"/>
      <w:r w:rsidRPr="00966EBD">
        <w:rPr>
          <w:vanish/>
        </w:rPr>
        <w:t>Odbor za proračunski nadzor</w:t>
      </w:r>
      <w:bookmarkEnd w:id="3"/>
    </w:p>
    <w:p w14:paraId="40848C11" w14:textId="77777777" w:rsidR="008B0B45" w:rsidRPr="00966EBD" w:rsidRDefault="008B0B45" w:rsidP="008B0B45">
      <w:pPr>
        <w:rPr>
          <w:vanish/>
        </w:rPr>
      </w:pPr>
      <w:bookmarkStart w:id="4" w:name="PE"/>
      <w:r w:rsidRPr="00966EBD">
        <w:rPr>
          <w:vanish/>
        </w:rPr>
        <w:t>PE775.770</w:t>
      </w:r>
      <w:bookmarkEnd w:id="4"/>
    </w:p>
    <w:p w14:paraId="37FE4B88" w14:textId="2A1B2C38" w:rsidR="008B0B45" w:rsidRPr="00966EBD" w:rsidRDefault="008B0B45" w:rsidP="008B0B45">
      <w:pPr>
        <w:pStyle w:val="ATHeading3"/>
      </w:pPr>
      <w:bookmarkStart w:id="5" w:name="Sujet"/>
      <w:r w:rsidRPr="00966EBD">
        <w:t xml:space="preserve">Rezolucija Europskog parlamenta od </w:t>
      </w:r>
      <w:r w:rsidR="00966EBD">
        <w:t>25</w:t>
      </w:r>
      <w:r w:rsidRPr="00966EBD">
        <w:t xml:space="preserve">. </w:t>
      </w:r>
      <w:r w:rsidR="00966EBD">
        <w:t xml:space="preserve">studenoga </w:t>
      </w:r>
      <w:r w:rsidRPr="00966EBD">
        <w:t>2025. o proračunu za 2024. – ocjena provedbe metodologije uključivanja rodne osviještenosti u proračunu EU-a</w:t>
      </w:r>
      <w:bookmarkEnd w:id="5"/>
      <w:r w:rsidRPr="00966EBD">
        <w:t xml:space="preserve"> </w:t>
      </w:r>
      <w:bookmarkStart w:id="6" w:name="References"/>
      <w:r w:rsidRPr="00966EBD">
        <w:t>(2025/2033(INI))</w:t>
      </w:r>
      <w:bookmarkEnd w:id="6"/>
    </w:p>
    <w:p w14:paraId="5F150613" w14:textId="77777777" w:rsidR="00D4529B" w:rsidRPr="00966EBD" w:rsidRDefault="00D4529B" w:rsidP="00D4529B">
      <w:pPr>
        <w:pStyle w:val="EPComma"/>
      </w:pPr>
      <w:r w:rsidRPr="00966EBD">
        <w:rPr>
          <w:rStyle w:val="Italic"/>
        </w:rPr>
        <w:t>Europski parlament</w:t>
      </w:r>
      <w:r w:rsidRPr="00966EBD">
        <w:t>,</w:t>
      </w:r>
    </w:p>
    <w:p w14:paraId="4496F439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članak 2. i članak 3. Ugovora o Europskoj uniji,</w:t>
      </w:r>
    </w:p>
    <w:p w14:paraId="6E240911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članke 8., 10. i 19. Ugovora o funkcioniranju Europske unije (UFEU),</w:t>
      </w:r>
    </w:p>
    <w:p w14:paraId="777CD39F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članke 21. i 23. Povelje Europske unije o temeljnim pravima,</w:t>
      </w:r>
    </w:p>
    <w:p w14:paraId="0ACF841C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Uredbu Vijeća (EU, Euratom) 2024/765 od 29. veljače 2024. o izmjeni Uredbe (EU, Euratom) 2020/2093 kojom se utvrđuje višegodišnji financijski okvir za razdoblje 2021. – 2027.</w:t>
      </w:r>
      <w:r w:rsidRPr="00966EBD">
        <w:rPr>
          <w:rStyle w:val="FootnoteReference"/>
        </w:rPr>
        <w:footnoteReference w:id="1"/>
      </w:r>
      <w:r w:rsidRPr="00966EBD">
        <w:t>,</w:t>
      </w:r>
    </w:p>
    <w:p w14:paraId="560BD7B3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Uredbu Vijeća (EU, Euratom) 2022/2496 od 15. prosinca 2022. o izmjeni Uredbe (EU, Euratom) 2020/2093 kojom se utvrđuje višegodišnji financijski okvir za razdoblje 2021. – 2027.</w:t>
      </w:r>
      <w:r w:rsidRPr="00966EBD">
        <w:rPr>
          <w:rStyle w:val="FootnoteReference"/>
        </w:rPr>
        <w:footnoteReference w:id="2"/>
      </w:r>
      <w:r w:rsidRPr="00966EBD">
        <w:t>,</w:t>
      </w:r>
    </w:p>
    <w:p w14:paraId="1F5ECA57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Uredbu Vijeća (EU, Euratom) 2020/2093 od 17. prosinca 2020. kojom se utvrđuje višegodišnji financijski okvir za razdoblje 2021. – 2027.</w:t>
      </w:r>
      <w:r w:rsidRPr="00966EBD">
        <w:rPr>
          <w:rStyle w:val="FootnoteReference"/>
        </w:rPr>
        <w:footnoteReference w:id="3"/>
      </w:r>
      <w:r w:rsidRPr="00966EBD">
        <w:t>,</w:t>
      </w:r>
    </w:p>
    <w:p w14:paraId="12853D0E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svoju Rezoluciju od 3. listopada 2023. o prijedlogu revizije višegodišnjeg financijskog okvira za razdoblje 2021. – 2027. u sredini programskog razdoblja</w:t>
      </w:r>
      <w:r w:rsidRPr="00966EBD">
        <w:rPr>
          <w:rStyle w:val="FootnoteReference"/>
        </w:rPr>
        <w:footnoteReference w:id="4"/>
      </w:r>
      <w:r w:rsidRPr="00966EBD">
        <w:t>,</w:t>
      </w:r>
    </w:p>
    <w:p w14:paraId="1C840693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 xml:space="preserve">uzimajući u obzir </w:t>
      </w:r>
      <w:proofErr w:type="spellStart"/>
      <w:r w:rsidRPr="00966EBD">
        <w:t>Međuinstitucijski</w:t>
      </w:r>
      <w:proofErr w:type="spellEnd"/>
      <w:r w:rsidRPr="00966EBD">
        <w:t xml:space="preserve"> sporazum od 16. prosinca 2020. između Europskog parlamenta, Vijeća Europske unije i Europske komisije o proračunskoj disciplini, </w:t>
      </w:r>
      <w:r w:rsidRPr="00966EBD">
        <w:lastRenderedPageBreak/>
        <w:t>suradnji u proračunskim pitanjima i dobrom financijskom upravljanju te novim vlastitim sredstvima, uključujući plan za uvođenje novih vlastitih sredstava</w:t>
      </w:r>
      <w:r w:rsidRPr="00966EBD">
        <w:rPr>
          <w:rStyle w:val="FootnoteReference"/>
        </w:rPr>
        <w:footnoteReference w:id="5"/>
      </w:r>
      <w:r w:rsidRPr="00966EBD">
        <w:t>, a posebno njegovu točku 16.f,</w:t>
      </w:r>
    </w:p>
    <w:p w14:paraId="0FFCE9A1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Uredbu (EU, Euratom) 2024/2509 Europskog parlamenta i Vijeća od 23. rujna 2024. o financijskim pravilima koja se primjenjuju na opći proračun Unije</w:t>
      </w:r>
      <w:r w:rsidRPr="00966EBD">
        <w:rPr>
          <w:rStyle w:val="FootnoteReference"/>
        </w:rPr>
        <w:footnoteReference w:id="6"/>
      </w:r>
      <w:r w:rsidRPr="00966EBD">
        <w:t>, a posebno njezin članak 33.,</w:t>
      </w:r>
    </w:p>
    <w:p w14:paraId="749B901D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–</w:t>
      </w:r>
      <w:r w:rsidRPr="00966EBD">
        <w:tab/>
        <w:t>uzimajući u obzir Komisijin Prijedlog uredbe Vijeća o utvrđivanju višegodišnjeg financijskog okvira za razdoblje 2028. – 2034. od 16. srpnja 2025. (COM(2025)0571),</w:t>
      </w:r>
    </w:p>
    <w:p w14:paraId="0EF4A572" w14:textId="13AD9D15" w:rsidR="00D4529B" w:rsidRPr="00966EBD" w:rsidRDefault="00D4529B" w:rsidP="00D4529B">
      <w:pPr>
        <w:pStyle w:val="NormalHanging12a"/>
        <w:rPr>
          <w:bCs/>
          <w:iCs/>
        </w:rPr>
      </w:pPr>
      <w:r w:rsidRPr="00966EBD">
        <w:t>–</w:t>
      </w:r>
      <w:r w:rsidRPr="00966EBD">
        <w:tab/>
        <w:t>uzimajući u obzir Komisijin Prijedlog uredbe Europskog parlamenta i Vijeća od 16. srpnja 2025. o uspostavi okvira za praćenje proračunskih rashoda i uspješnost te drugih horizontalnih pravila za programe i aktivnosti Unije (COM</w:t>
      </w:r>
      <w:r w:rsidR="00A55C51">
        <w:t>(</w:t>
      </w:r>
      <w:r w:rsidRPr="00966EBD">
        <w:t>2025</w:t>
      </w:r>
      <w:r w:rsidR="00A55C51">
        <w:t>)</w:t>
      </w:r>
      <w:r w:rsidRPr="00966EBD">
        <w:t>0545) i popratno izvješće o procjeni učinka od 16. srpnja 2025. (SWD(2025)0590),</w:t>
      </w:r>
    </w:p>
    <w:p w14:paraId="5A7BB219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–</w:t>
      </w:r>
      <w:r w:rsidRPr="00966EBD">
        <w:tab/>
        <w:t>uzimajući u obzir radni dokument službi Komisije od 3. studenoga 2021. naslovljen „Smjernice za bolju regulativu” (SWD(2021)0305),</w:t>
      </w:r>
    </w:p>
    <w:p w14:paraId="566C3EF3" w14:textId="3A29750E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 xml:space="preserve">uzimajući u obzir komunikaciju Komisije od 5. ožujka 2020. naslovljenu „Unija jednakosti: Strategija za rodnu ravnopravnost 2020. – 2025.” </w:t>
      </w:r>
      <w:r w:rsidRPr="00D84EDF">
        <w:t>(COM(2020)0152),</w:t>
      </w:r>
    </w:p>
    <w:p w14:paraId="11B7D043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izvješće Komisije o rodnoj ravnopravnosti u EU-u za 2025.,</w:t>
      </w:r>
    </w:p>
    <w:p w14:paraId="53BD67F7" w14:textId="39751164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 xml:space="preserve">uzimajući u obzir Komunikaciju Komisije od 7. ožujka 2025. naslovljenu „Plan za prava žena” </w:t>
      </w:r>
      <w:r w:rsidRPr="00D84EDF">
        <w:t>(COM(2025)0097)</w:t>
      </w:r>
      <w:r w:rsidRPr="00966EBD">
        <w:t>,</w:t>
      </w:r>
    </w:p>
    <w:p w14:paraId="244A4F77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svoju Rezoluciju od 21. siječnja 2021. o Strategiji EU-a za rodnu ravnopravnost</w:t>
      </w:r>
      <w:r w:rsidRPr="00966EBD">
        <w:rPr>
          <w:rStyle w:val="FootnoteReference"/>
        </w:rPr>
        <w:footnoteReference w:id="7"/>
      </w:r>
      <w:r w:rsidRPr="00966EBD">
        <w:t>,</w:t>
      </w:r>
    </w:p>
    <w:p w14:paraId="51D74ED0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svoju Rezoluciju od 10. ožujka 2022. o rodno osviještenoj politici u Europskom parlamentu – godišnje izvješće za 2020.</w:t>
      </w:r>
      <w:r w:rsidRPr="00966EBD">
        <w:rPr>
          <w:rStyle w:val="FootnoteReference"/>
        </w:rPr>
        <w:footnoteReference w:id="8"/>
      </w:r>
      <w:r w:rsidRPr="00966EBD">
        <w:t>,</w:t>
      </w:r>
    </w:p>
    <w:p w14:paraId="4BF75F72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svoju Rezoluciju od 2. travnja 2025. općim smjernicama za pripremu proračuna za 2026., dio III. Komisija</w:t>
      </w:r>
      <w:r w:rsidRPr="00966EBD">
        <w:rPr>
          <w:rStyle w:val="FootnoteReference"/>
        </w:rPr>
        <w:footnoteReference w:id="9"/>
      </w:r>
      <w:r w:rsidRPr="00966EBD">
        <w:t>,</w:t>
      </w:r>
    </w:p>
    <w:p w14:paraId="6C15891B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svoju rezoluciju od 7. svibnja 2025. o obnovljenom dugoročnom proračunu Unije u svijetu koji se mijenja</w:t>
      </w:r>
      <w:r w:rsidRPr="00966EBD">
        <w:rPr>
          <w:rStyle w:val="FootnoteReference"/>
        </w:rPr>
        <w:footnoteReference w:id="10"/>
      </w:r>
      <w:r w:rsidRPr="00966EBD">
        <w:t>,</w:t>
      </w:r>
    </w:p>
    <w:p w14:paraId="1139B1D8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izvještaj Komisije o procjenama za financijsku godinu 2026. od 4. lipnja 2025. (SEC(2025)0250),</w:t>
      </w:r>
    </w:p>
    <w:p w14:paraId="6D6867A2" w14:textId="4CBF3912" w:rsidR="00D4529B" w:rsidRPr="00966EBD" w:rsidRDefault="00D4529B" w:rsidP="00D4529B">
      <w:pPr>
        <w:pStyle w:val="NormalHanging12a"/>
      </w:pPr>
      <w:r w:rsidRPr="00966EBD">
        <w:lastRenderedPageBreak/>
        <w:t>–</w:t>
      </w:r>
      <w:r w:rsidRPr="00966EBD">
        <w:tab/>
        <w:t xml:space="preserve">uzimajući u obzir izvještaje o uspješnosti programa za rashode poslovanja uključene u radni dokument, I. dio, od lipnja 2025. priložen nacrtu općeg proračuna Europske unije za financijsku godinu 2026. </w:t>
      </w:r>
      <w:r w:rsidRPr="00D84EDF">
        <w:t>(COM(2025)0300)</w:t>
      </w:r>
      <w:r w:rsidRPr="00966EBD">
        <w:t>,</w:t>
      </w:r>
    </w:p>
    <w:p w14:paraId="595CAC95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Godišnje izvješće o upravljanju proračunom EU-a i njegovoj uspješnosti – financijska godina 2021. (COM(2022)0401),</w:t>
      </w:r>
    </w:p>
    <w:p w14:paraId="5355BE59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Godišnje izvješće o upravljanju proračunom EU-a i njegovoj uspješnosti – financijska godina 2022. (COM(2023)0401),</w:t>
      </w:r>
    </w:p>
    <w:p w14:paraId="1B743D97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Godišnje izvješće o upravljanju proračunom EU-a i njegovoj uspješnosti – financijska godina 2023. (COM(2024)0401),</w:t>
      </w:r>
    </w:p>
    <w:p w14:paraId="556B9ADA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Godišnje izvješće o upravljanju proračunom EU-a i njegovoj uspješnosti – financijska godina 2024. (COM(2025)0824),</w:t>
      </w:r>
    </w:p>
    <w:p w14:paraId="1C208499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posebno izvješće Europskog revizorskog suda 10/2021 od 26. svibnja 2021. naslovljeno „Uključivanje rodno osviještene politike u proračun EU-a: vrijeme je da se riječi pretoče u djela”,</w:t>
      </w:r>
    </w:p>
    <w:p w14:paraId="268BAE89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kratko izvješće Službe Europskog parlamenta za istraživanja iz veljače 2025. naslovljeno „Rodno osviještena izrada proračuna: trenutačno stanje i prilike za 10. saziv Europskog parlamenta”,</w:t>
      </w:r>
    </w:p>
    <w:p w14:paraId="57B38626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rPr>
          <w:b/>
          <w:i/>
        </w:rPr>
        <w:t>–</w:t>
      </w:r>
      <w:r w:rsidRPr="00966EBD">
        <w:tab/>
        <w:t>uzimajući u obzir studiju koju su zatražili Odbor za proračune i Odbor za proračunski nadzor naslovljenu „Donošenje rodno osjetljivog proračuna za Europsku uniju – stanje 2024.”,</w:t>
      </w:r>
    </w:p>
    <w:p w14:paraId="1D2E4B7B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radionicu od 25. lipnja 2025. koju je zatražio Odbor za proračunski nadzor naslovljenu „Provedba metodologije rodno osviještene politike u proračunu EU-a”,</w:t>
      </w:r>
    </w:p>
    <w:p w14:paraId="141261D6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pisane odgovore kandidata za povjerenika za proračun, borbu protiv prijevara i javnu upravu tijekom saslušanja 2024.,</w:t>
      </w:r>
    </w:p>
    <w:p w14:paraId="20401268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Pekinšku deklaraciju i Platformu za djelovanje (1995.),</w:t>
      </w:r>
    </w:p>
    <w:p w14:paraId="550ED415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završno izvješće stručne skupine Vijeća Europe za rodno osviještenu izradu proračuna (2005.),</w:t>
      </w:r>
    </w:p>
    <w:p w14:paraId="34EAFB3A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aktivnosti Europskog instituta za ravnopravnost spolova (EIGE) i njegove publikacije,</w:t>
      </w:r>
    </w:p>
    <w:p w14:paraId="35B4B27E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članak 55. Poslovnika,</w:t>
      </w:r>
    </w:p>
    <w:p w14:paraId="70305E1E" w14:textId="77777777" w:rsidR="00D4529B" w:rsidRPr="00966EBD" w:rsidRDefault="00D4529B" w:rsidP="00D4529B">
      <w:pPr>
        <w:pStyle w:val="NormalHanging12a"/>
      </w:pPr>
      <w:r w:rsidRPr="00966EBD">
        <w:t>–</w:t>
      </w:r>
      <w:r w:rsidRPr="00966EBD">
        <w:tab/>
        <w:t>uzimajući u obzir izvješće Odbora za proračunski nadzor (A10</w:t>
      </w:r>
      <w:r w:rsidRPr="00966EBD">
        <w:noBreakHyphen/>
        <w:t>0212/2025),</w:t>
      </w:r>
    </w:p>
    <w:p w14:paraId="0A9796A5" w14:textId="77777777" w:rsidR="00D4529B" w:rsidRPr="00966EBD" w:rsidRDefault="00D4529B" w:rsidP="00D4529B">
      <w:pPr>
        <w:pStyle w:val="NormalHanging12a"/>
      </w:pPr>
      <w:r w:rsidRPr="00966EBD">
        <w:t>A.</w:t>
      </w:r>
      <w:r w:rsidRPr="00966EBD">
        <w:tab/>
        <w:t>budući da je rodna ravnopravnost cilj EU-a utvrđen u njegovu primarnom pravu i načelo koje bi trebalo biti u središtu svih politika EU-a;</w:t>
      </w:r>
    </w:p>
    <w:p w14:paraId="747AE139" w14:textId="77777777" w:rsidR="00D4529B" w:rsidRPr="00966EBD" w:rsidRDefault="00D4529B" w:rsidP="00D4529B">
      <w:pPr>
        <w:pStyle w:val="NormalHanging12a"/>
      </w:pPr>
      <w:r w:rsidRPr="00966EBD">
        <w:lastRenderedPageBreak/>
        <w:t>B.</w:t>
      </w:r>
      <w:r w:rsidRPr="00966EBD">
        <w:tab/>
        <w:t>budući da je rodno osviještena politika globalno priznata strategija kojom se jamči integracija rodne perspektive pri osmišljavanju, provedbi i ocjenjivanju svih politika, programa i mjera u cilju promicanja rodne ravnopravnosti i borbe protiv diskriminacije;</w:t>
      </w:r>
    </w:p>
    <w:p w14:paraId="291F4B22" w14:textId="77777777" w:rsidR="00D4529B" w:rsidRPr="00966EBD" w:rsidRDefault="00D4529B" w:rsidP="00D4529B">
      <w:pPr>
        <w:pStyle w:val="NormalHanging12a"/>
      </w:pPr>
      <w:r w:rsidRPr="00966EBD">
        <w:t>C.</w:t>
      </w:r>
      <w:r w:rsidRPr="00966EBD">
        <w:tab/>
        <w:t>budući da Vijeće Europe definira rodno osviještenu izradu proračuna kao rodno uvjetovanu procjenu proračuna koja uključuje rodnu perspektivu na svim razinama proračunskog postupka te restrukturira prihode i rashode radi promicanja rodne ravnopravnosti;</w:t>
      </w:r>
    </w:p>
    <w:p w14:paraId="309221E8" w14:textId="77777777" w:rsidR="00D4529B" w:rsidRPr="00966EBD" w:rsidRDefault="00D4529B" w:rsidP="00D4529B">
      <w:pPr>
        <w:pStyle w:val="NormalHanging12a"/>
      </w:pPr>
      <w:r w:rsidRPr="00966EBD">
        <w:t>D.</w:t>
      </w:r>
      <w:r w:rsidRPr="00966EBD">
        <w:tab/>
        <w:t xml:space="preserve">budući da EIGE opisuje rodno osviještenu izradu proračuna kao alat koji </w:t>
      </w:r>
      <w:proofErr w:type="spellStart"/>
      <w:r w:rsidRPr="00966EBD">
        <w:t>oblikovateljima</w:t>
      </w:r>
      <w:proofErr w:type="spellEnd"/>
      <w:r w:rsidRPr="00966EBD">
        <w:t xml:space="preserve"> politika omogućuje promicanje odgovornosti i transparentnosti, povećanje uravnoteženog sudjelovanja svih rodova u proračunskom postupku i promicanje rodne ravnopravnosti;</w:t>
      </w:r>
    </w:p>
    <w:p w14:paraId="712B90DA" w14:textId="77777777" w:rsidR="00D4529B" w:rsidRPr="00966EBD" w:rsidRDefault="00D4529B" w:rsidP="00D4529B">
      <w:pPr>
        <w:pStyle w:val="NormalHanging12a"/>
      </w:pPr>
      <w:r w:rsidRPr="00966EBD">
        <w:t>E.</w:t>
      </w:r>
      <w:r w:rsidRPr="00966EBD">
        <w:tab/>
        <w:t>budući da je Europski revizorski sud istaknuo da se u višegodišnjem financijskom okviru (VFO) EU-a za razdoblje 2014. – 2020. rodna ravnopravnost nije na odgovarajući način uzela u obzir;</w:t>
      </w:r>
    </w:p>
    <w:p w14:paraId="2F60F7A7" w14:textId="77777777" w:rsidR="00D4529B" w:rsidRPr="00966EBD" w:rsidRDefault="00D4529B" w:rsidP="00D4529B">
      <w:pPr>
        <w:pStyle w:val="NormalHanging12a"/>
      </w:pPr>
      <w:r w:rsidRPr="00966EBD">
        <w:t>F.</w:t>
      </w:r>
      <w:r w:rsidRPr="00966EBD">
        <w:tab/>
        <w:t>budući da je uključivanje rodne ravnopravnosti kao horizontalnog prioriteta u proračun EU-a već dugo goruće pitanje koje izaziva zabrinutost i u Odboru za proračunski nadzor i u Parlamentu te se smatra ključnim kriterijem za procjenu izvršenja proračuna EU-a i njegova dobrog financijskog upravljanja, uspješnosti i proporcionalnosti;</w:t>
      </w:r>
    </w:p>
    <w:p w14:paraId="36099045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G.</w:t>
      </w:r>
      <w:r w:rsidRPr="00966EBD">
        <w:tab/>
        <w:t>budući da je rodno osviještena politika u proračunu EU-a ojačana Međuinstitucijskim sporazumom priloženim VFO-u za razdoblje 2021. – 2027., među ostalim uključivanjem zahtjeva za jačanje procjene učinka na rodnu ravnopravnost u procjenama učinka i evaluacijama na temelju okvira za bolju izradu zakonodavstva te za razvoj pilot-metodologije za mjerenje rashoda relevantnih za promicanje rodne ravnopravnosti na razini programa od 2023.;</w:t>
      </w:r>
    </w:p>
    <w:p w14:paraId="27F06F4D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H.</w:t>
      </w:r>
      <w:r w:rsidRPr="00966EBD">
        <w:tab/>
        <w:t xml:space="preserve">budući da je za postizanje rodne ravnopravnosti potreban </w:t>
      </w:r>
      <w:proofErr w:type="spellStart"/>
      <w:r w:rsidRPr="00966EBD">
        <w:t>intersekcijski</w:t>
      </w:r>
      <w:proofErr w:type="spellEnd"/>
      <w:r w:rsidRPr="00966EBD">
        <w:t xml:space="preserve"> pristup izradi rodno osjetljivog proračuna kojim se uzima u obzir složena diskriminacija s kojom se suočavaju žene koje pripadaju </w:t>
      </w:r>
      <w:proofErr w:type="spellStart"/>
      <w:r w:rsidRPr="00966EBD">
        <w:t>rasiziranim</w:t>
      </w:r>
      <w:proofErr w:type="spellEnd"/>
      <w:r w:rsidRPr="00966EBD">
        <w:t xml:space="preserve"> skupinama, osobe s invaliditetom, LGBTIQ+ osobe i migranti kako bi se osiguralo da se potrošnjom EU-a promiče ravnopravnost u svim dimenzijama;</w:t>
      </w:r>
    </w:p>
    <w:p w14:paraId="4DEA9458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I.</w:t>
      </w:r>
      <w:r w:rsidRPr="00966EBD">
        <w:tab/>
        <w:t>budući da je obitelj temeljna jedinica društva i da ima ključnu ulogu u poticanju dobrobiti, stabilnosti i razvoja pojedinaca, zajednica i nacija; budući da je stoga ključno da se horizontalne politike EU-a aktivno promiču i podupiru;</w:t>
      </w:r>
    </w:p>
    <w:p w14:paraId="3B49D6BA" w14:textId="77777777" w:rsidR="00D4529B" w:rsidRPr="00966EBD" w:rsidRDefault="00D4529B" w:rsidP="00D4529B">
      <w:pPr>
        <w:pStyle w:val="NormalHanging12a"/>
        <w:rPr>
          <w:iCs/>
        </w:rPr>
      </w:pPr>
      <w:r w:rsidRPr="00966EBD">
        <w:t>J.</w:t>
      </w:r>
      <w:r w:rsidRPr="00966EBD">
        <w:tab/>
        <w:t>budući da je izrada rodno osjetljivog proračuna preduvjet za postizanje rodne ravnopravnosti i da je sama po sebi uvjet za pametan, održiv i uključiv rast, uključujući unutar EU-a, za koji je EIGE pomoću snažnog ekonometrijskog modela koji se primjenjuje na poseban kontekst EU-a pokazao da bi poboljšanje rodne ravnopravnosti dovelo do niza makroekonomskih koristi u nekoliko područja kao što su obrazovanje, aktivnost na tržištu rada i plaće; budući da je EIGE također pokazao da rodna ravnopravnost općenito ima snažan i pozitivan učinak na BDP po stanovniku te da bi poboljšanje rodne ravnopravnosti dovelo do povećanja BDP-a EU-a po stanovniku od najmanje 6,1 % i do 9,6 % do 2050., što iznosi 1,95 bilijuna EUR odnosno 3,15 bilijuna EUR;</w:t>
      </w:r>
    </w:p>
    <w:p w14:paraId="1ABF607C" w14:textId="77777777" w:rsidR="00D4529B" w:rsidRPr="00966EBD" w:rsidRDefault="00D4529B" w:rsidP="00D4529B">
      <w:pPr>
        <w:pStyle w:val="NormalHanging12a"/>
        <w:rPr>
          <w:iCs/>
        </w:rPr>
      </w:pPr>
      <w:r w:rsidRPr="00966EBD">
        <w:lastRenderedPageBreak/>
        <w:t>K.</w:t>
      </w:r>
      <w:r w:rsidRPr="00966EBD">
        <w:tab/>
        <w:t>budući da je EIGE izvijestio da je od 2021. došlo do zabrinjavajućeg smanjenja napora država članica u provedbi rodno osviještene politike, što je trend koji se ne bi trebao odražavati na razini EU-a;</w:t>
      </w:r>
    </w:p>
    <w:p w14:paraId="3AE53064" w14:textId="77777777" w:rsidR="00D4529B" w:rsidRPr="00966EBD" w:rsidRDefault="00D4529B" w:rsidP="00D4529B">
      <w:pPr>
        <w:pStyle w:val="NormalHanging12a"/>
      </w:pPr>
      <w:r w:rsidRPr="00966EBD">
        <w:t>L.</w:t>
      </w:r>
      <w:r w:rsidRPr="00966EBD">
        <w:tab/>
        <w:t xml:space="preserve">budući da je sustavna integracija ex </w:t>
      </w:r>
      <w:proofErr w:type="spellStart"/>
      <w:r w:rsidRPr="00966EBD">
        <w:t>ante</w:t>
      </w:r>
      <w:proofErr w:type="spellEnd"/>
      <w:r w:rsidRPr="00966EBD">
        <w:t xml:space="preserve"> procjena učinka na rodnu ravnopravnost i mjera ublažavanja u postupke donošenja politika EU-a potrebna kako bi se osiguralo da buduće inicijative promiču rodnu ravnopravnost, a da je ne pogoršavaju;</w:t>
      </w:r>
    </w:p>
    <w:p w14:paraId="057E40C7" w14:textId="77777777" w:rsidR="00D4529B" w:rsidRPr="00966EBD" w:rsidRDefault="00D4529B" w:rsidP="00D4529B">
      <w:pPr>
        <w:pStyle w:val="NormalHanging12a"/>
      </w:pPr>
      <w:r w:rsidRPr="00966EBD">
        <w:t>M.</w:t>
      </w:r>
      <w:r w:rsidRPr="00966EBD">
        <w:tab/>
        <w:t>budući da demokratske institucije moraju odražavati raznolikost društva, prije svega u sastavu svojeg osoblja;</w:t>
      </w:r>
    </w:p>
    <w:p w14:paraId="5787BA9A" w14:textId="77777777" w:rsidR="00D4529B" w:rsidRPr="00966EBD" w:rsidRDefault="00D4529B" w:rsidP="00D4529B">
      <w:pPr>
        <w:pStyle w:val="NormalHanging12a"/>
      </w:pPr>
      <w:r w:rsidRPr="00966EBD">
        <w:t>N.</w:t>
      </w:r>
      <w:r w:rsidRPr="00966EBD">
        <w:tab/>
        <w:t>budući da je rodna ravnoteža i dalje neostvareni cilj na brojnim ključnim razinama donošenja odluka;</w:t>
      </w:r>
    </w:p>
    <w:p w14:paraId="0D0E9B83" w14:textId="77777777" w:rsidR="00D4529B" w:rsidRPr="00966EBD" w:rsidRDefault="00D4529B" w:rsidP="00D4529B">
      <w:pPr>
        <w:pStyle w:val="NormalHanging12a"/>
      </w:pPr>
      <w:r w:rsidRPr="00966EBD">
        <w:t>O.</w:t>
      </w:r>
      <w:r w:rsidRPr="00966EBD">
        <w:tab/>
        <w:t>budući da se Pekinškom deklaracijom i Platformom za djelovanje poziva na uključivanje rodne perspektive u proračunske odluke na svim razinama te da je EU predan primjeni svojih načela, posebno kako bi se osiguralo da javna sredstva učinkovito doprinose rodnoj ravnopravnosti i osnaživanju žena u svim područjima politika;</w:t>
      </w:r>
    </w:p>
    <w:p w14:paraId="0470A3D8" w14:textId="77777777" w:rsidR="00D4529B" w:rsidRPr="00966EBD" w:rsidRDefault="00D4529B" w:rsidP="00D4529B">
      <w:pPr>
        <w:pStyle w:val="Normal12a24b"/>
      </w:pPr>
      <w:r w:rsidRPr="00966EBD">
        <w:rPr>
          <w:rStyle w:val="BoldItalic"/>
        </w:rPr>
        <w:t>Opće napomene</w:t>
      </w:r>
    </w:p>
    <w:p w14:paraId="704A523C" w14:textId="77777777" w:rsidR="00D4529B" w:rsidRPr="00966EBD" w:rsidRDefault="00D4529B" w:rsidP="00D4529B">
      <w:pPr>
        <w:pStyle w:val="NormalHanging12a"/>
      </w:pPr>
      <w:r w:rsidRPr="00966EBD">
        <w:t>1.</w:t>
      </w:r>
      <w:r w:rsidRPr="00966EBD">
        <w:tab/>
        <w:t>pozdravlja činjenicu da je u skladu sa svojim obvezujućim obvezama i nakon opetovanih poziva Parlamenta Komisija razvila pilot-metodologiju za praćenje i mjerenje rashoda povezanih s rodnom ravnopravnošću na programskoj razini u VFO-u za razdoblje 2021. – 2027. u cilju poboljšanja rodno osviještene politike u proračunskom postupku Komisije i poboljšanja načina na koji se oblikovanjem politika i dodjelom sredstava promiču ciljevi rodne ravnopravnosti;</w:t>
      </w:r>
    </w:p>
    <w:p w14:paraId="6E41AD8C" w14:textId="77777777" w:rsidR="00D4529B" w:rsidRPr="00966EBD" w:rsidRDefault="00D4529B" w:rsidP="00D4529B">
      <w:pPr>
        <w:pStyle w:val="NormalHanging12a"/>
      </w:pPr>
      <w:r w:rsidRPr="00966EBD">
        <w:t>2.</w:t>
      </w:r>
      <w:r w:rsidRPr="00966EBD">
        <w:tab/>
        <w:t>napominje da u skladu s postojećom metodologijom Komisija dodjeljuje različite ocjene programima na temelju procjene njihova doprinosa rodnoj ravnopravnosti na najdetaljnijoj mogućoj razini intervencije, dajući ocjenu:</w:t>
      </w:r>
    </w:p>
    <w:p w14:paraId="68ABC779" w14:textId="2C34F13C" w:rsidR="00D4529B" w:rsidRPr="00966EBD" w:rsidRDefault="00D84EDF" w:rsidP="00D4529B">
      <w:pPr>
        <w:pStyle w:val="NormalHanging12a1"/>
      </w:pPr>
      <w:r>
        <w:t>(</w:t>
      </w:r>
      <w:r w:rsidR="00D4529B" w:rsidRPr="00966EBD">
        <w:t>a)</w:t>
      </w:r>
      <w:r w:rsidR="00D4529B" w:rsidRPr="00966EBD">
        <w:tab/>
        <w:t>2 intervencijama čiji je glavni cilj poboljšati rodnu ravnopravnost;</w:t>
      </w:r>
    </w:p>
    <w:p w14:paraId="2110514A" w14:textId="72AAD02D" w:rsidR="00D4529B" w:rsidRPr="00966EBD" w:rsidRDefault="00D84EDF" w:rsidP="00D4529B">
      <w:pPr>
        <w:pStyle w:val="NormalHanging12a1"/>
      </w:pPr>
      <w:r>
        <w:t>(</w:t>
      </w:r>
      <w:r w:rsidR="00D4529B" w:rsidRPr="00966EBD">
        <w:t>b)</w:t>
      </w:r>
      <w:r w:rsidR="00D4529B" w:rsidRPr="00966EBD">
        <w:tab/>
        <w:t>1 intervencijama kojima je rodna ravnopravnost važan i namjeravan cilj, ali ne i glavni razlog intervencije;</w:t>
      </w:r>
    </w:p>
    <w:p w14:paraId="0A0B3FAE" w14:textId="1BD4041E" w:rsidR="00D4529B" w:rsidRPr="00966EBD" w:rsidRDefault="00D84EDF" w:rsidP="00D4529B">
      <w:pPr>
        <w:pStyle w:val="NormalHanging12a1"/>
      </w:pPr>
      <w:r>
        <w:t>(</w:t>
      </w:r>
      <w:r w:rsidR="00D4529B" w:rsidRPr="00966EBD">
        <w:t>c)</w:t>
      </w:r>
      <w:r w:rsidR="00D4529B" w:rsidRPr="00966EBD">
        <w:tab/>
        <w:t xml:space="preserve">0 </w:t>
      </w:r>
      <w:proofErr w:type="spellStart"/>
      <w:r w:rsidR="00D4529B" w:rsidRPr="00966EBD">
        <w:t>neciljanim</w:t>
      </w:r>
      <w:proofErr w:type="spellEnd"/>
      <w:r w:rsidR="00D4529B" w:rsidRPr="00966EBD">
        <w:t xml:space="preserve"> intervencijama, to jest intervencijama za koje se ne očekuje da će znatno utjecati na rodnu ravnopravnost;</w:t>
      </w:r>
    </w:p>
    <w:p w14:paraId="6C96A7BC" w14:textId="3E83A2DC" w:rsidR="00D4529B" w:rsidRPr="00966EBD" w:rsidRDefault="00D84EDF" w:rsidP="00D4529B">
      <w:pPr>
        <w:pStyle w:val="NormalHanging12a1"/>
      </w:pPr>
      <w:r>
        <w:t>(</w:t>
      </w:r>
      <w:r w:rsidR="00D4529B" w:rsidRPr="00966EBD">
        <w:t>d)</w:t>
      </w:r>
      <w:r w:rsidR="00D4529B" w:rsidRPr="00966EBD">
        <w:tab/>
        <w:t>0* intervencijama s vjerojatnim, ali još nejasnim pozitivnim učinkom na rodnu ravnopravnost;</w:t>
      </w:r>
    </w:p>
    <w:p w14:paraId="6AADD9F8" w14:textId="77777777" w:rsidR="00D4529B" w:rsidRPr="00966EBD" w:rsidRDefault="00D4529B" w:rsidP="00D4529B">
      <w:pPr>
        <w:pStyle w:val="NormalHanging12a"/>
      </w:pPr>
      <w:r w:rsidRPr="00966EBD">
        <w:t>3.</w:t>
      </w:r>
      <w:r w:rsidRPr="00966EBD">
        <w:tab/>
        <w:t>napominje da se metodologija temelji na pokazatelju politike rodne ravnopravnosti koji je razvila Organizacija za gospodarsku suradnju i razvoj, kvalitativnog statističkog alata koji se koristi za praćenje i evidentiranje razvojnih aktivnosti usmjerenih na rodnu ravnopravnost kao cilj politike i koji Komisija primjenjuje na sve programe potrošnje proračuna EU-a u okviru podijeljenog, izravnog i neizravnog upravljanja;</w:t>
      </w:r>
    </w:p>
    <w:p w14:paraId="2A8FF6E8" w14:textId="2C24E52D" w:rsidR="00D4529B" w:rsidRPr="00966EBD" w:rsidRDefault="00D4529B" w:rsidP="00D4529B">
      <w:pPr>
        <w:pStyle w:val="NormalHanging12a"/>
        <w:rPr>
          <w:bCs/>
          <w:iCs/>
        </w:rPr>
      </w:pPr>
      <w:r w:rsidRPr="00966EBD">
        <w:t>4.</w:t>
      </w:r>
      <w:r w:rsidRPr="00966EBD">
        <w:tab/>
        <w:t xml:space="preserve">naglašava da se metodologija Komisije razlikuje od pokazatelja politike rodne ravnopravnosti koji je razvila Organizacija za gospodarsku suradnju i razvoj jer ne </w:t>
      </w:r>
      <w:r w:rsidRPr="00966EBD">
        <w:lastRenderedPageBreak/>
        <w:t xml:space="preserve">uključuje ocjenu kojom bi se omogućilo praćenje </w:t>
      </w:r>
      <w:r w:rsidR="005425D8">
        <w:t xml:space="preserve">mogućih </w:t>
      </w:r>
      <w:r w:rsidRPr="00966EBD">
        <w:t>negativnih učinaka potrošnje EU-a na ciljeve rodno osviještene politike i jer se njome uvodi kategorija 0* za intervencije s vjerojatnim, ali još uvijek nejasnim pozitivnim učinkom na rodnu ravnopravnost;</w:t>
      </w:r>
      <w:r w:rsidR="005425D8">
        <w:t xml:space="preserve"> </w:t>
      </w:r>
      <w:r w:rsidR="005425D8" w:rsidRPr="003B6EF9">
        <w:rPr>
          <w:bCs/>
          <w:iCs/>
          <w:snapToGrid/>
          <w:szCs w:val="24"/>
        </w:rPr>
        <w:t>ističe da bi u svakom slučaju trebalo izbjeći da metodologija Komisije dovede do neželjenih posljedica, kao što su odvraćanje ili odbijanje ulaganja u sektore koji su strateški, no u kojima tradicionalno dominira jedan spol, uključujući obrambeni sektor;</w:t>
      </w:r>
    </w:p>
    <w:p w14:paraId="6FFFE6C3" w14:textId="77777777" w:rsidR="00D4529B" w:rsidRPr="00966EBD" w:rsidRDefault="00D4529B" w:rsidP="00D4529B">
      <w:pPr>
        <w:pStyle w:val="Normal12a24b"/>
      </w:pPr>
      <w:r w:rsidRPr="00966EBD">
        <w:rPr>
          <w:rStyle w:val="BoldItalic"/>
        </w:rPr>
        <w:t>O provedbi metodologije koju je razvila Komisija</w:t>
      </w:r>
    </w:p>
    <w:p w14:paraId="4744C7CB" w14:textId="77777777" w:rsidR="00D4529B" w:rsidRPr="00966EBD" w:rsidRDefault="00D4529B" w:rsidP="00D4529B">
      <w:pPr>
        <w:pStyle w:val="NormalHanging12a"/>
      </w:pPr>
      <w:r w:rsidRPr="00966EBD">
        <w:t>5.</w:t>
      </w:r>
      <w:r w:rsidRPr="00966EBD">
        <w:tab/>
        <w:t>napominje da je metodologija prvi put upotrijebljena u postupku izrade procjena proračuna EU-a za financijsku godinu 2023., uz retroaktivnu primjenu na proračune za financijske godine 2021. i 2022.;</w:t>
      </w:r>
    </w:p>
    <w:p w14:paraId="34B18173" w14:textId="77777777" w:rsidR="00D4529B" w:rsidRPr="00966EBD" w:rsidRDefault="00D4529B" w:rsidP="00D4529B">
      <w:pPr>
        <w:pStyle w:val="NormalHanging12a"/>
      </w:pPr>
      <w:r w:rsidRPr="00966EBD">
        <w:t>6.</w:t>
      </w:r>
      <w:r w:rsidRPr="00966EBD">
        <w:tab/>
        <w:t>napominje da je za financijsku godinu 2021., u trenutku objave povezanog godišnjeg izvješća o uspješnosti upravljanja i od 352 milijarde EUR u obvezama, ocjenu 2 dobilo 1 % obveza, ocjenu 1 njih 3 %, ocjenu 0 njih 1 %, a ocjenu 0* dobilo je 95 % obveza;</w:t>
      </w:r>
    </w:p>
    <w:p w14:paraId="18BFF64A" w14:textId="77777777" w:rsidR="00D4529B" w:rsidRPr="00966EBD" w:rsidRDefault="00D4529B" w:rsidP="00D4529B">
      <w:pPr>
        <w:pStyle w:val="NormalHanging12a"/>
      </w:pPr>
      <w:r w:rsidRPr="00966EBD">
        <w:t>7.</w:t>
      </w:r>
      <w:r w:rsidRPr="00966EBD">
        <w:tab/>
        <w:t>napominje da je za financijsku godinu 2022., u trenutku objave povezanog godišnjeg izvješća o uspješnosti upravljanja i od 321 milijarde EUR u obvezama, ocjenu 2 dobilo 2 % obveza, ocjenu 1 njih 9 %, ocjenu 0 njih 16 %, a ocjenu 0* dobilo je 73 % obveza;</w:t>
      </w:r>
    </w:p>
    <w:p w14:paraId="175842BC" w14:textId="77777777" w:rsidR="00D4529B" w:rsidRPr="00966EBD" w:rsidRDefault="00D4529B" w:rsidP="00D4529B">
      <w:pPr>
        <w:pStyle w:val="NormalHanging12a"/>
      </w:pPr>
      <w:r w:rsidRPr="00966EBD">
        <w:t>8.</w:t>
      </w:r>
      <w:r w:rsidRPr="00966EBD">
        <w:tab/>
        <w:t>napominje da je za financijsku godinu 2023., u trenutku objave povezanog godišnjeg izvješća o uspješnosti upravljanja i od 427 milijardi EUR u obvezama, ocjenu 2 dobilo 2 % obveza, ocjenu 1 njih 9 %, ocjenu 0 njih 69 %, a ocjenu 0* dobilo je 20 % obveza;</w:t>
      </w:r>
    </w:p>
    <w:p w14:paraId="3004F593" w14:textId="77777777" w:rsidR="00D4529B" w:rsidRPr="00966EBD" w:rsidRDefault="00D4529B" w:rsidP="00D4529B">
      <w:pPr>
        <w:pStyle w:val="NormalHanging12a"/>
      </w:pPr>
      <w:r w:rsidRPr="00966EBD">
        <w:t>9.</w:t>
      </w:r>
      <w:r w:rsidRPr="00966EBD">
        <w:tab/>
        <w:t>napominje da je za financijsku godinu 2024., u trenutku objave povezanog godišnjeg izvješća o uspješnosti upravljanja i od 195 milijardi EUR u obvezama, ocjenu 2 dobilo 3 % obveza, ocjenu 1 njih 17 %, ocjenu 0 njih 65 %, a ocjenu 0* dobilo je 16 % obveza;</w:t>
      </w:r>
    </w:p>
    <w:p w14:paraId="494DC29F" w14:textId="77777777" w:rsidR="00D4529B" w:rsidRPr="00966EBD" w:rsidRDefault="00D4529B" w:rsidP="00D4529B">
      <w:pPr>
        <w:pStyle w:val="NormalHanging12a"/>
      </w:pPr>
      <w:r w:rsidRPr="00966EBD">
        <w:t>10.</w:t>
      </w:r>
      <w:r w:rsidRPr="00966EBD">
        <w:tab/>
        <w:t>shvaća da je smanjenje udjela obveza s ocjenom 0* tijekom godina rezultat poboljšanja prikupljanja i dostupnosti podataka kao i Komisijine sposobnosti izvješćivanja, što je njezinim glavnim upravama omogućilo da detaljnije mjere doprinos svojih programa rodnoj ravnopravnosti;</w:t>
      </w:r>
    </w:p>
    <w:p w14:paraId="47302CC5" w14:textId="77777777" w:rsidR="00D4529B" w:rsidRPr="00966EBD" w:rsidRDefault="00D4529B" w:rsidP="00D4529B">
      <w:pPr>
        <w:pStyle w:val="NormalHanging12a"/>
      </w:pPr>
      <w:r w:rsidRPr="00966EBD">
        <w:t>11.</w:t>
      </w:r>
      <w:r w:rsidRPr="00966EBD">
        <w:tab/>
        <w:t>nadalje razumije da usporedba brojki koje odražavaju godišnje rezultate između financijskih godina ili izvlačenje pouka iz takvih usporedbi nema veliku dodanu vrijednost zbog ograničene dostupnosti podataka i ograničenog kapaciteta izvješćivanja u prvim financijskim godinama za koje je ova metodologija korištena;</w:t>
      </w:r>
    </w:p>
    <w:p w14:paraId="1E3267B2" w14:textId="77777777" w:rsidR="00D4529B" w:rsidRPr="00966EBD" w:rsidRDefault="00D4529B" w:rsidP="00D4529B">
      <w:pPr>
        <w:pStyle w:val="NormalHanging12a"/>
      </w:pPr>
      <w:r w:rsidRPr="00966EBD">
        <w:t>12.</w:t>
      </w:r>
      <w:r w:rsidRPr="00966EBD">
        <w:tab/>
        <w:t>napominje da Komisija smatra da je za intervencije s dodijeljenom ocjenom 2 ili 1 moguće smatrati da se njima promiče rodna ravnopravnost i da se, s obzirom na to, intervencijama u vrijednosti od 37,99 milijardi EUR promicala rodna ravnopravnost 2024., dok je ta brojka 2021. iznosila 10,76 milijardi EUR, 2022. godine 37,83 milijarde EUR i 2023. godine 47,99 milijardi EUR;</w:t>
      </w:r>
    </w:p>
    <w:p w14:paraId="0EC0E13F" w14:textId="77777777" w:rsidR="00D4529B" w:rsidRPr="00966EBD" w:rsidRDefault="00D4529B" w:rsidP="00D4529B">
      <w:pPr>
        <w:pStyle w:val="NormalHanging12a"/>
      </w:pPr>
      <w:r w:rsidRPr="00966EBD">
        <w:t>13.</w:t>
      </w:r>
      <w:r w:rsidRPr="00966EBD">
        <w:tab/>
        <w:t>napominje da je smanjenje apsolutne vrijednosti intervencija za promicanje rodne ravnopravnosti između 2023. i 2024. izravna posljedica smanjenja ukupnog iznosa obveza između te dvije financijske godine, što se u velikoj mjeri objašnjava postupnim ukidanjem obveza u okviru Mehanizma za oporavak i otpornost;</w:t>
      </w:r>
    </w:p>
    <w:p w14:paraId="188DEF9A" w14:textId="77777777" w:rsidR="00D4529B" w:rsidRPr="00966EBD" w:rsidRDefault="00D4529B" w:rsidP="00D4529B">
      <w:pPr>
        <w:pStyle w:val="NormalHanging12a"/>
      </w:pPr>
      <w:r w:rsidRPr="00966EBD">
        <w:lastRenderedPageBreak/>
        <w:t>14.</w:t>
      </w:r>
      <w:r w:rsidRPr="00966EBD">
        <w:tab/>
        <w:t>napominje da je, uz rezultate dostavljene za svaku financijsku godinu, Komisija u Godišnjem izvješću o upravljanju proračunom EU-a i o njegovu izvršenju za 2024. objavila ponovnu procjenu svih prethodnih rezultata na temelju novijih i sveobuhvatnih procjena svojih programa, što je rezultiralo ukupnim trendovima koji upućuju na to da je za intervencije u razdoblju 2021. – 2024. njih 2 % dobilo ocjenu 2, njih 10 % ocjenu 1, njih 83 % ocjenu 0, dok je 5 % intervencija dobilo ocjenu 0*; nadalje napominje da je prema ponovnoj procjeni Komisije u financijskim godinama 2021. – 2024. 12 % proračunskih rashoda EU-a doprinijelo promicanju rodne ravnopravnosti (s ocjenama 1 i 2), što iznosi 158,4 milijarde EUR;</w:t>
      </w:r>
    </w:p>
    <w:p w14:paraId="182DA5E3" w14:textId="77777777" w:rsidR="00D4529B" w:rsidRPr="00966EBD" w:rsidRDefault="00D4529B" w:rsidP="00D4529B">
      <w:pPr>
        <w:pStyle w:val="NormalHanging12a"/>
      </w:pPr>
      <w:r w:rsidRPr="00966EBD">
        <w:t>15.</w:t>
      </w:r>
      <w:r w:rsidRPr="00966EBD">
        <w:tab/>
        <w:t>naglašava da svi proračunski programi EU-a ne ostvaruju jednake rezultate u pogledu integracije roda kao horizontalnog prioriteta, pri čemu neki programi ostvaruju mnogo bolje rezultate zbog svojeg oblikovanja politika, kao što su programi u okviru naslova 6. „Susjedstvo i svijet”, u kojem je rodna ravnopravnost utvrđena kao međusektorski prioritet s jasnim ciljevima i kriterijima, te posebni programi u okviru drugih naslova kao što je Obzor Europa, kojima se, zahvaljujući zahtjevu da se pri izradi proračuna kojim se uzima u obzir rodna perspektiva, potiče rodna ravnopravnost, ali i pozitivno utječe na prakse država članica unakrsnom kontaminacijom tijekom faze provedbe na nacionalnoj razini;</w:t>
      </w:r>
    </w:p>
    <w:p w14:paraId="2A41BF1F" w14:textId="77777777" w:rsidR="00D4529B" w:rsidRPr="00966EBD" w:rsidRDefault="00D4529B" w:rsidP="00D4529B">
      <w:pPr>
        <w:pStyle w:val="NormalHanging12a"/>
      </w:pPr>
      <w:r w:rsidRPr="00966EBD">
        <w:t>16.</w:t>
      </w:r>
      <w:r w:rsidRPr="00966EBD">
        <w:tab/>
        <w:t>žali zbog toga što korištena metodologija, koja je alat za praćenje posebno osmišljen za operativne proračune, ne omogućuje pravilnu procjenu administrativnih proračuna institucija i tijela EU-a;</w:t>
      </w:r>
    </w:p>
    <w:p w14:paraId="374DD0F1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17.</w:t>
      </w:r>
      <w:r w:rsidRPr="00966EBD">
        <w:tab/>
        <w:t xml:space="preserve">konstatira da je područje primjene metodologije ograničeno jer na adekvatan način ne obuhvaća sekundarne ili neizravne učinke programa na rodnu ravnopravnost, potencijalne negativne učinke ili </w:t>
      </w:r>
      <w:proofErr w:type="spellStart"/>
      <w:r w:rsidRPr="00966EBD">
        <w:t>intersekcijske</w:t>
      </w:r>
      <w:proofErr w:type="spellEnd"/>
      <w:r w:rsidRPr="00966EBD">
        <w:t xml:space="preserve"> dimenzije potrebne za sveobuhvatnu procjenu učinaka politike;</w:t>
      </w:r>
    </w:p>
    <w:p w14:paraId="3F558EBC" w14:textId="05B060D7" w:rsidR="00D4529B" w:rsidRPr="00966EBD" w:rsidRDefault="00D4529B" w:rsidP="00D4529B">
      <w:pPr>
        <w:pStyle w:val="NormalHanging12a"/>
      </w:pPr>
      <w:r w:rsidRPr="00966EBD">
        <w:t>18.</w:t>
      </w:r>
      <w:r w:rsidRPr="00966EBD">
        <w:tab/>
      </w:r>
      <w:r w:rsidR="005425D8" w:rsidRPr="005425D8">
        <w:rPr>
          <w:snapToGrid/>
          <w:szCs w:val="24"/>
        </w:rPr>
        <w:t xml:space="preserve">nadalje </w:t>
      </w:r>
      <w:r w:rsidR="005425D8" w:rsidRPr="003B6EF9">
        <w:rPr>
          <w:snapToGrid/>
          <w:szCs w:val="24"/>
        </w:rPr>
        <w:t>konstatira da se</w:t>
      </w:r>
      <w:r w:rsidR="005425D8" w:rsidRPr="005425D8">
        <w:rPr>
          <w:snapToGrid/>
          <w:szCs w:val="24"/>
        </w:rPr>
        <w:t xml:space="preserve"> potencijalni negativni učinci programa na rodnu ravnopravnost </w:t>
      </w:r>
      <w:r w:rsidR="005425D8" w:rsidRPr="003B6EF9">
        <w:rPr>
          <w:snapToGrid/>
          <w:szCs w:val="24"/>
        </w:rPr>
        <w:t>nedovoljno uzimaju</w:t>
      </w:r>
      <w:r w:rsidR="005425D8" w:rsidRPr="005425D8">
        <w:rPr>
          <w:snapToGrid/>
          <w:szCs w:val="24"/>
        </w:rPr>
        <w:t xml:space="preserve"> u obzir, posebno </w:t>
      </w:r>
      <w:r w:rsidR="005425D8" w:rsidRPr="003B6EF9">
        <w:rPr>
          <w:snapToGrid/>
          <w:szCs w:val="24"/>
        </w:rPr>
        <w:t>u sektorima kao što su konkurentnost, obrana i pripravnost;</w:t>
      </w:r>
      <w:r w:rsidR="005425D8" w:rsidRPr="005425D8">
        <w:rPr>
          <w:snapToGrid/>
          <w:szCs w:val="24"/>
        </w:rPr>
        <w:t xml:space="preserve"> </w:t>
      </w:r>
      <w:r w:rsidR="005425D8" w:rsidRPr="003B6EF9">
        <w:rPr>
          <w:snapToGrid/>
          <w:szCs w:val="24"/>
        </w:rPr>
        <w:t>ističe da promicanje rodne ravnopravnosti ne bi smjelo dovesti do ograničenja ili smanjenja ulaganja u ključne sektore; poziva Komisiju da predloži konkretne mjere za poboljšanje rodne ravnopravnosti, osiguravajući pritom da se negativno ne utječe na odluke o ulaganjima;</w:t>
      </w:r>
    </w:p>
    <w:p w14:paraId="50518C53" w14:textId="77777777" w:rsidR="00D4529B" w:rsidRPr="00966EBD" w:rsidRDefault="00D4529B" w:rsidP="00D4529B">
      <w:pPr>
        <w:pStyle w:val="NormalHanging12a"/>
      </w:pPr>
      <w:r w:rsidRPr="00966EBD">
        <w:t>19.</w:t>
      </w:r>
      <w:r w:rsidRPr="00966EBD">
        <w:tab/>
        <w:t xml:space="preserve">žali zbog toga što zbog ex post prirode metodologije nije moguće strukturno utjecati na izradu politika u ex </w:t>
      </w:r>
      <w:proofErr w:type="spellStart"/>
      <w:r w:rsidRPr="00966EBD">
        <w:t>ante</w:t>
      </w:r>
      <w:proofErr w:type="spellEnd"/>
      <w:r w:rsidRPr="00966EBD">
        <w:t xml:space="preserve"> fazi ili na prikupljanje i dodjelu financijskih sredstava, što je ključno za pravilno uključivanje rodne ravnopravnosti u programe EU-a;</w:t>
      </w:r>
    </w:p>
    <w:p w14:paraId="638137AC" w14:textId="77777777" w:rsidR="00D4529B" w:rsidRPr="00966EBD" w:rsidRDefault="00D4529B" w:rsidP="00D4529B">
      <w:pPr>
        <w:pStyle w:val="Normal12a24b"/>
      </w:pPr>
      <w:r w:rsidRPr="00966EBD">
        <w:rPr>
          <w:rStyle w:val="BoldItalic"/>
        </w:rPr>
        <w:t>O širem pristupu rodno osviještenoj politici u financijskim programima EU-a</w:t>
      </w:r>
    </w:p>
    <w:p w14:paraId="6F41B46C" w14:textId="77777777" w:rsidR="00D4529B" w:rsidRPr="00966EBD" w:rsidRDefault="00D4529B" w:rsidP="00D4529B">
      <w:pPr>
        <w:pStyle w:val="NormalHanging12a"/>
      </w:pPr>
      <w:r w:rsidRPr="00966EBD">
        <w:t>20.</w:t>
      </w:r>
      <w:r w:rsidRPr="00966EBD">
        <w:tab/>
        <w:t>napominje da, osim metodologije rodno osviještene politike koja se primjenjuje na proračun EU-a, određeni programi EU-a imaju uključenu rodnu ravnopravnost u svoje pravne osnove, dok drugi to ne čine;</w:t>
      </w:r>
    </w:p>
    <w:p w14:paraId="46B38580" w14:textId="77777777" w:rsidR="00D4529B" w:rsidRPr="00966EBD" w:rsidRDefault="00D4529B" w:rsidP="00D4529B">
      <w:pPr>
        <w:pStyle w:val="NormalHanging12a"/>
      </w:pPr>
      <w:r w:rsidRPr="00966EBD">
        <w:t>21.</w:t>
      </w:r>
      <w:r w:rsidRPr="00966EBD">
        <w:tab/>
        <w:t>napominje da je dvojni pristup Komisije rodno osviještenoj politici, podijeljen na praćenje proračuna EU-a i postavljanje ciljeva utvrđenih u pravnim osnovama programa, koristan okvir, ali je taj pristup rascjepkan i ne utječe na sve programe u jednakoj mjeri, čime se smanjuje usklađenost pristupa EU-a rodnoj ravnopravnosti;</w:t>
      </w:r>
    </w:p>
    <w:p w14:paraId="7015597C" w14:textId="77777777" w:rsidR="00D4529B" w:rsidRPr="00966EBD" w:rsidRDefault="00D4529B" w:rsidP="00D4529B">
      <w:pPr>
        <w:pStyle w:val="Normal12a24b"/>
        <w:rPr>
          <w:rStyle w:val="BoldItalic"/>
        </w:rPr>
      </w:pPr>
      <w:r w:rsidRPr="00966EBD">
        <w:rPr>
          <w:rStyle w:val="BoldItalic"/>
        </w:rPr>
        <w:lastRenderedPageBreak/>
        <w:t>Zaključne napomene</w:t>
      </w:r>
    </w:p>
    <w:p w14:paraId="7E16F004" w14:textId="77777777" w:rsidR="00D4529B" w:rsidRPr="00966EBD" w:rsidRDefault="00D4529B" w:rsidP="00D4529B">
      <w:pPr>
        <w:pStyle w:val="NormalHanging12a"/>
      </w:pPr>
      <w:r w:rsidRPr="00966EBD">
        <w:t>22.</w:t>
      </w:r>
      <w:r w:rsidRPr="00966EBD">
        <w:tab/>
        <w:t>prima na znanje procjenu Komisije o provedbi rodno osviještene politike u proračunu EU-a</w:t>
      </w:r>
      <w:r w:rsidRPr="00966EBD">
        <w:rPr>
          <w:rStyle w:val="FootnoteReference"/>
        </w:rPr>
        <w:footnoteReference w:id="11"/>
      </w:r>
      <w:r w:rsidRPr="00966EBD">
        <w:t xml:space="preserve"> i dijeli mišljenje da bi u preostalim godinama VFO-a za razdoblje 2021. – 2027. prioritet trebao biti nastavak evaluacije programa kako bi se bolje procijenio njihov doprinos rodnoj ravnopravnosti i izvukle pouke o njihovoj provedbi, uz dobru upotrebu poboljšanog izvješćivanja o podacima razvrstanima po spolu koje se primjenjuje od 2023.; naglašava potrebu za pojačanom suradnjom sa svim državama članicama kako bi se uskladile metodologije i izbjegla bilo kakva fragmentacija u njihovim pristupima, kao i za poboljšanjem prikupljanja i objedinjavanja podataka te izvješćivanja o njima;</w:t>
      </w:r>
    </w:p>
    <w:p w14:paraId="5102C0F7" w14:textId="77777777" w:rsidR="00D4529B" w:rsidRPr="00966EBD" w:rsidRDefault="00D4529B" w:rsidP="00D4529B">
      <w:pPr>
        <w:pStyle w:val="NormalHanging12a"/>
      </w:pPr>
      <w:r w:rsidRPr="00966EBD">
        <w:t>23.</w:t>
      </w:r>
      <w:r w:rsidRPr="00966EBD">
        <w:tab/>
        <w:t xml:space="preserve">potvrđuje da, iako je metodologija koju je razvila Komisija koristan alat za procjenu doprinosa proračuna EU-a rodnoj ravnopravnosti, ona sadržava ograničenja koja predstavljaju prepreku njezinoj sposobnosti za </w:t>
      </w:r>
      <w:proofErr w:type="spellStart"/>
      <w:r w:rsidRPr="00966EBD">
        <w:t>transformativan</w:t>
      </w:r>
      <w:proofErr w:type="spellEnd"/>
      <w:r w:rsidRPr="00966EBD">
        <w:t xml:space="preserve"> učinak; naglašava važnost osiguravanja dostupnosti podataka i upotrebe konkretnih, mjerljivih, ostvarivih, relevantnih i vremenski ograničenih pokazatelja uspješnosti u tom pogledu;</w:t>
      </w:r>
    </w:p>
    <w:p w14:paraId="71B192C7" w14:textId="77777777" w:rsidR="00D4529B" w:rsidRPr="00966EBD" w:rsidRDefault="00D4529B" w:rsidP="00D4529B">
      <w:pPr>
        <w:pStyle w:val="NormalHanging12a"/>
      </w:pPr>
      <w:r w:rsidRPr="00966EBD">
        <w:t>24.</w:t>
      </w:r>
      <w:r w:rsidRPr="00966EBD">
        <w:tab/>
        <w:t xml:space="preserve">naglašava da je, s obzirom na to da na proračun EU-a utječu višestruke krize i promjene u političkim prioritetima, ključno da se rodno osviještena izrada proračuna proporcionalno uključi u središte proračunskog ciklusa programa ex </w:t>
      </w:r>
      <w:proofErr w:type="spellStart"/>
      <w:r w:rsidRPr="00966EBD">
        <w:t>ante</w:t>
      </w:r>
      <w:proofErr w:type="spellEnd"/>
      <w:r w:rsidRPr="00966EBD">
        <w:t>, među ostalim u novim prioritetnim područjima kao što su konkurentnost, obrana i pripravnost;</w:t>
      </w:r>
    </w:p>
    <w:p w14:paraId="4458CE55" w14:textId="77777777" w:rsidR="00D4529B" w:rsidRPr="00966EBD" w:rsidRDefault="00D4529B" w:rsidP="00D4529B">
      <w:pPr>
        <w:pStyle w:val="NormalHanging12a"/>
      </w:pPr>
      <w:r w:rsidRPr="00966EBD">
        <w:t>25.</w:t>
      </w:r>
      <w:r w:rsidRPr="00966EBD">
        <w:tab/>
        <w:t>poziva Komisiju da razvije cjelovit i sveobuhvatan pristup izradi rodno osjetljivog proračuna te posebnu i sveobuhvatnu metodologiju za proračun EU-a, koja će biti u potpunosti operativna od početka sljedećeg programskog razdoblja, s mogućnošću uvođenja promjena koje omogućuje njezina sposobnost utjecaja na cijeli proračunski ciklus, te da riješi probleme utvrđene u ovoj rezoluciji, kako bi se osiguralo dobro financijsko upravljanje sredstvima EU-a;</w:t>
      </w:r>
    </w:p>
    <w:p w14:paraId="1DF07E67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26.</w:t>
      </w:r>
      <w:r w:rsidRPr="00966EBD">
        <w:tab/>
        <w:t>ističe da bi, uz VFO, svaki instrument usvojen u skladu s člankom 122. UFEU-a također trebao primjenjivati odredbe o rodno osviještenoj politici i izradi proračuna, prema potrebi, bez mijenjanja ciljeva programa, kriterija prihvatljivosti ili kriterija za dodjelu koji su već utvrđeni u sektorskom zakonodavstvu, kako bi se na sveobuhvatan i dosljedan način pratio doprinos EU-a promicanju rodne ravnopravnosti u svim instrumentima financiranja;</w:t>
      </w:r>
    </w:p>
    <w:p w14:paraId="2E2E01FF" w14:textId="77777777" w:rsidR="00D4529B" w:rsidRPr="00966EBD" w:rsidRDefault="00D4529B" w:rsidP="00D4529B">
      <w:pPr>
        <w:pStyle w:val="NormalHanging12a"/>
      </w:pPr>
      <w:r w:rsidRPr="00966EBD">
        <w:t>27.</w:t>
      </w:r>
      <w:r w:rsidRPr="00966EBD">
        <w:tab/>
        <w:t xml:space="preserve">poziva Komisiju da provede sustavne ex </w:t>
      </w:r>
      <w:proofErr w:type="spellStart"/>
      <w:r w:rsidRPr="00966EBD">
        <w:t>ante</w:t>
      </w:r>
      <w:proofErr w:type="spellEnd"/>
      <w:r w:rsidRPr="00966EBD">
        <w:t xml:space="preserve"> procjene učinka u kojima se analiziraju i konkretni učinci politika i mjera fiskalne politike EU-a, uključujući porezne programe i programe državnih potpora, na rodnu ravnopravnost, u skladu sa smjernicama za bolju regulativu, u cilju utvrđivanja i ublažavanja rodnih razlika; naglašava da bi također trebalo pažljivo razmotriti socijalne i gospodarske učinke poboljšane rodne ravnopravnosti, uzimajući pritom u obzir administrativne troškove za mala i srednja poduzeća;</w:t>
      </w:r>
    </w:p>
    <w:p w14:paraId="360F5F8A" w14:textId="5A7FC5BC" w:rsidR="00D4529B" w:rsidRPr="00966EBD" w:rsidRDefault="00D4529B" w:rsidP="00D4529B">
      <w:pPr>
        <w:pStyle w:val="NormalHanging12a"/>
      </w:pPr>
      <w:r w:rsidRPr="00966EBD">
        <w:t>28.</w:t>
      </w:r>
      <w:r w:rsidRPr="00966EBD">
        <w:tab/>
      </w:r>
      <w:r w:rsidR="005425D8" w:rsidRPr="003B6EF9">
        <w:rPr>
          <w:bCs/>
          <w:iCs/>
          <w:snapToGrid/>
          <w:szCs w:val="24"/>
        </w:rPr>
        <w:t>podsjeća da svi zakonodavni prijedlozi EU-a moraju biti u skladu s primarnim pravom EU-a, uključujući načelo rodne ravnopravnosti;</w:t>
      </w:r>
      <w:r w:rsidR="005425D8" w:rsidRPr="005425D8">
        <w:rPr>
          <w:bCs/>
          <w:iCs/>
          <w:snapToGrid/>
          <w:szCs w:val="24"/>
        </w:rPr>
        <w:t xml:space="preserve"> </w:t>
      </w:r>
      <w:r w:rsidR="005425D8" w:rsidRPr="003B6EF9">
        <w:rPr>
          <w:bCs/>
          <w:iCs/>
          <w:snapToGrid/>
          <w:szCs w:val="24"/>
        </w:rPr>
        <w:t>poziva Komisiju da</w:t>
      </w:r>
      <w:r w:rsidR="003B6EF9">
        <w:rPr>
          <w:bCs/>
          <w:iCs/>
          <w:snapToGrid/>
          <w:szCs w:val="24"/>
        </w:rPr>
        <w:t xml:space="preserve"> </w:t>
      </w:r>
      <w:r w:rsidR="005425D8" w:rsidRPr="003B6EF9">
        <w:rPr>
          <w:bCs/>
          <w:iCs/>
          <w:snapToGrid/>
          <w:szCs w:val="24"/>
        </w:rPr>
        <w:t>prilikom pripreme zakonodavnih prijedloga ojača svoje</w:t>
      </w:r>
      <w:r w:rsidR="005425D8" w:rsidRPr="005425D8">
        <w:rPr>
          <w:bCs/>
          <w:iCs/>
          <w:snapToGrid/>
          <w:szCs w:val="24"/>
        </w:rPr>
        <w:t xml:space="preserve"> </w:t>
      </w:r>
      <w:r w:rsidR="005425D8" w:rsidRPr="003B6EF9">
        <w:rPr>
          <w:bCs/>
          <w:iCs/>
          <w:snapToGrid/>
          <w:szCs w:val="24"/>
        </w:rPr>
        <w:t xml:space="preserve">ex </w:t>
      </w:r>
      <w:proofErr w:type="spellStart"/>
      <w:r w:rsidR="005425D8" w:rsidRPr="003B6EF9">
        <w:rPr>
          <w:bCs/>
          <w:iCs/>
          <w:snapToGrid/>
          <w:szCs w:val="24"/>
        </w:rPr>
        <w:t>ante</w:t>
      </w:r>
      <w:proofErr w:type="spellEnd"/>
      <w:r w:rsidR="005425D8" w:rsidRPr="005425D8">
        <w:rPr>
          <w:bCs/>
          <w:iCs/>
          <w:snapToGrid/>
          <w:szCs w:val="24"/>
        </w:rPr>
        <w:t xml:space="preserve"> procjene učinka </w:t>
      </w:r>
      <w:r w:rsidR="005425D8" w:rsidRPr="003B6EF9">
        <w:rPr>
          <w:bCs/>
          <w:iCs/>
          <w:snapToGrid/>
          <w:szCs w:val="24"/>
        </w:rPr>
        <w:t xml:space="preserve">kako bi se pažljivo </w:t>
      </w:r>
      <w:r w:rsidR="005425D8" w:rsidRPr="003B6EF9">
        <w:rPr>
          <w:bCs/>
          <w:iCs/>
          <w:snapToGrid/>
          <w:szCs w:val="24"/>
        </w:rPr>
        <w:lastRenderedPageBreak/>
        <w:t>razmotrili i sveli</w:t>
      </w:r>
      <w:r w:rsidR="005425D8" w:rsidRPr="005425D8">
        <w:rPr>
          <w:bCs/>
          <w:iCs/>
          <w:snapToGrid/>
          <w:szCs w:val="24"/>
        </w:rPr>
        <w:t xml:space="preserve"> na </w:t>
      </w:r>
      <w:r w:rsidR="005425D8" w:rsidRPr="003B6EF9">
        <w:rPr>
          <w:bCs/>
          <w:iCs/>
          <w:snapToGrid/>
          <w:szCs w:val="24"/>
        </w:rPr>
        <w:t>najmanju moguću mjeru svi mogući negativni učinci na rodnu ravnopravnost</w:t>
      </w:r>
      <w:r w:rsidR="005425D8" w:rsidRPr="005425D8">
        <w:rPr>
          <w:bCs/>
          <w:iCs/>
          <w:snapToGrid/>
          <w:szCs w:val="24"/>
        </w:rPr>
        <w:t xml:space="preserve"> u EU-u</w:t>
      </w:r>
      <w:r w:rsidR="005425D8" w:rsidRPr="005425D8">
        <w:rPr>
          <w:snapToGrid/>
          <w:szCs w:val="24"/>
        </w:rPr>
        <w:t>;</w:t>
      </w:r>
    </w:p>
    <w:p w14:paraId="06D10B0D" w14:textId="712F2263" w:rsidR="00D4529B" w:rsidRPr="00966EBD" w:rsidRDefault="00D4529B" w:rsidP="00D4529B">
      <w:pPr>
        <w:pStyle w:val="NormalHanging12a"/>
      </w:pPr>
      <w:r w:rsidRPr="00966EBD">
        <w:t>29.</w:t>
      </w:r>
      <w:r w:rsidRPr="00966EBD">
        <w:tab/>
        <w:t>potiče Komisiju da uspostavi „mehanizam za zaštitu rodne ravnopravnosti” kao standardni dio zakonodavnih postupaka EU-a, koji bi zahtijevao reviziju svakog prijedloga za koji se analizom Revizorskog suda pokaže da ugrožava strategiju i ciljeve EU-a u pogledu rodne ravnopravnosti;</w:t>
      </w:r>
    </w:p>
    <w:p w14:paraId="1CA1A401" w14:textId="77777777" w:rsidR="00D4529B" w:rsidRPr="00966EBD" w:rsidRDefault="00D4529B" w:rsidP="00D4529B">
      <w:pPr>
        <w:pStyle w:val="NormalHanging12a"/>
      </w:pPr>
      <w:r w:rsidRPr="00966EBD">
        <w:t>30.</w:t>
      </w:r>
      <w:r w:rsidRPr="00966EBD">
        <w:tab/>
        <w:t>žali zbog neravnoteže rodne zastupljenosti među dužnosnicima i političkim predstavnicima i na razini EU-a i na razini država članica, čime se ugrožava načelo rodne ravnopravnosti u zastupljenosti;</w:t>
      </w:r>
    </w:p>
    <w:p w14:paraId="001D6946" w14:textId="38472DC5" w:rsidR="00D4529B" w:rsidRPr="00966EBD" w:rsidRDefault="00D4529B" w:rsidP="00D4529B">
      <w:pPr>
        <w:pStyle w:val="NormalHanging12a"/>
      </w:pPr>
      <w:r w:rsidRPr="00966EBD">
        <w:t>31.</w:t>
      </w:r>
      <w:r w:rsidRPr="00966EBD">
        <w:tab/>
        <w:t>poziva Komisiju da procijeni izvedivost uvođenja daljnjih mjera za rodnu ravnopravnost na upravljačkoj razini kako bi se osiguralo da svi rodovi budu dovoljno uključeni u oblikovanje politika putem ciljanih programa potpore;</w:t>
      </w:r>
    </w:p>
    <w:p w14:paraId="035C4AAC" w14:textId="1DB3B782" w:rsidR="00D4529B" w:rsidRPr="00966EBD" w:rsidRDefault="00D4529B" w:rsidP="00D4529B">
      <w:pPr>
        <w:pStyle w:val="NormalHanging12a"/>
      </w:pPr>
      <w:r w:rsidRPr="00966EBD">
        <w:t>32.</w:t>
      </w:r>
      <w:r w:rsidRPr="00966EBD">
        <w:tab/>
        <w:t>poziva Komisiju da osigura da se minimalni udio proračuna EU-a namijeni rodnoj ravnopravnosti kao glavnom cilju (što odgovara ocjeni 2 u trenutačnoj metodologiji);</w:t>
      </w:r>
    </w:p>
    <w:p w14:paraId="06A94A5B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33.</w:t>
      </w:r>
      <w:r w:rsidRPr="00966EBD">
        <w:tab/>
        <w:t>poziva Komisiju da analizira mogućnost postavljanja kvantitativnog cilja u sljedeće programsko razdoblje za dio proračuna EU-a kojim se doprinosi promicanju rodne ravnopravnosti (što odgovara ocjeni 2 ili 1 u trenutačnoj metodologiji), imajući na umu da su se takvi ciljevi pokazali korisnima za unapređivanje ciljeva EU-a u području klime i biološke raznolikosti;</w:t>
      </w:r>
    </w:p>
    <w:p w14:paraId="27964ACE" w14:textId="77777777" w:rsidR="00D4529B" w:rsidRPr="00966EBD" w:rsidRDefault="00D4529B" w:rsidP="00D4529B">
      <w:pPr>
        <w:pStyle w:val="NormalHanging12a"/>
      </w:pPr>
      <w:r w:rsidRPr="00966EBD">
        <w:t>34.</w:t>
      </w:r>
      <w:r w:rsidRPr="00966EBD">
        <w:tab/>
        <w:t>poziva Komisiju i Vijeće da poštuju odredbe utvrđene u revidiranoj Financijskoj uredbi tijekom pregovora o sljedećoj generaciji programa, odnosno da se programi i aktivnosti, ako je to izvedivo i primjereno, provode u skladu s relevantnim sektorskim pravilima, uzimajući u obzir načelo rodne ravnopravnosti i u skladu s odgovarajućom metodologijom rodno osviještene politike;</w:t>
      </w:r>
    </w:p>
    <w:p w14:paraId="4BC087E9" w14:textId="77777777" w:rsidR="00D4529B" w:rsidRPr="00966EBD" w:rsidRDefault="00D4529B" w:rsidP="00D4529B">
      <w:pPr>
        <w:pStyle w:val="NormalHanging12a"/>
      </w:pPr>
      <w:r w:rsidRPr="00966EBD">
        <w:t>35.</w:t>
      </w:r>
      <w:r w:rsidRPr="00966EBD">
        <w:tab/>
        <w:t xml:space="preserve">smatra da je vrlo važno, u skladu s revidiranom Financijskom uredbom, osigurati da sljedeća generacija programa uključuje ciljeve koji omogućuju, prema potrebi, prikupljanje podataka raščlanjenih po spolu i objedinjavanje takvih podataka u svim relevantnim programima; poziva Komisiju na daljnji razvoj i poboljšanje svoje metodologije praćenja doprinosa proračuna EU-a rodnoj ravnopravnosti, među ostalim s pomoću sustavne upotrebe digitalnih alata, kao što je umjetna inteligencija, kako bi se poboljšalo prikupljanje i objedinjavanje podataka i njihova </w:t>
      </w:r>
      <w:proofErr w:type="spellStart"/>
      <w:r w:rsidRPr="00966EBD">
        <w:t>međuprogramska</w:t>
      </w:r>
      <w:proofErr w:type="spellEnd"/>
      <w:r w:rsidRPr="00966EBD">
        <w:t xml:space="preserve"> analiza;</w:t>
      </w:r>
    </w:p>
    <w:p w14:paraId="342ACEEC" w14:textId="77777777" w:rsidR="00D4529B" w:rsidRPr="00966EBD" w:rsidRDefault="00D4529B" w:rsidP="00D4529B">
      <w:pPr>
        <w:pStyle w:val="NormalHanging12a"/>
      </w:pPr>
      <w:r w:rsidRPr="00966EBD">
        <w:t>36.</w:t>
      </w:r>
      <w:r w:rsidRPr="00966EBD">
        <w:tab/>
        <w:t>poziva sve relevantne aktere, uključujući Vijeće, Komisiju, organizacije civilnog društva i druge relevantne partnere, da nastoje ostvariti rodno osviještenu izradu proračuna u sljedećem programskom razdoblju;</w:t>
      </w:r>
    </w:p>
    <w:p w14:paraId="69510AA6" w14:textId="77777777" w:rsidR="00D4529B" w:rsidRPr="00966EBD" w:rsidRDefault="00D4529B" w:rsidP="00D4529B">
      <w:pPr>
        <w:pStyle w:val="NormalHanging12a"/>
      </w:pPr>
      <w:r w:rsidRPr="00966EBD">
        <w:t>37.</w:t>
      </w:r>
      <w:r w:rsidRPr="00966EBD">
        <w:tab/>
        <w:t xml:space="preserve">poziva Komisiju da povećani dio proračuna svih vanjskih djelovanja EU-a dodijeli intervencijama kojima se doprinosi rodnoj ravnopravnosti i osnaživanju žena te da 25 % instrumenata EU-a za vanjsko financiranje u predstojećem VFO-u dodatno namijeni promicanju rodne ravnopravnosti kao glavnog cilja; nadalje poziva Komisiju da uspostavi namjenski fond za promicanje rodne ravnopravnosti na globalnoj razini i da osigura da se mjere koje ona podupire usredotoče na pristup spolnom i reproduktivnom zdravlju i pravima, povećanje sudjelovanja žena u donošenju odluka, podupiranje </w:t>
      </w:r>
      <w:r w:rsidRPr="00966EBD">
        <w:lastRenderedPageBreak/>
        <w:t>lokalnih nevladinih organizacija pod vodstvom žena i pomoć lokalnim borkinjama za ljudska prava;</w:t>
      </w:r>
    </w:p>
    <w:p w14:paraId="6512771E" w14:textId="77777777" w:rsidR="00D4529B" w:rsidRPr="00966EBD" w:rsidRDefault="00D4529B" w:rsidP="00D4529B">
      <w:pPr>
        <w:pStyle w:val="NormalHanging12a"/>
      </w:pPr>
      <w:r w:rsidRPr="00966EBD">
        <w:t>38.</w:t>
      </w:r>
      <w:r w:rsidRPr="00966EBD">
        <w:tab/>
        <w:t>poziva Komisiju da postavi jasne ciljeve za sljedeći VFO u pogledu doprinosa smanjenju razlika u plaćama i mirovinama između spolova te rješavanja pitanja siromaštva žena, među ostalim poboljšanim uslugama skrbi o djeci;</w:t>
      </w:r>
    </w:p>
    <w:p w14:paraId="10709A8F" w14:textId="77777777" w:rsidR="00D4529B" w:rsidRPr="00966EBD" w:rsidRDefault="00D4529B" w:rsidP="00D4529B">
      <w:pPr>
        <w:pStyle w:val="NormalHanging12a"/>
        <w:rPr>
          <w:bCs/>
          <w:iCs/>
        </w:rPr>
      </w:pPr>
      <w:r w:rsidRPr="00966EBD">
        <w:t>39.</w:t>
      </w:r>
      <w:r w:rsidRPr="00966EBD">
        <w:tab/>
        <w:t>poziva Komisiju da zajamči da se programima koje financira EU štite i promiču prava žena, s posebnim naglaskom na pristupu javnoj zdravstvenoj skrbi, skrbi o djeci te spolnom i reproduktivnom zdravlju i pravima;</w:t>
      </w:r>
    </w:p>
    <w:p w14:paraId="4AE61F90" w14:textId="77777777" w:rsidR="00D4529B" w:rsidRPr="00966EBD" w:rsidRDefault="00D4529B" w:rsidP="00D4529B">
      <w:pPr>
        <w:pStyle w:val="NormalHanging12a"/>
      </w:pPr>
      <w:r w:rsidRPr="00966EBD">
        <w:t>40.</w:t>
      </w:r>
      <w:r w:rsidRPr="00966EBD">
        <w:tab/>
        <w:t>poziva institucije EU-a da u skladu s načelima Direktive o transparentnosti plaća</w:t>
      </w:r>
      <w:r w:rsidRPr="00966EBD">
        <w:rPr>
          <w:rStyle w:val="FootnoteReference"/>
        </w:rPr>
        <w:footnoteReference w:id="12"/>
      </w:r>
      <w:r w:rsidRPr="00966EBD">
        <w:t xml:space="preserve"> analiziraju svoje moguće razlike u plaćama između spolova i izvješćuju o njima te da po potrebi poduzmu odgovarajuće mjere; ponavlja svoj poziv institucijama, tijelima, uredima i agencijama EU-a da poboljšaju rodnu ravnotežu, osobito na razini višeg rukovodstva; poziva institucije, tijela, urede i agencije EU-a da provedu analizu kako bi se utvrdila područja unutar ciklusa ljudskih resursa, od zapošljavanja do pristupa promaknućima, u kojima su takva poboljšanja najpotrebnija te da istraže mogućnost provedbe daljnjih mjera kako bi se što prije postigla rodna ravnoteža;</w:t>
      </w:r>
    </w:p>
    <w:p w14:paraId="7955B951" w14:textId="77777777" w:rsidR="00D4529B" w:rsidRDefault="00D4529B" w:rsidP="00D4529B">
      <w:pPr>
        <w:pStyle w:val="NormalHanging12a"/>
      </w:pPr>
      <w:r w:rsidRPr="00966EBD">
        <w:t>41.</w:t>
      </w:r>
      <w:r w:rsidRPr="00966EBD">
        <w:tab/>
        <w:t xml:space="preserve">prepoznaje da rodne razlike i dalje postoje u nekoliko sektora u kojima tradicionalno prevladava jedan spol; poziva Komisiju da primjenjuje rodno osviještenu izradu proračuna i time osigura i nadzire </w:t>
      </w:r>
      <w:proofErr w:type="spellStart"/>
      <w:r w:rsidRPr="00966EBD">
        <w:t>nediskriminirajuće</w:t>
      </w:r>
      <w:proofErr w:type="spellEnd"/>
      <w:r w:rsidRPr="00966EBD">
        <w:t xml:space="preserve"> uvjete za pristup potrebnim programima razvoja vještina i obrazovanja za svaki spol kako bi se osigurala poboljšana rodna ravnopravnost u tim konkretnim sektorima u cilju jačanja konkurentnosti industrije; poziva na to da se posebna pozornost posveti poduzetnicama, naročito u malim i srednjim te novoosnovanim poduzećima, uključujući kroz posebno praćenje u programima kao što su </w:t>
      </w:r>
      <w:proofErr w:type="spellStart"/>
      <w:r w:rsidRPr="00966EBD">
        <w:t>InvestEU</w:t>
      </w:r>
      <w:proofErr w:type="spellEnd"/>
      <w:r w:rsidRPr="00966EBD">
        <w:t xml:space="preserve"> i Obzor Europa; poziva na snažnije mehanizme praćenja i izvješćivanja kako bi se osiguralo da dodijeljena sredstva uistinu koriste ženama i marginaliziranim skupinama;</w:t>
      </w:r>
    </w:p>
    <w:p w14:paraId="2E69C02B" w14:textId="77777777" w:rsidR="00D84EDF" w:rsidRPr="008F45D6" w:rsidRDefault="00D84EDF" w:rsidP="00D84EDF">
      <w:pPr>
        <w:widowControl/>
        <w:spacing w:after="240"/>
        <w:jc w:val="center"/>
        <w:rPr>
          <w:bCs/>
          <w:iCs/>
          <w:snapToGrid w:val="0"/>
          <w:szCs w:val="24"/>
          <w:lang w:eastAsia="en-US"/>
        </w:rPr>
      </w:pPr>
      <w:r w:rsidRPr="008F45D6">
        <w:rPr>
          <w:bCs/>
          <w:iCs/>
          <w:snapToGrid w:val="0"/>
          <w:szCs w:val="24"/>
          <w:lang w:eastAsia="en-US"/>
        </w:rPr>
        <w:t>°</w:t>
      </w:r>
    </w:p>
    <w:p w14:paraId="29FE0DDC" w14:textId="77777777" w:rsidR="00D84EDF" w:rsidRPr="008F45D6" w:rsidRDefault="00D84EDF" w:rsidP="00D84EDF">
      <w:pPr>
        <w:widowControl/>
        <w:spacing w:after="240"/>
        <w:jc w:val="center"/>
        <w:rPr>
          <w:bCs/>
          <w:iCs/>
          <w:snapToGrid w:val="0"/>
          <w:szCs w:val="24"/>
          <w:lang w:eastAsia="en-US"/>
        </w:rPr>
      </w:pPr>
      <w:r w:rsidRPr="008F45D6">
        <w:rPr>
          <w:bCs/>
          <w:iCs/>
          <w:snapToGrid w:val="0"/>
          <w:szCs w:val="24"/>
          <w:lang w:eastAsia="en-US"/>
        </w:rPr>
        <w:t>°         °</w:t>
      </w:r>
    </w:p>
    <w:p w14:paraId="68B348BE" w14:textId="4B15FC0F" w:rsidR="00F527D3" w:rsidRPr="00966EBD" w:rsidRDefault="00D4529B" w:rsidP="00F527D3">
      <w:pPr>
        <w:pStyle w:val="NormalHanging12a"/>
      </w:pPr>
      <w:r w:rsidRPr="00966EBD">
        <w:t>42.</w:t>
      </w:r>
      <w:r w:rsidRPr="00966EBD">
        <w:tab/>
        <w:t>nalaže svojoj predsjednici da ovu Rezoluciju proslijedi Vijeću i Komisiji.</w:t>
      </w:r>
    </w:p>
    <w:p w14:paraId="4DDF6F6E" w14:textId="5CDCF9E4" w:rsidR="00E365E1" w:rsidRPr="00966EBD" w:rsidRDefault="00E365E1" w:rsidP="008B0B45"/>
    <w:sectPr w:rsidR="00E365E1" w:rsidRPr="00966EBD" w:rsidSect="00F527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DA85" w14:textId="77777777" w:rsidR="008B0B45" w:rsidRPr="00F527D3" w:rsidRDefault="008B0B45">
      <w:r w:rsidRPr="00F527D3">
        <w:separator/>
      </w:r>
    </w:p>
  </w:endnote>
  <w:endnote w:type="continuationSeparator" w:id="0">
    <w:p w14:paraId="01326405" w14:textId="77777777" w:rsidR="008B0B45" w:rsidRPr="00F527D3" w:rsidRDefault="008B0B45">
      <w:r w:rsidRPr="00F527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4415" w14:textId="77777777" w:rsidR="00064002" w:rsidRPr="00F527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A7506" w14:textId="77777777" w:rsidR="00064002" w:rsidRPr="00F527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DC21" w14:textId="77777777" w:rsidR="00064002" w:rsidRPr="00F527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BB5E3" w14:textId="77777777" w:rsidR="008B0B45" w:rsidRPr="00F527D3" w:rsidRDefault="008B0B45">
      <w:r w:rsidRPr="00F527D3">
        <w:separator/>
      </w:r>
    </w:p>
  </w:footnote>
  <w:footnote w:type="continuationSeparator" w:id="0">
    <w:p w14:paraId="168DB91D" w14:textId="77777777" w:rsidR="008B0B45" w:rsidRPr="00F527D3" w:rsidRDefault="008B0B45">
      <w:r w:rsidRPr="00F527D3">
        <w:continuationSeparator/>
      </w:r>
    </w:p>
  </w:footnote>
  <w:footnote w:id="1">
    <w:p w14:paraId="65E62F55" w14:textId="07DC836C" w:rsidR="00D4529B" w:rsidRPr="00F527D3" w:rsidRDefault="00D4529B" w:rsidP="00F527D3">
      <w:pPr>
        <w:pStyle w:val="FootnoteText"/>
        <w:ind w:left="567" w:hanging="567"/>
        <w:rPr>
          <w:color w:val="0000FF"/>
          <w:sz w:val="24"/>
          <w:u w:val="single" w:color="0000FF"/>
          <w:lang w:val="hr-HR"/>
        </w:rPr>
      </w:pPr>
      <w:r w:rsidRPr="00F527D3">
        <w:rPr>
          <w:rStyle w:val="FootnoteReference"/>
          <w:color w:val="000000" w:themeColor="text1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>SL L, 2024/765, 29.2.2024., ELI:</w:t>
      </w:r>
      <w:r w:rsidRPr="00F527D3">
        <w:rPr>
          <w:color w:val="0000FF"/>
          <w:sz w:val="24"/>
          <w:u w:val="single" w:color="0000FF"/>
          <w:lang w:val="hr-HR"/>
        </w:rPr>
        <w:t xml:space="preserve"> </w:t>
      </w:r>
      <w:bookmarkStart w:id="7" w:name="_Hlk213075500"/>
      <w:r w:rsidRPr="00F527D3">
        <w:rPr>
          <w:color w:val="0000FF"/>
          <w:sz w:val="24"/>
          <w:u w:val="single" w:color="0000FF"/>
          <w:lang w:val="hr-HR"/>
        </w:rPr>
        <w:t>https://data.europa.eu/eli/reg/2024/765/oj.</w:t>
      </w:r>
    </w:p>
    <w:bookmarkEnd w:id="7"/>
  </w:footnote>
  <w:footnote w:id="2">
    <w:p w14:paraId="4AB2BDA6" w14:textId="62CA05D7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 xml:space="preserve">SL L 325, 20.12.2022., str. </w:t>
      </w:r>
      <w:r w:rsidRPr="00F527D3">
        <w:rPr>
          <w:sz w:val="24"/>
          <w:lang w:val="hr-HR"/>
        </w:rPr>
        <w:t>11., ELI:</w:t>
      </w:r>
      <w:r w:rsidR="00D11E16">
        <w:rPr>
          <w:sz w:val="24"/>
          <w:lang w:val="hr-HR"/>
        </w:rPr>
        <w:t xml:space="preserve"> </w:t>
      </w:r>
      <w:hyperlink r:id="rId1" w:history="1">
        <w:r w:rsidR="00D11E16" w:rsidRPr="00360B44">
          <w:rPr>
            <w:rStyle w:val="Hyperlink"/>
            <w:sz w:val="24"/>
            <w:lang w:val="hr-HR"/>
          </w:rPr>
          <w:t>https://data.europa.eu/eli/reg/2022/2496/oj</w:t>
        </w:r>
      </w:hyperlink>
      <w:r w:rsidRPr="00F527D3">
        <w:rPr>
          <w:color w:val="000000" w:themeColor="text1"/>
          <w:sz w:val="24"/>
          <w:lang w:val="hr-HR"/>
        </w:rPr>
        <w:t>.</w:t>
      </w:r>
    </w:p>
  </w:footnote>
  <w:footnote w:id="3">
    <w:p w14:paraId="4622671D" w14:textId="5F8F222C" w:rsidR="00D4529B" w:rsidRPr="00F527D3" w:rsidRDefault="00D4529B" w:rsidP="00F527D3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>SL L 433</w:t>
      </w:r>
      <w:r w:rsidR="00D11E16">
        <w:rPr>
          <w:sz w:val="24"/>
          <w:lang w:val="hr-HR"/>
        </w:rPr>
        <w:t xml:space="preserve"> </w:t>
      </w:r>
      <w:r w:rsidRPr="00F527D3">
        <w:rPr>
          <w:sz w:val="24"/>
          <w:lang w:val="hr-HR"/>
        </w:rPr>
        <w:t xml:space="preserve">I, 22.12.2020., str. 11., ELI: </w:t>
      </w:r>
      <w:hyperlink r:id="rId2" w:history="1">
        <w:r w:rsidRPr="00F527D3">
          <w:rPr>
            <w:rStyle w:val="Hyperlink"/>
            <w:sz w:val="24"/>
            <w:lang w:val="hr-HR"/>
          </w:rPr>
          <w:t>https://data.europa.eu/eli/reg/2020/2093/oj</w:t>
        </w:r>
      </w:hyperlink>
      <w:r w:rsidRPr="00F527D3">
        <w:rPr>
          <w:sz w:val="24"/>
          <w:lang w:val="hr-HR"/>
        </w:rPr>
        <w:t>.</w:t>
      </w:r>
    </w:p>
  </w:footnote>
  <w:footnote w:id="4">
    <w:p w14:paraId="30DAAD43" w14:textId="58DB41B8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color w:val="000000" w:themeColor="text1"/>
          <w:sz w:val="24"/>
          <w:lang w:val="hr-HR"/>
        </w:rPr>
        <w:footnoteRef/>
      </w:r>
      <w:r w:rsidR="00F527D3" w:rsidRPr="00F527D3">
        <w:rPr>
          <w:color w:val="000000" w:themeColor="text1"/>
          <w:sz w:val="24"/>
          <w:lang w:val="hr-HR"/>
        </w:rPr>
        <w:t xml:space="preserve"> </w:t>
      </w:r>
      <w:r w:rsidR="00F527D3" w:rsidRPr="00F527D3">
        <w:rPr>
          <w:color w:val="000000" w:themeColor="text1"/>
          <w:sz w:val="24"/>
          <w:lang w:val="hr-HR"/>
        </w:rPr>
        <w:tab/>
      </w:r>
      <w:r w:rsidRPr="00F527D3">
        <w:rPr>
          <w:color w:val="000000" w:themeColor="text1"/>
          <w:sz w:val="24"/>
          <w:lang w:val="hr-HR"/>
        </w:rPr>
        <w:t>SL C, C/2024/1195, 23.2.2024., ELI:</w:t>
      </w:r>
      <w:r w:rsidRPr="00F527D3">
        <w:rPr>
          <w:color w:val="000000" w:themeColor="text1"/>
          <w:sz w:val="24"/>
          <w:u w:val="single" w:color="0000FF"/>
          <w:lang w:val="hr-HR"/>
        </w:rPr>
        <w:t xml:space="preserve"> </w:t>
      </w:r>
      <w:hyperlink r:id="rId3" w:history="1">
        <w:r w:rsidRPr="00F527D3">
          <w:rPr>
            <w:rStyle w:val="Hyperlink"/>
            <w:sz w:val="24"/>
            <w:lang w:val="hr-HR"/>
          </w:rPr>
          <w:t>http://data.europa.eu/eli/C/2024/1195/oj</w:t>
        </w:r>
      </w:hyperlink>
      <w:r w:rsidRPr="00F527D3">
        <w:rPr>
          <w:color w:val="000000" w:themeColor="text1"/>
          <w:sz w:val="24"/>
          <w:lang w:val="hr-HR"/>
        </w:rPr>
        <w:t>.</w:t>
      </w:r>
    </w:p>
  </w:footnote>
  <w:footnote w:id="5">
    <w:p w14:paraId="5035A221" w14:textId="111ED9C3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>SL L 433</w:t>
      </w:r>
      <w:r w:rsidR="00D11E16">
        <w:rPr>
          <w:sz w:val="24"/>
          <w:lang w:val="hr-HR"/>
        </w:rPr>
        <w:t xml:space="preserve"> </w:t>
      </w:r>
      <w:r w:rsidRPr="00F527D3">
        <w:rPr>
          <w:sz w:val="24"/>
          <w:lang w:val="hr-HR"/>
        </w:rPr>
        <w:t xml:space="preserve">I, 22.12.2020., str. 28., ELI: </w:t>
      </w:r>
      <w:hyperlink r:id="rId4" w:history="1">
        <w:r w:rsidRPr="00F527D3">
          <w:rPr>
            <w:rStyle w:val="Hyperlink"/>
            <w:sz w:val="24"/>
            <w:lang w:val="hr-HR"/>
          </w:rPr>
          <w:t>https://data.europa.eu/eli/agree_interinstit/2020/1222/oj</w:t>
        </w:r>
      </w:hyperlink>
      <w:r w:rsidRPr="00F527D3">
        <w:rPr>
          <w:sz w:val="24"/>
          <w:lang w:val="hr-HR"/>
        </w:rPr>
        <w:t>.</w:t>
      </w:r>
    </w:p>
  </w:footnote>
  <w:footnote w:id="6">
    <w:p w14:paraId="3499AE12" w14:textId="20E7006B" w:rsidR="00D4529B" w:rsidRPr="00F527D3" w:rsidRDefault="00D4529B" w:rsidP="00F527D3">
      <w:pPr>
        <w:pStyle w:val="FootnoteText"/>
        <w:ind w:left="567" w:hanging="567"/>
        <w:rPr>
          <w:color w:val="000000" w:themeColor="text1"/>
          <w:sz w:val="24"/>
          <w:u w:val="single" w:color="0000FF"/>
          <w:lang w:val="hr-HR"/>
        </w:rPr>
      </w:pPr>
      <w:r w:rsidRPr="00F527D3">
        <w:rPr>
          <w:rStyle w:val="FootnoteReference"/>
          <w:color w:val="000000" w:themeColor="text1"/>
          <w:sz w:val="24"/>
          <w:lang w:val="hr-HR"/>
        </w:rPr>
        <w:footnoteRef/>
      </w:r>
      <w:r w:rsidR="00F527D3" w:rsidRPr="00F527D3">
        <w:rPr>
          <w:color w:val="000000" w:themeColor="text1"/>
          <w:sz w:val="24"/>
          <w:lang w:val="hr-HR"/>
        </w:rPr>
        <w:t xml:space="preserve"> </w:t>
      </w:r>
      <w:r w:rsidR="00F527D3" w:rsidRPr="00F527D3">
        <w:rPr>
          <w:color w:val="000000" w:themeColor="text1"/>
          <w:sz w:val="24"/>
          <w:lang w:val="hr-HR"/>
        </w:rPr>
        <w:tab/>
      </w:r>
      <w:r w:rsidRPr="00F527D3">
        <w:rPr>
          <w:color w:val="000000" w:themeColor="text1"/>
          <w:sz w:val="24"/>
          <w:lang w:val="hr-HR"/>
        </w:rPr>
        <w:t>SL L, 2024/2509, 26.9.2024., ELI:</w:t>
      </w:r>
      <w:r w:rsidRPr="00F527D3">
        <w:rPr>
          <w:color w:val="000000" w:themeColor="text1"/>
          <w:sz w:val="24"/>
          <w:u w:val="single" w:color="0000FF"/>
          <w:lang w:val="hr-HR"/>
        </w:rPr>
        <w:t xml:space="preserve"> </w:t>
      </w:r>
      <w:hyperlink r:id="rId5" w:history="1">
        <w:r w:rsidRPr="00F527D3">
          <w:rPr>
            <w:rStyle w:val="Hyperlink"/>
            <w:sz w:val="24"/>
            <w:lang w:val="hr-HR"/>
          </w:rPr>
          <w:t>https://data.europa.eu/eli/reg/2024/2509/oj</w:t>
        </w:r>
      </w:hyperlink>
      <w:r w:rsidRPr="00F527D3">
        <w:rPr>
          <w:color w:val="000000" w:themeColor="text1"/>
          <w:sz w:val="24"/>
          <w:lang w:val="hr-HR"/>
        </w:rPr>
        <w:t>.</w:t>
      </w:r>
    </w:p>
  </w:footnote>
  <w:footnote w:id="7">
    <w:p w14:paraId="06B7B977" w14:textId="38D5A5E3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>SL C 456, 10.11.2021., str. 208.</w:t>
      </w:r>
    </w:p>
  </w:footnote>
  <w:footnote w:id="8">
    <w:p w14:paraId="5152C44D" w14:textId="64EABD48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>SL C 347, 9.9.2022., str. 139.</w:t>
      </w:r>
    </w:p>
  </w:footnote>
  <w:footnote w:id="9">
    <w:p w14:paraId="6F418F0B" w14:textId="06CEEAE4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bookmarkStart w:id="8" w:name="_Hlk213073209"/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 xml:space="preserve">SL C, C/2025/4382, 9.9.2025., </w:t>
      </w:r>
      <w:bookmarkEnd w:id="8"/>
      <w:r w:rsidRPr="00F527D3">
        <w:rPr>
          <w:sz w:val="24"/>
          <w:lang w:val="hr-HR"/>
        </w:rPr>
        <w:t>ELI: </w:t>
      </w:r>
      <w:hyperlink r:id="rId6" w:history="1">
        <w:r w:rsidRPr="00F527D3">
          <w:rPr>
            <w:rStyle w:val="Hyperlink"/>
            <w:sz w:val="24"/>
            <w:lang w:val="hr-HR"/>
          </w:rPr>
          <w:t>http://data.europa.eu/eli/C/2025/4382/oj</w:t>
        </w:r>
      </w:hyperlink>
      <w:r w:rsidRPr="00F527D3">
        <w:rPr>
          <w:sz w:val="24"/>
          <w:lang w:val="hr-HR"/>
        </w:rPr>
        <w:t>.</w:t>
      </w:r>
    </w:p>
  </w:footnote>
  <w:footnote w:id="10">
    <w:p w14:paraId="4119875E" w14:textId="22FA0E9C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>Usvojeni tekstovi, P10_TA(2025)0090.</w:t>
      </w:r>
    </w:p>
  </w:footnote>
  <w:footnote w:id="11">
    <w:p w14:paraId="0B6AEA0F" w14:textId="5BD88B8A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>Izvješće o procjeni učinka priloženo Komisijinu Prijedlogu uredbe o uspostavi okvira za praćenje proračunskih rashoda i uspješnost te drugih horizontalnih pravila za programe i aktivnosti Unije (COM(2025)0545).</w:t>
      </w:r>
    </w:p>
  </w:footnote>
  <w:footnote w:id="12">
    <w:p w14:paraId="1FA1EAD0" w14:textId="184CE772" w:rsidR="00D4529B" w:rsidRPr="00F527D3" w:rsidRDefault="00D4529B" w:rsidP="00F527D3">
      <w:pPr>
        <w:pStyle w:val="FootnoteText"/>
        <w:ind w:left="567" w:hanging="567"/>
        <w:rPr>
          <w:sz w:val="24"/>
          <w:lang w:val="hr-HR"/>
        </w:rPr>
      </w:pPr>
      <w:r w:rsidRPr="00F527D3">
        <w:rPr>
          <w:rStyle w:val="FootnoteReference"/>
          <w:sz w:val="24"/>
          <w:lang w:val="hr-HR"/>
        </w:rPr>
        <w:footnoteRef/>
      </w:r>
      <w:r w:rsidR="00F527D3" w:rsidRPr="00F527D3">
        <w:rPr>
          <w:sz w:val="24"/>
          <w:lang w:val="hr-HR"/>
        </w:rPr>
        <w:t xml:space="preserve"> </w:t>
      </w:r>
      <w:r w:rsidR="00F527D3" w:rsidRPr="00F527D3">
        <w:rPr>
          <w:sz w:val="24"/>
          <w:lang w:val="hr-HR"/>
        </w:rPr>
        <w:tab/>
      </w:r>
      <w:r w:rsidRPr="00F527D3">
        <w:rPr>
          <w:sz w:val="24"/>
          <w:lang w:val="hr-HR"/>
        </w:rPr>
        <w:t>Direktiva (EU) 2023/970 Europskog parlamenta i Vijeća od 10. svibnja 2023. o jačanju primjene načela jednakih plaća muškaraca i žena za jednak rad ili rad jednake vrijednosti putem transparentnosti plaća i mehanizama izv</w:t>
      </w:r>
      <w:r w:rsidRPr="00D84EDF">
        <w:rPr>
          <w:sz w:val="24"/>
          <w:lang w:val="hr-HR"/>
        </w:rPr>
        <w:t>ršenja</w:t>
      </w:r>
      <w:r w:rsidR="00D84EDF" w:rsidRPr="00D84EDF">
        <w:rPr>
          <w:sz w:val="24"/>
          <w:lang w:val="hr-HR"/>
        </w:rPr>
        <w:t xml:space="preserve"> </w:t>
      </w:r>
      <w:r w:rsidR="00D84EDF" w:rsidRPr="008F45D6">
        <w:rPr>
          <w:sz w:val="24"/>
          <w:lang w:val="hr-HR"/>
        </w:rPr>
        <w:t xml:space="preserve">(SL L 132, 17.5.2023., str. 21., ELI: </w:t>
      </w:r>
      <w:hyperlink r:id="rId7" w:history="1">
        <w:r w:rsidR="00D84EDF" w:rsidRPr="008F45D6">
          <w:rPr>
            <w:rStyle w:val="Hyperlink"/>
            <w:sz w:val="24"/>
            <w:lang w:val="hr-HR"/>
          </w:rPr>
          <w:t>http://data.europa.eu/eli/dir/2023/970/oj</w:t>
        </w:r>
      </w:hyperlink>
      <w:r w:rsidR="00D84EDF" w:rsidRPr="008F45D6">
        <w:rPr>
          <w:sz w:val="24"/>
          <w:lang w:val="hr-HR"/>
        </w:rPr>
        <w:t>)</w:t>
      </w:r>
      <w:r w:rsidR="00966EBD" w:rsidRPr="00D84EDF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5FB8C" w14:textId="77777777" w:rsidR="00064002" w:rsidRPr="00F527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B517D" w14:textId="77777777" w:rsidR="00064002" w:rsidRPr="00F527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B03F" w14:textId="77777777" w:rsidR="00064002" w:rsidRPr="00F527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3971770">
    <w:abstractNumId w:val="9"/>
  </w:num>
  <w:num w:numId="2" w16cid:durableId="2143959482">
    <w:abstractNumId w:val="9"/>
  </w:num>
  <w:num w:numId="3" w16cid:durableId="1824277424">
    <w:abstractNumId w:val="7"/>
  </w:num>
  <w:num w:numId="4" w16cid:durableId="2006469128">
    <w:abstractNumId w:val="7"/>
  </w:num>
  <w:num w:numId="5" w16cid:durableId="246620015">
    <w:abstractNumId w:val="6"/>
  </w:num>
  <w:num w:numId="6" w16cid:durableId="1981617242">
    <w:abstractNumId w:val="6"/>
  </w:num>
  <w:num w:numId="7" w16cid:durableId="1022824083">
    <w:abstractNumId w:val="5"/>
  </w:num>
  <w:num w:numId="8" w16cid:durableId="1239290087">
    <w:abstractNumId w:val="5"/>
  </w:num>
  <w:num w:numId="9" w16cid:durableId="1934317612">
    <w:abstractNumId w:val="4"/>
  </w:num>
  <w:num w:numId="10" w16cid:durableId="305818134">
    <w:abstractNumId w:val="4"/>
  </w:num>
  <w:num w:numId="11" w16cid:durableId="49428283">
    <w:abstractNumId w:val="8"/>
  </w:num>
  <w:num w:numId="12" w16cid:durableId="1309163669">
    <w:abstractNumId w:val="8"/>
  </w:num>
  <w:num w:numId="13" w16cid:durableId="1147015761">
    <w:abstractNumId w:val="3"/>
  </w:num>
  <w:num w:numId="14" w16cid:durableId="1167213292">
    <w:abstractNumId w:val="3"/>
  </w:num>
  <w:num w:numId="15" w16cid:durableId="2124182713">
    <w:abstractNumId w:val="2"/>
  </w:num>
  <w:num w:numId="16" w16cid:durableId="1037970149">
    <w:abstractNumId w:val="2"/>
  </w:num>
  <w:num w:numId="17" w16cid:durableId="2131702281">
    <w:abstractNumId w:val="1"/>
  </w:num>
  <w:num w:numId="18" w16cid:durableId="291833447">
    <w:abstractNumId w:val="1"/>
  </w:num>
  <w:num w:numId="19" w16cid:durableId="15930684">
    <w:abstractNumId w:val="0"/>
  </w:num>
  <w:num w:numId="20" w16cid:durableId="1120026111">
    <w:abstractNumId w:val="0"/>
  </w:num>
  <w:num w:numId="21" w16cid:durableId="384454842">
    <w:abstractNumId w:val="9"/>
  </w:num>
  <w:num w:numId="22" w16cid:durableId="1768849041">
    <w:abstractNumId w:val="7"/>
  </w:num>
  <w:num w:numId="23" w16cid:durableId="425148815">
    <w:abstractNumId w:val="6"/>
  </w:num>
  <w:num w:numId="24" w16cid:durableId="1399211942">
    <w:abstractNumId w:val="5"/>
  </w:num>
  <w:num w:numId="25" w16cid:durableId="617444064">
    <w:abstractNumId w:val="4"/>
  </w:num>
  <w:num w:numId="26" w16cid:durableId="7955310">
    <w:abstractNumId w:val="8"/>
  </w:num>
  <w:num w:numId="27" w16cid:durableId="140391789">
    <w:abstractNumId w:val="3"/>
  </w:num>
  <w:num w:numId="28" w16cid:durableId="1952277520">
    <w:abstractNumId w:val="2"/>
  </w:num>
  <w:num w:numId="29" w16cid:durableId="1727989379">
    <w:abstractNumId w:val="1"/>
  </w:num>
  <w:num w:numId="30" w16cid:durableId="542641755">
    <w:abstractNumId w:val="0"/>
  </w:num>
  <w:num w:numId="31" w16cid:durableId="710689896">
    <w:abstractNumId w:val="9"/>
  </w:num>
  <w:num w:numId="32" w16cid:durableId="1266889409">
    <w:abstractNumId w:val="7"/>
  </w:num>
  <w:num w:numId="33" w16cid:durableId="435255749">
    <w:abstractNumId w:val="6"/>
  </w:num>
  <w:num w:numId="34" w16cid:durableId="852300708">
    <w:abstractNumId w:val="5"/>
  </w:num>
  <w:num w:numId="35" w16cid:durableId="1271857314">
    <w:abstractNumId w:val="4"/>
  </w:num>
  <w:num w:numId="36" w16cid:durableId="1949655887">
    <w:abstractNumId w:val="8"/>
  </w:num>
  <w:num w:numId="37" w16cid:durableId="1882546371">
    <w:abstractNumId w:val="3"/>
  </w:num>
  <w:num w:numId="38" w16cid:durableId="896475783">
    <w:abstractNumId w:val="2"/>
  </w:num>
  <w:num w:numId="39" w16cid:durableId="982589147">
    <w:abstractNumId w:val="1"/>
  </w:num>
  <w:num w:numId="40" w16cid:durableId="1153788522">
    <w:abstractNumId w:val="0"/>
  </w:num>
  <w:num w:numId="41" w16cid:durableId="2022850853">
    <w:abstractNumId w:val="10"/>
  </w:num>
  <w:num w:numId="42" w16cid:durableId="380520568">
    <w:abstractNumId w:val="10"/>
  </w:num>
  <w:num w:numId="43" w16cid:durableId="197547267">
    <w:abstractNumId w:val="10"/>
  </w:num>
  <w:num w:numId="44" w16cid:durableId="18393409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2/2025"/>
    <w:docVar w:name="dvlangue" w:val="HR"/>
    <w:docVar w:name="dvnumam" w:val="0"/>
    <w:docVar w:name="dvpe" w:val="775.770"/>
    <w:docVar w:name="dvrapporteur" w:val="Izvjestiteljica: "/>
    <w:docVar w:name="dvtitre" w:val="Rezolucija Europskog parlamenta od .... 2025. o proračunu za 2024. – ocjena provedbe metodologije uključivanja rodne osviještenosti u proračunu EU-a(2025/2033(INI))"/>
  </w:docVars>
  <w:rsids>
    <w:rsidRoot w:val="008B0B45"/>
    <w:rsid w:val="00002272"/>
    <w:rsid w:val="00064002"/>
    <w:rsid w:val="000677B9"/>
    <w:rsid w:val="000831BA"/>
    <w:rsid w:val="000A42CC"/>
    <w:rsid w:val="000E7DD9"/>
    <w:rsid w:val="0010095E"/>
    <w:rsid w:val="00125B37"/>
    <w:rsid w:val="00160CCB"/>
    <w:rsid w:val="00187494"/>
    <w:rsid w:val="001C0E0D"/>
    <w:rsid w:val="001F32AE"/>
    <w:rsid w:val="002767FF"/>
    <w:rsid w:val="002B18FE"/>
    <w:rsid w:val="002B5493"/>
    <w:rsid w:val="00343214"/>
    <w:rsid w:val="00361C00"/>
    <w:rsid w:val="00395FA1"/>
    <w:rsid w:val="003B6EF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5D8"/>
    <w:rsid w:val="00545827"/>
    <w:rsid w:val="005552A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B45"/>
    <w:rsid w:val="008C2AC6"/>
    <w:rsid w:val="008F45D6"/>
    <w:rsid w:val="00930C23"/>
    <w:rsid w:val="0093193B"/>
    <w:rsid w:val="009509D8"/>
    <w:rsid w:val="00950B64"/>
    <w:rsid w:val="00966EBD"/>
    <w:rsid w:val="00981893"/>
    <w:rsid w:val="00A1687D"/>
    <w:rsid w:val="00A43E52"/>
    <w:rsid w:val="00A4678D"/>
    <w:rsid w:val="00A55C5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E16"/>
    <w:rsid w:val="00D4529B"/>
    <w:rsid w:val="00D56C11"/>
    <w:rsid w:val="00D834A0"/>
    <w:rsid w:val="00D84EDF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7D3"/>
    <w:rsid w:val="00F74202"/>
    <w:rsid w:val="00F8124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B2CE8"/>
  <w15:chartTrackingRefBased/>
  <w15:docId w15:val="{2A3117DD-7378-4821-A09C-D542E818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4529B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D4529B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D4529B"/>
    <w:rPr>
      <w:b/>
      <w:i/>
      <w:u w:val="none"/>
    </w:rPr>
  </w:style>
  <w:style w:type="character" w:customStyle="1" w:styleId="Italic">
    <w:name w:val="Italic"/>
    <w:uiPriority w:val="1"/>
    <w:rsid w:val="00D4529B"/>
    <w:rPr>
      <w:i/>
    </w:rPr>
  </w:style>
  <w:style w:type="paragraph" w:customStyle="1" w:styleId="NormalHanging12a1">
    <w:name w:val="NormalHanging12a1"/>
    <w:basedOn w:val="Normal"/>
    <w:qFormat/>
    <w:rsid w:val="00D4529B"/>
    <w:pPr>
      <w:spacing w:after="240"/>
      <w:ind w:left="992" w:hanging="425"/>
    </w:pPr>
  </w:style>
  <w:style w:type="paragraph" w:customStyle="1" w:styleId="Normal12a24b">
    <w:name w:val="Normal12a24b"/>
    <w:basedOn w:val="Normal"/>
    <w:rsid w:val="00D4529B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D4529B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4529B"/>
    <w:rPr>
      <w:snapToGrid w:val="0"/>
      <w:sz w:val="24"/>
      <w:lang w:val="hr-HR" w:eastAsia="en-US"/>
    </w:rPr>
  </w:style>
  <w:style w:type="paragraph" w:styleId="Revision">
    <w:name w:val="Revision"/>
    <w:hidden/>
    <w:uiPriority w:val="99"/>
    <w:semiHidden/>
    <w:rsid w:val="00D84EDF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D11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1195/oj" TargetMode="External"/><Relationship Id="rId7" Type="http://schemas.openxmlformats.org/officeDocument/2006/relationships/hyperlink" Target="http://data.europa.eu/eli/dir/2023/970/oj" TargetMode="External"/><Relationship Id="rId2" Type="http://schemas.openxmlformats.org/officeDocument/2006/relationships/hyperlink" Target="https://data.europa.eu/eli/reg/2020/2093/oj" TargetMode="External"/><Relationship Id="rId1" Type="http://schemas.openxmlformats.org/officeDocument/2006/relationships/hyperlink" Target="https://data.europa.eu/eli/reg/2022/2496/oj" TargetMode="External"/><Relationship Id="rId6" Type="http://schemas.openxmlformats.org/officeDocument/2006/relationships/hyperlink" Target="http://data.europa.eu/eli/C/2025/4382/oj" TargetMode="External"/><Relationship Id="rId5" Type="http://schemas.openxmlformats.org/officeDocument/2006/relationships/hyperlink" Target="https://data.europa.eu/eli/reg/2024/2509/oj" TargetMode="External"/><Relationship Id="rId4" Type="http://schemas.openxmlformats.org/officeDocument/2006/relationships/hyperlink" Target="https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3701</Words>
  <Characters>22504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2026-01-20T08:32:00Z</dcterms:created>
  <dcterms:modified xsi:type="dcterms:W3CDTF">2026-01-20T08:32:00Z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A10-0212/2025</vt:lpwstr>
  </property>
  <property fmtid="{D5CDD505-2E9C-101B-9397-08002B2CF9AE}" pid="4" name="&lt;Type&gt;">
    <vt:lpwstr>RR</vt:lpwstr>
  </property>
</Properties>
</file>