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55E1" w14:paraId="46610D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649DF8" w14:textId="77777777" w:rsidR="00751A4A" w:rsidRPr="002E55E1" w:rsidRDefault="006A215C" w:rsidP="0010095E">
            <w:pPr>
              <w:pStyle w:val="EPName"/>
            </w:pPr>
            <w:r w:rsidRPr="002E55E1">
              <w:t>Parlament Europejski</w:t>
            </w:r>
          </w:p>
          <w:p w14:paraId="290CFACD" w14:textId="77777777" w:rsidR="00751A4A" w:rsidRPr="002E55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55E1">
              <w:t>2024</w:t>
            </w:r>
            <w:r w:rsidR="00817416" w:rsidRPr="002E55E1">
              <w:t>-202</w:t>
            </w:r>
            <w:r w:rsidRPr="002E55E1">
              <w:t>9</w:t>
            </w:r>
          </w:p>
        </w:tc>
        <w:tc>
          <w:tcPr>
            <w:tcW w:w="2268" w:type="dxa"/>
            <w:shd w:val="clear" w:color="auto" w:fill="auto"/>
          </w:tcPr>
          <w:p w14:paraId="71FE5DCA" w14:textId="77777777" w:rsidR="00751A4A" w:rsidRPr="002E55E1" w:rsidRDefault="00187494" w:rsidP="0010095E">
            <w:pPr>
              <w:pStyle w:val="EPLogo"/>
            </w:pPr>
            <w:r w:rsidRPr="002E55E1">
              <w:rPr>
                <w:noProof/>
                <w:lang w:eastAsia="ja-JP"/>
              </w:rPr>
              <w:drawing>
                <wp:inline distT="0" distB="0" distL="0" distR="0" wp14:anchorId="28320240" wp14:editId="218D23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626347" w14:textId="77777777" w:rsidR="00D058B8" w:rsidRPr="002E55E1" w:rsidRDefault="00D058B8" w:rsidP="004C5D52">
      <w:pPr>
        <w:pStyle w:val="LineTop"/>
      </w:pPr>
    </w:p>
    <w:p w14:paraId="1D874F65" w14:textId="77777777" w:rsidR="00680577" w:rsidRPr="002E55E1" w:rsidRDefault="006A215C" w:rsidP="00680577">
      <w:pPr>
        <w:pStyle w:val="EPBodyTA1"/>
      </w:pPr>
      <w:r w:rsidRPr="002E55E1">
        <w:t>TEKSTY PRZYJĘTE</w:t>
      </w:r>
    </w:p>
    <w:p w14:paraId="6AFD9CCC" w14:textId="77777777" w:rsidR="00D058B8" w:rsidRPr="002E55E1" w:rsidRDefault="00D058B8" w:rsidP="00D058B8">
      <w:pPr>
        <w:pStyle w:val="LineBottom"/>
      </w:pPr>
    </w:p>
    <w:p w14:paraId="1E752669" w14:textId="5ACED4EF" w:rsidR="006A215C" w:rsidRPr="002E55E1" w:rsidRDefault="006A215C" w:rsidP="006A215C">
      <w:pPr>
        <w:pStyle w:val="ATHeading1"/>
      </w:pPr>
      <w:bookmarkStart w:id="0" w:name="TANumber"/>
      <w:r w:rsidRPr="002E55E1">
        <w:t>P10_TA(2025)0</w:t>
      </w:r>
      <w:bookmarkEnd w:id="0"/>
      <w:r w:rsidR="009A05BA">
        <w:t>287</w:t>
      </w:r>
    </w:p>
    <w:p w14:paraId="0F4F5DFE" w14:textId="02FEF7C5" w:rsidR="006A215C" w:rsidRPr="00083934" w:rsidRDefault="00083934" w:rsidP="006A215C">
      <w:pPr>
        <w:pStyle w:val="ATHeading2"/>
      </w:pPr>
      <w:r w:rsidRPr="00083934">
        <w:rPr>
          <w:bCs/>
        </w:rPr>
        <w:t>Budżet na rok 2024 – ocena wdrażania metodologii uwzględniania aspektu płci w budżecie UE</w:t>
      </w:r>
    </w:p>
    <w:p w14:paraId="72D59690" w14:textId="77777777" w:rsidR="006A215C" w:rsidRPr="002E55E1" w:rsidRDefault="006A215C" w:rsidP="006A215C">
      <w:pPr>
        <w:rPr>
          <w:i/>
          <w:vanish/>
        </w:rPr>
      </w:pPr>
      <w:r w:rsidRPr="002E55E1">
        <w:rPr>
          <w:i/>
        </w:rPr>
        <w:fldChar w:fldCharType="begin"/>
      </w:r>
      <w:r w:rsidRPr="002E55E1">
        <w:rPr>
          <w:i/>
        </w:rPr>
        <w:instrText xml:space="preserve"> TC"(</w:instrText>
      </w:r>
      <w:bookmarkStart w:id="1" w:name="DocNumber"/>
      <w:r w:rsidRPr="002E55E1">
        <w:rPr>
          <w:i/>
        </w:rPr>
        <w:instrText>A10-0212/2025</w:instrText>
      </w:r>
      <w:bookmarkEnd w:id="1"/>
      <w:r w:rsidRPr="002E55E1">
        <w:rPr>
          <w:i/>
        </w:rPr>
        <w:instrText xml:space="preserve"> - Sprawozdawca: Marit Maij)"\l3 \n&gt; \* MERGEFORMAT </w:instrText>
      </w:r>
      <w:r w:rsidRPr="002E55E1">
        <w:rPr>
          <w:i/>
        </w:rPr>
        <w:fldChar w:fldCharType="end"/>
      </w:r>
    </w:p>
    <w:p w14:paraId="06FE027C" w14:textId="77777777" w:rsidR="006A215C" w:rsidRPr="002E55E1" w:rsidRDefault="006A215C" w:rsidP="006A215C">
      <w:pPr>
        <w:rPr>
          <w:vanish/>
        </w:rPr>
      </w:pPr>
      <w:bookmarkStart w:id="2" w:name="Commission"/>
      <w:r w:rsidRPr="002E55E1">
        <w:rPr>
          <w:vanish/>
        </w:rPr>
        <w:t>Komisja Kontroli Budżetowej</w:t>
      </w:r>
      <w:bookmarkEnd w:id="2"/>
    </w:p>
    <w:p w14:paraId="59B1FF60" w14:textId="77777777" w:rsidR="006A215C" w:rsidRPr="002E55E1" w:rsidRDefault="006A215C" w:rsidP="006A215C">
      <w:pPr>
        <w:rPr>
          <w:vanish/>
        </w:rPr>
      </w:pPr>
      <w:bookmarkStart w:id="3" w:name="PE"/>
      <w:r w:rsidRPr="002E55E1">
        <w:rPr>
          <w:vanish/>
        </w:rPr>
        <w:t>PE775.770</w:t>
      </w:r>
      <w:bookmarkEnd w:id="3"/>
    </w:p>
    <w:p w14:paraId="1C9EE5C9" w14:textId="419602A4" w:rsidR="006A215C" w:rsidRPr="002E55E1" w:rsidRDefault="006A215C" w:rsidP="006A215C">
      <w:pPr>
        <w:pStyle w:val="ATHeading3"/>
      </w:pPr>
      <w:bookmarkStart w:id="4" w:name="Sujet"/>
      <w:r w:rsidRPr="002E55E1">
        <w:t xml:space="preserve">Rezolucja Parlamentu Europejskiego z dnia </w:t>
      </w:r>
      <w:r w:rsidR="00083934">
        <w:t>25 listopada</w:t>
      </w:r>
      <w:r w:rsidRPr="002E55E1">
        <w:t xml:space="preserve"> 2025 r. w sprawie budżetu na rok 2024 – ocena wdrażania metodologii uwzględniania aspektu płci w budżecie UE</w:t>
      </w:r>
      <w:bookmarkEnd w:id="4"/>
      <w:r w:rsidRPr="002E55E1">
        <w:t xml:space="preserve"> </w:t>
      </w:r>
      <w:bookmarkStart w:id="5" w:name="References"/>
      <w:r w:rsidRPr="002E55E1">
        <w:t>(2025/2033(INI))</w:t>
      </w:r>
      <w:bookmarkEnd w:id="5"/>
    </w:p>
    <w:p w14:paraId="686C65D4" w14:textId="77777777" w:rsidR="00FE7D7A" w:rsidRPr="002E55E1" w:rsidRDefault="00FE7D7A" w:rsidP="00FE7D7A">
      <w:pPr>
        <w:pStyle w:val="EPComma"/>
      </w:pPr>
      <w:r w:rsidRPr="002E55E1">
        <w:rPr>
          <w:rStyle w:val="Italic"/>
        </w:rPr>
        <w:t>Parlament Europejski</w:t>
      </w:r>
      <w:r w:rsidRPr="002E55E1">
        <w:t>,</w:t>
      </w:r>
    </w:p>
    <w:p w14:paraId="218B69DB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art. 2 i 3 Traktatu o Unii Europejskiej,</w:t>
      </w:r>
    </w:p>
    <w:p w14:paraId="7C68C95A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art. 8, 10 i 19 Traktatu o funkcjonowaniu Unii Europejskiej (TFUE),</w:t>
      </w:r>
    </w:p>
    <w:p w14:paraId="5B0176E2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art. 21 i 23 Karty praw podstawowych Unii Europejskiej,</w:t>
      </w:r>
    </w:p>
    <w:p w14:paraId="623A993C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rozporządzenie Rady (UE, Euratom) 2024/765 z dnia 29 lutego 2024 r. w sprawie zmiany rozporządzenia (UE, Euratom) 2020/2093 określającego wieloletnie ramy finansowe na lata 2021–2027</w:t>
      </w:r>
      <w:r w:rsidRPr="002E55E1">
        <w:rPr>
          <w:rStyle w:val="FootnoteReference"/>
        </w:rPr>
        <w:footnoteReference w:id="1"/>
      </w:r>
      <w:r w:rsidRPr="002E55E1">
        <w:t>,</w:t>
      </w:r>
    </w:p>
    <w:p w14:paraId="7D158A87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rozporządzenie Rady (UE, Euratom) 2022/2496 z dnia 15 grudnia 2022 r. w sprawie zmiany rozporządzenia (UE, Euratom) 2020/2093 określającego wieloletnie ramy finansowe na lata 2021–2027</w:t>
      </w:r>
      <w:r w:rsidRPr="002E55E1">
        <w:rPr>
          <w:rStyle w:val="FootnoteReference"/>
        </w:rPr>
        <w:footnoteReference w:id="2"/>
      </w:r>
      <w:r w:rsidRPr="002E55E1">
        <w:t>,</w:t>
      </w:r>
    </w:p>
    <w:p w14:paraId="3E706749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rozporządzenie Rady (UE, Euratom) 2020/2093 z dnia 17 grudnia 2020 r. określające wieloletnie ramy finansowe na lata 2021–2027</w:t>
      </w:r>
      <w:r w:rsidRPr="002E55E1">
        <w:rPr>
          <w:rStyle w:val="FootnoteReference"/>
        </w:rPr>
        <w:footnoteReference w:id="3"/>
      </w:r>
      <w:r w:rsidRPr="002E55E1">
        <w:t>,</w:t>
      </w:r>
    </w:p>
    <w:p w14:paraId="79373A4D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swoją rezolucję z dnia 3 października 2023 r. w sprawie wniosku dotyczącego śródokresowej rewizji wieloletnich ram finansowych na lata 2021–2027</w:t>
      </w:r>
      <w:r w:rsidRPr="002E55E1">
        <w:rPr>
          <w:rStyle w:val="FootnoteReference"/>
        </w:rPr>
        <w:footnoteReference w:id="4"/>
      </w:r>
      <w:r w:rsidRPr="002E55E1">
        <w:t>,</w:t>
      </w:r>
    </w:p>
    <w:p w14:paraId="56C4938F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 xml:space="preserve">uwzględniając Porozumienie międzyinstytucjonalne z dnia 16 grudnia 2020 r. między Parlamentem Europejskim, Radą Unii Europejskiej i Komisją Europejską w sprawie dyscypliny budżetowej, współpracy w kwestiach budżetowych i należytego zarządzania </w:t>
      </w:r>
      <w:r w:rsidRPr="002E55E1">
        <w:lastRenderedPageBreak/>
        <w:t>finansami oraz w sprawie nowych zasobów własnych, w tym również harmonogramu wprowadzania nowych zasobów własnych</w:t>
      </w:r>
      <w:r w:rsidRPr="002E55E1">
        <w:rPr>
          <w:rStyle w:val="FootnoteReference"/>
        </w:rPr>
        <w:footnoteReference w:id="5"/>
      </w:r>
      <w:r w:rsidRPr="002E55E1">
        <w:t>, w szczególności jego pkt 16 lit. f),</w:t>
      </w:r>
    </w:p>
    <w:p w14:paraId="4E5DAAE4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rozporządzenie Parlamentu Europejskiego i Rady (UE, Euratom) 2024/2509 z dnia 23 września 2024 r. w sprawie zasad finansowych mających zastosowanie do budżetu ogólnego Unii</w:t>
      </w:r>
      <w:r w:rsidRPr="002E55E1">
        <w:rPr>
          <w:rStyle w:val="FootnoteReference"/>
        </w:rPr>
        <w:footnoteReference w:id="6"/>
      </w:r>
      <w:r w:rsidRPr="002E55E1">
        <w:t>, w szczególności jego art. 33,</w:t>
      </w:r>
    </w:p>
    <w:p w14:paraId="7A71D3C7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–</w:t>
      </w:r>
      <w:r w:rsidRPr="002E55E1">
        <w:tab/>
        <w:t>uwzględniając wniosek Komisji z dnia 16 lipca 2025 r. dotyczący rozporządzenia Rady określającego wieloletnie ramy finansowe na lata 2028–2034 (COM(2025)0571),</w:t>
      </w:r>
    </w:p>
    <w:p w14:paraId="7BD66928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–</w:t>
      </w:r>
      <w:r w:rsidRPr="002E55E1">
        <w:tab/>
        <w:t>uwzględniając wniosek Komisji z dnia 16 lipca 2025 r. dotyczący rozporządzenia Parlamentu Europejskiego i Rady ustanawiającego ramy monitorowania wydatków budżetowych i ramy wykonania budżetu oraz inne przepisy horyzontalne dla programów i działań Unii (COM(2025)0545) oraz towarzyszące mu sprawozdanie z oceny skutków z 16 lipca 2025 r. (SWD(2025)0590),</w:t>
      </w:r>
    </w:p>
    <w:p w14:paraId="6B8D2B13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–</w:t>
      </w:r>
      <w:r w:rsidRPr="002E55E1">
        <w:tab/>
        <w:t>uwzględniając dokument roboczy służb Komisji z dnia 3 listopada 2021 r. w sprawie wytycznych dotyczących lepszego stanowienia prawa (SWD(2021)0305),</w:t>
      </w:r>
    </w:p>
    <w:p w14:paraId="21BA685F" w14:textId="438C5872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 xml:space="preserve">uwzględniając komunikat Komisji z dnia 5 marca 2020 r. pt. „Unia równości: strategia na rzecz równouprawnienia płci na lata 2020–2025” </w:t>
      </w:r>
      <w:r w:rsidRPr="00083934">
        <w:t>(COM(2020)0152),</w:t>
      </w:r>
    </w:p>
    <w:p w14:paraId="0742D0B8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sprawozdanie Komisji z 2025 r. w sprawie równouprawnienia płci w UE,</w:t>
      </w:r>
    </w:p>
    <w:p w14:paraId="294DCBE8" w14:textId="32045808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 xml:space="preserve">uwzględniając komunikat Komisji z dnia 7 marca 2025 r. pt. „Plan działania na rzecz praw kobiet” </w:t>
      </w:r>
      <w:r w:rsidRPr="00083934">
        <w:t>(COM(2025)0097)</w:t>
      </w:r>
      <w:r w:rsidRPr="002E55E1">
        <w:t>,</w:t>
      </w:r>
    </w:p>
    <w:p w14:paraId="28944B70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swoją rezolucję z dnia 21 stycznia 2021 r. w sprawie europejskiej strategii na rzecz równouprawnienia płci</w:t>
      </w:r>
      <w:r w:rsidRPr="002E55E1">
        <w:rPr>
          <w:rStyle w:val="FootnoteReference"/>
        </w:rPr>
        <w:footnoteReference w:id="7"/>
      </w:r>
      <w:r w:rsidRPr="002E55E1">
        <w:t>,</w:t>
      </w:r>
    </w:p>
    <w:p w14:paraId="5C1EDE74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swoją rezolucję z dnia 10 marca 2022 r. w sprawie uwzględniania aspektu płci w Parlamencie Europejskim – sprawozdanie roczne za 2020 r.</w:t>
      </w:r>
      <w:r w:rsidRPr="002E55E1">
        <w:rPr>
          <w:rStyle w:val="FootnoteReference"/>
        </w:rPr>
        <w:footnoteReference w:id="8"/>
      </w:r>
      <w:r w:rsidRPr="002E55E1">
        <w:t>,</w:t>
      </w:r>
    </w:p>
    <w:p w14:paraId="2748EF05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swoją rezolucję z dnia 2 kwietnia 2025 r. w sprawie ogólnych wytycznych dotyczących przygotowania budżetu na rok 2026, sekcja III – Komisja</w:t>
      </w:r>
      <w:r w:rsidRPr="002E55E1">
        <w:rPr>
          <w:rStyle w:val="FootnoteReference"/>
        </w:rPr>
        <w:footnoteReference w:id="9"/>
      </w:r>
      <w:r w:rsidRPr="002E55E1">
        <w:t>,</w:t>
      </w:r>
    </w:p>
    <w:p w14:paraId="3406555B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swoją rezolucję z dnia 7 maja 2025 r. w sprawie zmienionego budżetu długoterminowego dla Unii w zmieniającym się świecie</w:t>
      </w:r>
      <w:r w:rsidRPr="002E55E1">
        <w:rPr>
          <w:rStyle w:val="FootnoteReference"/>
        </w:rPr>
        <w:footnoteReference w:id="10"/>
      </w:r>
      <w:r w:rsidRPr="002E55E1">
        <w:t>,</w:t>
      </w:r>
    </w:p>
    <w:p w14:paraId="720542EC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preliminarz Komisji na rok budżetowy 2026 z dnia 4 czerwca 2025 r. (SEC(2025)0250),</w:t>
      </w:r>
    </w:p>
    <w:p w14:paraId="4EE540C9" w14:textId="5F4E6B70" w:rsidR="00FE7D7A" w:rsidRPr="002E55E1" w:rsidRDefault="00FE7D7A" w:rsidP="00FE7D7A">
      <w:pPr>
        <w:pStyle w:val="NormalHanging12a"/>
      </w:pPr>
      <w:r w:rsidRPr="002E55E1">
        <w:lastRenderedPageBreak/>
        <w:t>–</w:t>
      </w:r>
      <w:r w:rsidRPr="002E55E1">
        <w:tab/>
        <w:t xml:space="preserve">uwzględniając zestawienia wyników programów dotyczące wydatków operacyjnych zawarte w części I dokumentu roboczego z czerwca 2025 r., towarzyszącego projektowi budżetu ogólnego Unii Europejskiej na rok budżetowy 2026 </w:t>
      </w:r>
      <w:r w:rsidRPr="00083934">
        <w:t>(COM(2025)0300)</w:t>
      </w:r>
      <w:r w:rsidRPr="002E55E1">
        <w:t>,</w:t>
      </w:r>
    </w:p>
    <w:p w14:paraId="4BF32BF8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sprawozdanie roczne Komisji z zarządzania i wykonania dotyczące budżetu UE – rok budżetowy 2021 (COM(2022)0401),</w:t>
      </w:r>
    </w:p>
    <w:p w14:paraId="4AEAB7D6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sprawozdanie roczne Komisji z zarządzania i wykonania dotyczące budżetu UE – rok budżetowy 2022 (COM(2023)0401),</w:t>
      </w:r>
    </w:p>
    <w:p w14:paraId="299B786A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sprawozdanie roczne Komisji z zarządzania i wykonania dotyczące budżetu UE – rok budżetowy 2023 (COM(2024)0401),</w:t>
      </w:r>
    </w:p>
    <w:p w14:paraId="4C675505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sprawozdanie roczne Komisji z zarządzania i wykonania dotyczące budżetu UE – rok budżetowy 2024 (COM(2025)0824),</w:t>
      </w:r>
    </w:p>
    <w:p w14:paraId="33358AD7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sprawozdanie specjalne Europejskiego Trybunału Obrachunkowego 10/2021 z dnia 26 maja 2021 r. pt. „Uwzględnianie aspektu płci w budżecie UE: czas, by za słowami poszły czyny”,</w:t>
      </w:r>
    </w:p>
    <w:p w14:paraId="281C34C5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briefing Biura Analiz Parlamentu Europejskiego z lutego 2025 r. pt. „Gender-based budgeting: State of play and opportunities for the European Parliament’s 10th term” [Sporządzanie budżetu z uwzględnieniem aspektu płci: Aktualna sytuacja i możliwości w 10. kadencji Parlamentu Europejskiego],</w:t>
      </w:r>
    </w:p>
    <w:p w14:paraId="5D213B29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rPr>
          <w:b/>
          <w:i/>
        </w:rPr>
        <w:t>–</w:t>
      </w:r>
      <w:r w:rsidRPr="002E55E1">
        <w:tab/>
        <w:t>uwzględniając badanie zlecone przez Komisję Budżetową i Komisję Kontroli Budżetowej pt. „Sporządzanie budżetu Unii Europejskiej z uwzględnieniem aspektu płci – aktualna sytuacja w 2024 r.”,</w:t>
      </w:r>
    </w:p>
    <w:p w14:paraId="5EE78CAD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warsztaty z dnia 25 czerwca 2025 r. zorganizowane na wniosek Komisji Kontroli Budżetowej na temat stosowania metodologii uwzględniania aspektu płci w budżecie UE,</w:t>
      </w:r>
    </w:p>
    <w:p w14:paraId="740CC18E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pisemne odpowiedzi udzielone przez ówczesnego kandydata na komisarza do spraw budżetu i administracji publicznej oraz zwalczania nadużyć finansowych podczas wysłuchań potwierdzających w 2024 r.,</w:t>
      </w:r>
    </w:p>
    <w:p w14:paraId="286A5654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deklarację pekińską i pekińską platformę działania (1995 r.),</w:t>
      </w:r>
    </w:p>
    <w:p w14:paraId="127EA42B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sprawozdanie końcowe Grupy Specjalistów Rady Europy ds. sporządzania budżetu z uwzględnieniem aspektu płci (2005 r.),</w:t>
      </w:r>
    </w:p>
    <w:p w14:paraId="1F6CBC52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działalność Europejskiego Instytutu ds. Równości Kobiet i Mężczyzn (EIGE) i jego publikacje,</w:t>
      </w:r>
    </w:p>
    <w:p w14:paraId="29816032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art. 55 Regulaminu,</w:t>
      </w:r>
    </w:p>
    <w:p w14:paraId="63541FCD" w14:textId="77777777" w:rsidR="00FE7D7A" w:rsidRPr="002E55E1" w:rsidRDefault="00FE7D7A" w:rsidP="00FE7D7A">
      <w:pPr>
        <w:pStyle w:val="NormalHanging12a"/>
      </w:pPr>
      <w:r w:rsidRPr="002E55E1">
        <w:t>–</w:t>
      </w:r>
      <w:r w:rsidRPr="002E55E1">
        <w:tab/>
        <w:t>uwzględniając sprawozdanie Komisji Kontroli Budżetowej (A10-0212/2025),</w:t>
      </w:r>
    </w:p>
    <w:p w14:paraId="2D54D9CF" w14:textId="77777777" w:rsidR="00FE7D7A" w:rsidRPr="002E55E1" w:rsidRDefault="00FE7D7A" w:rsidP="00FE7D7A">
      <w:pPr>
        <w:pStyle w:val="NormalHanging12a"/>
      </w:pPr>
      <w:r w:rsidRPr="002E55E1">
        <w:t>A.</w:t>
      </w:r>
      <w:r w:rsidRPr="002E55E1">
        <w:tab/>
        <w:t>mając na uwadze, że równouprawnienie płci jest celem UE zapisanym w jej prawie pierwotnym oraz zasadą, która powinna leżeć u podstaw wszystkich strategii politycznych UE;</w:t>
      </w:r>
    </w:p>
    <w:p w14:paraId="2B34A7FA" w14:textId="77777777" w:rsidR="00FE7D7A" w:rsidRPr="002E55E1" w:rsidRDefault="00FE7D7A" w:rsidP="00FE7D7A">
      <w:pPr>
        <w:pStyle w:val="NormalHanging12a"/>
      </w:pPr>
      <w:r w:rsidRPr="002E55E1">
        <w:lastRenderedPageBreak/>
        <w:t>B.</w:t>
      </w:r>
      <w:r w:rsidRPr="002E55E1">
        <w:tab/>
        <w:t>mając na uwadze, że uwzględnianie aspektu płci jest powszechnie uznaną strategią służącą zapewnieniu włączenia perspektywy płci do wszystkich strategii, programów i środków na etapie ich projektowania, wdrażania i oceny z myślą o promowaniu równouprawnienia płci i zwalczaniu dyskryminacji;</w:t>
      </w:r>
    </w:p>
    <w:p w14:paraId="1E1CEA21" w14:textId="77777777" w:rsidR="00FE7D7A" w:rsidRPr="002E55E1" w:rsidRDefault="00FE7D7A" w:rsidP="00FE7D7A">
      <w:pPr>
        <w:pStyle w:val="NormalHanging12a"/>
      </w:pPr>
      <w:r w:rsidRPr="002E55E1">
        <w:t>C.</w:t>
      </w:r>
      <w:r w:rsidRPr="002E55E1">
        <w:tab/>
        <w:t>mając na uwadze, że sporządzanie budżetu z uwzględnieniem aspektu płci jest definiowane przez Radę Europy jako ocena budżetów pod kątem płci, uwzględniająca perspektywę płci na wszystkich szczeblach procesu budżetowego oraz restrukturyzująca dochody i wydatki w celu promowania równouprawnienia płci;</w:t>
      </w:r>
    </w:p>
    <w:p w14:paraId="564EB254" w14:textId="77777777" w:rsidR="00FE7D7A" w:rsidRPr="002E55E1" w:rsidRDefault="00FE7D7A" w:rsidP="00FE7D7A">
      <w:pPr>
        <w:pStyle w:val="NormalHanging12a"/>
      </w:pPr>
      <w:r w:rsidRPr="002E55E1">
        <w:t>D.</w:t>
      </w:r>
      <w:r w:rsidRPr="002E55E1">
        <w:tab/>
        <w:t>mając na uwadze, że EIGE opisuje sporządzanie budżetu z uwzględnieniem aspektu płci jako narzędzie umożliwiające decydentom politycznym promowanie rozliczalności i przejrzystości, zwiększenie zrównoważonego udziału wszystkich płci w procesie budżetowym oraz wspieranie równouprawnienia płci;</w:t>
      </w:r>
    </w:p>
    <w:p w14:paraId="241C1F27" w14:textId="77777777" w:rsidR="00FE7D7A" w:rsidRPr="002E55E1" w:rsidRDefault="00FE7D7A" w:rsidP="00FE7D7A">
      <w:pPr>
        <w:pStyle w:val="NormalHanging12a"/>
      </w:pPr>
      <w:r w:rsidRPr="002E55E1">
        <w:t>E.</w:t>
      </w:r>
      <w:r w:rsidRPr="002E55E1">
        <w:tab/>
        <w:t>mając na uwadze, że Europejski Trybunał Obrachunkowy wskazał, iż w wieloletnich ramach finansowych (WRF) UE na lata 2014–2020 nie uwzględniono odpowiednio równouprawnienia płci;</w:t>
      </w:r>
    </w:p>
    <w:p w14:paraId="65E3DE74" w14:textId="77777777" w:rsidR="00FE7D7A" w:rsidRPr="002E55E1" w:rsidRDefault="00FE7D7A" w:rsidP="00FE7D7A">
      <w:pPr>
        <w:pStyle w:val="NormalHanging12a"/>
      </w:pPr>
      <w:r w:rsidRPr="002E55E1">
        <w:t>F.</w:t>
      </w:r>
      <w:r w:rsidRPr="002E55E1">
        <w:tab/>
        <w:t>mając na uwadze, że uwzględnianie równouprawnienia płci jako priorytetu horyzontalnego w budżecie UE jest od dawna kwestią budzącą zaniepokojenie zarówno w Komisji Kontroli Budżetowej, jak i w Parlamencie, i jest uznawane za kluczowe kryterium oceny wykonania, wyników i proporcjonalności budżetu UE i należytego zarządzania finansami;</w:t>
      </w:r>
    </w:p>
    <w:p w14:paraId="71D9E653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G.</w:t>
      </w:r>
      <w:r w:rsidRPr="002E55E1">
        <w:tab/>
        <w:t>mając na uwadze, że uwzględnianie aspektu płci w budżecie UE zostało wzmocnione w porozumieniu międzyinstytucjonalnym towarzyszącym WRF na lata 2021–2027, w tym poprzez wymóg dotyczący wzmocnienia oceny wpływu w aspekcie płci w ocenach skutków i ewaluacjach na podstawie ram lepszego stanowienia prawa, a także wymóg opracowania pilotażowej metodologii pomiaru wydatków związanych z promowaniem równouprawnienia płci na poziomie programu od 2023 r.;</w:t>
      </w:r>
    </w:p>
    <w:p w14:paraId="4F65E45B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H.</w:t>
      </w:r>
      <w:r w:rsidRPr="002E55E1">
        <w:tab/>
        <w:t>mając na uwadze, że dążenie do równouprawnienia płci wymaga przekrojowego podejścia do sporządzania budżetu z uwzględnieniem aspektu płci, uwzględniającego złożoną dyskryminację kobiet należących do grup rasowych, osób z niepełnosprawnościami, osób LGBTIQ+ i migrantów, aby zagwarantować, że wydatki UE będą promować równość we wszystkich wymiarach;</w:t>
      </w:r>
    </w:p>
    <w:p w14:paraId="12F6479C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I.</w:t>
      </w:r>
      <w:r w:rsidRPr="002E55E1">
        <w:tab/>
        <w:t>mając na uwadze, że rodzina jest podstawową jednostką społeczeństwa i odgrywa kluczową rolę we wspieraniu dobrostanu, stabilności i rozwoju jednostek, społeczności i narodów; mając na uwadze, że istotne jest, aby polityka horyzontalna UE aktywnie ją promowała i wspierała;</w:t>
      </w:r>
    </w:p>
    <w:p w14:paraId="0D25E944" w14:textId="77777777" w:rsidR="00FE7D7A" w:rsidRPr="002E55E1" w:rsidRDefault="00FE7D7A" w:rsidP="00FE7D7A">
      <w:pPr>
        <w:pStyle w:val="NormalHanging12a"/>
        <w:rPr>
          <w:iCs/>
        </w:rPr>
      </w:pPr>
      <w:r w:rsidRPr="002E55E1">
        <w:t>J.</w:t>
      </w:r>
      <w:r w:rsidRPr="002E55E1">
        <w:tab/>
        <w:t xml:space="preserve">mając na uwadze, że sporządzanie budżetu z uwzględnieniem aspektu płci jest warunkiem wstępnym osiągnięcia równouprawnienia płci, a równouprawnienie płci samo w sobie jest warunkiem inteligentnego, trwałego wzrostu gospodarczego sprzyjającego włączeniu społecznemu, w tym w UE, gdzie EIGE wykazał, za pomocą solidnego modelu ekonometrycznego stosowanego w konkretnym kontekście UE, że zapewnienie lepszego równouprawnienia płci przyniosłoby szereg korzyści makroekonomicznych w kilku obszarach, takich jak edukacja, aktywność na rynku pracy i płace; mając na uwadze, że EIGE wykazał również, iż równouprawnienie płci </w:t>
      </w:r>
      <w:r w:rsidRPr="002E55E1">
        <w:lastRenderedPageBreak/>
        <w:t>ma ogólnie silny i pozytywny wpływ na PKB na mieszkańca oraz że poprawa równouprawnienia płci doprowadziłaby do wzrostu PKB UE na mieszkańca o co najmniej 6,1 % i nawet o 9,6 % do 2050 r., co wynosi odpowiednio 1,95 bln EUR i 3,15 bln EUR;</w:t>
      </w:r>
    </w:p>
    <w:p w14:paraId="02729506" w14:textId="77777777" w:rsidR="00FE7D7A" w:rsidRPr="002E55E1" w:rsidRDefault="00FE7D7A" w:rsidP="00FE7D7A">
      <w:pPr>
        <w:pStyle w:val="NormalHanging12a"/>
        <w:rPr>
          <w:iCs/>
        </w:rPr>
      </w:pPr>
      <w:r w:rsidRPr="002E55E1">
        <w:t>K.</w:t>
      </w:r>
      <w:r w:rsidRPr="002E55E1">
        <w:tab/>
        <w:t>mając na uwadze, że – jak donosi EIGE – od 2021 r. obserwuje się niepokojący spadek wysiłków państw członkowskich na rzecz uwzględniania aspektu płci; tendencji tej nie należy powielać na szczeblu UE;</w:t>
      </w:r>
    </w:p>
    <w:p w14:paraId="00CBA6F4" w14:textId="77777777" w:rsidR="00FE7D7A" w:rsidRPr="002E55E1" w:rsidRDefault="00FE7D7A" w:rsidP="00FE7D7A">
      <w:pPr>
        <w:pStyle w:val="NormalHanging12a"/>
      </w:pPr>
      <w:r w:rsidRPr="002E55E1">
        <w:t>L.</w:t>
      </w:r>
      <w:r w:rsidRPr="002E55E1">
        <w:tab/>
        <w:t>mając na uwadze, że trzeba koniecznie systematycznie włączać oceny ex ante wpływu na równouprawnienia płci i środki łagodzące do procesów kształtowania polityki UE, aby zagwarantować, że przyszłe inicjatywy promują równouprawnienie płci, a nie szkodzą mu;</w:t>
      </w:r>
    </w:p>
    <w:p w14:paraId="1FD092B8" w14:textId="77777777" w:rsidR="00FE7D7A" w:rsidRPr="002E55E1" w:rsidRDefault="00FE7D7A" w:rsidP="00FE7D7A">
      <w:pPr>
        <w:pStyle w:val="NormalHanging12a"/>
      </w:pPr>
      <w:r w:rsidRPr="002E55E1">
        <w:t>M.</w:t>
      </w:r>
      <w:r w:rsidRPr="002E55E1">
        <w:tab/>
        <w:t>mając na uwadze, że instytucje demokratyczne muszą odzwierciedlać różnorodność społeczeństwa, przede wszystkim wśród swoich pracowników;</w:t>
      </w:r>
    </w:p>
    <w:p w14:paraId="1F997089" w14:textId="77777777" w:rsidR="00FE7D7A" w:rsidRPr="002E55E1" w:rsidRDefault="00FE7D7A" w:rsidP="00FE7D7A">
      <w:pPr>
        <w:pStyle w:val="NormalHanging12a"/>
      </w:pPr>
      <w:r w:rsidRPr="002E55E1">
        <w:t>N.</w:t>
      </w:r>
      <w:r w:rsidRPr="002E55E1">
        <w:tab/>
        <w:t>mając na uwadze, że równowaga płci pozostaje celem, który nie został osiągnięty na wielu kluczowych szczeblach podejmowania decyzji;</w:t>
      </w:r>
    </w:p>
    <w:p w14:paraId="5C7EFA58" w14:textId="77777777" w:rsidR="00FE7D7A" w:rsidRPr="002E55E1" w:rsidRDefault="00FE7D7A" w:rsidP="00FE7D7A">
      <w:pPr>
        <w:pStyle w:val="NormalHanging12a"/>
      </w:pPr>
      <w:r w:rsidRPr="002E55E1">
        <w:t>O.</w:t>
      </w:r>
      <w:r w:rsidRPr="002E55E1">
        <w:tab/>
        <w:t>mając na uwadze, że w deklaracji pekińskiej i pekińskiej platformie działania wezwano do włączenia perspektywy płci do decyzji budżetowych na wszystkich szczeblach, a także mając na uwadze, że UE zobowiązała się do stosowania zasad deklaracji i platformy, w szczególności w celu dopilnowania, by zasoby publiczne skutecznie przyczyniały się do równouprawnienia płci i wzmocnienia pozycji kobiet we wszystkich obszarach polityki;</w:t>
      </w:r>
    </w:p>
    <w:p w14:paraId="0E56D781" w14:textId="77777777" w:rsidR="00FE7D7A" w:rsidRPr="002E55E1" w:rsidRDefault="00FE7D7A" w:rsidP="00FE7D7A">
      <w:pPr>
        <w:pStyle w:val="Normal12a24b"/>
      </w:pPr>
      <w:r w:rsidRPr="002E55E1">
        <w:rPr>
          <w:rStyle w:val="BoldItalic"/>
        </w:rPr>
        <w:t>Uwagi ogólne</w:t>
      </w:r>
    </w:p>
    <w:p w14:paraId="34961D45" w14:textId="77777777" w:rsidR="00FE7D7A" w:rsidRPr="002E55E1" w:rsidRDefault="00FE7D7A" w:rsidP="00FE7D7A">
      <w:pPr>
        <w:pStyle w:val="NormalHanging12a"/>
      </w:pPr>
      <w:r w:rsidRPr="002E55E1">
        <w:t>1.</w:t>
      </w:r>
      <w:r w:rsidRPr="002E55E1">
        <w:tab/>
        <w:t>z zadowoleniem przyjmuje fakt, że zgodnie ze swoimi wiążącymi zobowiązaniami i w następstwie ponawianych apeli Parlamentu Komisja opracowała pilotażową metodologię śledzenia i pomiaru wydatków związanych z równouprawnieniem płci na poziomie programów w WRF na lata 2021–2027 w celu lepszego uwzględniania aspektu płci w swoim procesie budżetowym oraz usprawnienia sposobu, w jaki kształtowanie polityki i przydział zasobów przyczyniają się do osiągania celów w zakresie równouprawnienia płci;</w:t>
      </w:r>
    </w:p>
    <w:p w14:paraId="7DEDBCC0" w14:textId="77777777" w:rsidR="00FE7D7A" w:rsidRPr="002E55E1" w:rsidRDefault="00FE7D7A" w:rsidP="00FE7D7A">
      <w:pPr>
        <w:pStyle w:val="NormalHanging12a"/>
      </w:pPr>
      <w:r w:rsidRPr="002E55E1">
        <w:t>2.</w:t>
      </w:r>
      <w:r w:rsidRPr="002E55E1">
        <w:tab/>
        <w:t>zauważa, że zgodnie z obecną metodologią Komisja przyznaje programom różne punkty w oparciu o ocenę ich wkładu w zapewnianie równouprawnienia płci na możliwie najbardziej szczegółowym poziomie interwencji; przyznaje następujące punkty:</w:t>
      </w:r>
    </w:p>
    <w:p w14:paraId="246F060A" w14:textId="77777777" w:rsidR="00FE7D7A" w:rsidRPr="002E55E1" w:rsidRDefault="00FE7D7A" w:rsidP="00FE7D7A">
      <w:pPr>
        <w:pStyle w:val="NormalHanging12a1"/>
      </w:pPr>
      <w:r w:rsidRPr="002E55E1">
        <w:t>a)</w:t>
      </w:r>
      <w:r w:rsidRPr="002E55E1">
        <w:tab/>
        <w:t>2 – interwencjom, których głównym celem jest poprawa równouprawnienia płci;</w:t>
      </w:r>
    </w:p>
    <w:p w14:paraId="524783E0" w14:textId="77777777" w:rsidR="00FE7D7A" w:rsidRPr="002E55E1" w:rsidRDefault="00FE7D7A" w:rsidP="00FE7D7A">
      <w:pPr>
        <w:pStyle w:val="NormalHanging12a1"/>
      </w:pPr>
      <w:r w:rsidRPr="002E55E1">
        <w:t>b)</w:t>
      </w:r>
      <w:r w:rsidRPr="002E55E1">
        <w:tab/>
        <w:t>1 – interwencjom, w których równouprawnienie płci stanowi istotny i zamierzony cel, lecz nie jest głównym powodem interwencji;</w:t>
      </w:r>
    </w:p>
    <w:p w14:paraId="1C9B04D7" w14:textId="77777777" w:rsidR="00FE7D7A" w:rsidRPr="002E55E1" w:rsidRDefault="00FE7D7A" w:rsidP="00FE7D7A">
      <w:pPr>
        <w:pStyle w:val="NormalHanging12a1"/>
      </w:pPr>
      <w:r w:rsidRPr="002E55E1">
        <w:t>c)</w:t>
      </w:r>
      <w:r w:rsidRPr="002E55E1">
        <w:tab/>
        <w:t>0 – interwencjom nieukierunkowanym, tj. interwencjom, co do których oczekuje się, że nie będą miały istotnego wpływu na równouprawnienie płci;</w:t>
      </w:r>
    </w:p>
    <w:p w14:paraId="02156521" w14:textId="77777777" w:rsidR="00FE7D7A" w:rsidRPr="002E55E1" w:rsidRDefault="00FE7D7A" w:rsidP="00FE7D7A">
      <w:pPr>
        <w:pStyle w:val="NormalHanging12a1"/>
      </w:pPr>
      <w:r w:rsidRPr="002E55E1">
        <w:t>d)</w:t>
      </w:r>
      <w:r w:rsidRPr="002E55E1">
        <w:tab/>
        <w:t xml:space="preserve">0* – interwencjom mającym prawdopodobny, ale jak dotąd niejasny pozytywny </w:t>
      </w:r>
      <w:r w:rsidRPr="002E55E1">
        <w:lastRenderedPageBreak/>
        <w:t>wpływ na równouprawnienie płci;</w:t>
      </w:r>
    </w:p>
    <w:p w14:paraId="09D55F3C" w14:textId="77777777" w:rsidR="00FE7D7A" w:rsidRPr="002E55E1" w:rsidRDefault="00FE7D7A" w:rsidP="00FE7D7A">
      <w:pPr>
        <w:pStyle w:val="NormalHanging12a"/>
      </w:pPr>
      <w:r w:rsidRPr="002E55E1">
        <w:t>3.</w:t>
      </w:r>
      <w:r w:rsidRPr="002E55E1">
        <w:tab/>
        <w:t>zwraca uwagę, że metodologia ta opiera się na wskaźniku polityki równości płci opracowanym przez Organizację Współpracy Gospodarczej i Rozwoju; jest to jakościowe narzędzie statystyczne wykorzystywane do monitorowania i rejestrowania działań rozwojowych ukierunkowanych na równość płci jako cel polityki i jest stosowane przez Komisję do wszystkich programów wydatków z budżetu UE w ramach zarządzania dzielonego, bezpośredniego i pośredniego;</w:t>
      </w:r>
    </w:p>
    <w:p w14:paraId="59B335C6" w14:textId="5C89CDDF" w:rsidR="00FE7D7A" w:rsidRPr="002E55E1" w:rsidRDefault="00FE7D7A" w:rsidP="00FE7D7A">
      <w:pPr>
        <w:pStyle w:val="NormalHanging12a"/>
        <w:rPr>
          <w:bCs/>
          <w:iCs/>
        </w:rPr>
      </w:pPr>
      <w:r w:rsidRPr="002E55E1">
        <w:t>4.</w:t>
      </w:r>
      <w:r w:rsidRPr="002E55E1">
        <w:tab/>
        <w:t>podkreśla, że metodologia Komisji różni się od wskaźnika polityki równości płci opracowanego przez Organizację Współpracy Gospodarczej i Rozwoju, ponieważ nie zawiera punktacji, która umożliwiłaby śledzenie negatywnego wpływu wydatków UE na cele w zakresie uwzględniania aspektu płci, oraz ponieważ wprowadza kategorię 0* dla interwencji mających prawdopodobny, ale jeszcze niejasny pozytywny wpływ na równouprawnienie płci;</w:t>
      </w:r>
      <w:r w:rsidR="009A05BA">
        <w:t xml:space="preserve"> </w:t>
      </w:r>
      <w:r w:rsidR="009A05BA" w:rsidRPr="009A05BA">
        <w:rPr>
          <w:bCs/>
          <w:iCs/>
        </w:rPr>
        <w:t>podkreśla, że metodologia Komisji powinna w każdym przypadku unikać niezamierzonych konsekwencji, takich jak zniechęcanie do inwestycji lub odmowa inwestycji w sektorach strategicznych, ale tradycyjnie zdominowanych przez jedną płeć, w tym w sektorze obronnym;</w:t>
      </w:r>
    </w:p>
    <w:p w14:paraId="4B22C782" w14:textId="77777777" w:rsidR="00FE7D7A" w:rsidRPr="002E55E1" w:rsidRDefault="00FE7D7A" w:rsidP="00FE7D7A">
      <w:pPr>
        <w:pStyle w:val="Normal12a24b"/>
      </w:pPr>
      <w:r w:rsidRPr="002E55E1">
        <w:rPr>
          <w:rStyle w:val="BoldItalic"/>
        </w:rPr>
        <w:t>Wdrażanie metodologii opracowanej przez Komisję</w:t>
      </w:r>
    </w:p>
    <w:p w14:paraId="104CA7F0" w14:textId="77777777" w:rsidR="00FE7D7A" w:rsidRPr="002E55E1" w:rsidRDefault="00FE7D7A" w:rsidP="00FE7D7A">
      <w:pPr>
        <w:pStyle w:val="NormalHanging12a"/>
      </w:pPr>
      <w:r w:rsidRPr="002E55E1">
        <w:t>5.</w:t>
      </w:r>
      <w:r w:rsidRPr="002E55E1">
        <w:tab/>
        <w:t>zauważa, że metodologię tę zastosowano po raz pierwszy podczas sporządzania preliminarza budżetu UE na rok budżetowy 2023; zastosowano ją też z mocą wsteczną do budżetów na lata budżetowe 2021 i 2022;</w:t>
      </w:r>
    </w:p>
    <w:p w14:paraId="67D35044" w14:textId="77777777" w:rsidR="00FE7D7A" w:rsidRPr="002E55E1" w:rsidRDefault="00FE7D7A" w:rsidP="00FE7D7A">
      <w:pPr>
        <w:pStyle w:val="NormalHanging12a"/>
      </w:pPr>
      <w:r w:rsidRPr="002E55E1">
        <w:t>6.</w:t>
      </w:r>
      <w:r w:rsidRPr="002E55E1">
        <w:tab/>
        <w:t>odnotowuje, że w odniesieniu do roku budżetowego 2021 i 352 mld EUR w środkach na zobowiązania – w momencie publikacji powiązanego sprawozdania rocznego z zarządzania i wykonania – punktacja była następująca:1 % środków na zobowiązania – 2 punkty, 3 % – 1 punt, 1 % – 0 punktów, natomiast 95 % środków uzyskało wynik 0*;</w:t>
      </w:r>
    </w:p>
    <w:p w14:paraId="30BB35BE" w14:textId="77777777" w:rsidR="00FE7D7A" w:rsidRPr="002E55E1" w:rsidRDefault="00FE7D7A" w:rsidP="00FE7D7A">
      <w:pPr>
        <w:pStyle w:val="NormalHanging12a"/>
      </w:pPr>
      <w:r w:rsidRPr="002E55E1">
        <w:t>7.</w:t>
      </w:r>
      <w:r w:rsidRPr="002E55E1">
        <w:tab/>
        <w:t>zwraca uwagę, że w odniesieniu do roku budżetowego 2022 i 321 mld EUR w środkach na zobowiązania – w momencie publikacji powiązanego sprawozdania rocznego z zarządzania i wykonania – punktacja była następująca: 2 % środków na zobowiązania – 2 punkty, 9 % – 1 punkt, 16 % – 0 punktów, natomiast 73 % środków uzyskało wynik 0*;</w:t>
      </w:r>
    </w:p>
    <w:p w14:paraId="1909893A" w14:textId="77777777" w:rsidR="00FE7D7A" w:rsidRPr="002E55E1" w:rsidRDefault="00FE7D7A" w:rsidP="00FE7D7A">
      <w:pPr>
        <w:pStyle w:val="NormalHanging12a"/>
      </w:pPr>
      <w:r w:rsidRPr="002E55E1">
        <w:t>8.</w:t>
      </w:r>
      <w:r w:rsidRPr="002E55E1">
        <w:tab/>
        <w:t>odnotowuje, że w odniesieniu do roku budżetowego 2023 i 427 mld EUR w środkach na zobowiązania – w momencie publikacji powiązanego sprawozdania rocznego z zarządzania i wykonania – punktacja była następująca: 2 % środków na zobowiązania – 2 punkty, 9 % – 1 punkt, 69 % – 0 punktów, natomiast 20 % środków uzyskało wynik 0*;</w:t>
      </w:r>
    </w:p>
    <w:p w14:paraId="1DE22953" w14:textId="77777777" w:rsidR="00FE7D7A" w:rsidRPr="002E55E1" w:rsidRDefault="00FE7D7A" w:rsidP="00FE7D7A">
      <w:pPr>
        <w:pStyle w:val="NormalHanging12a"/>
      </w:pPr>
      <w:r w:rsidRPr="002E55E1">
        <w:t>9.</w:t>
      </w:r>
      <w:r w:rsidRPr="002E55E1">
        <w:tab/>
        <w:t>zauważa, że w odniesieniu do roku budżetowego 2024 i 195 mld EUR w środkach na zobowiązania – w momencie publikacji powiązanego sprawozdania rocznego z zarządzania i wykonania – punktacja była następująca: 3 % środków na zobowiązania – 2 punkty, 17 % – 1 punkt, 65 % – 0 punktów, natomiast 16 % środków uzyskało wynik 0*; wyniki te zaokrąglono;</w:t>
      </w:r>
    </w:p>
    <w:p w14:paraId="085811EC" w14:textId="77777777" w:rsidR="00FE7D7A" w:rsidRPr="002E55E1" w:rsidRDefault="00FE7D7A" w:rsidP="00FE7D7A">
      <w:pPr>
        <w:pStyle w:val="NormalHanging12a"/>
      </w:pPr>
      <w:r w:rsidRPr="002E55E1">
        <w:t>10.</w:t>
      </w:r>
      <w:r w:rsidRPr="002E55E1">
        <w:tab/>
        <w:t xml:space="preserve">rozumie, że malejący odsetek zobowiązań o wyniku 0* na przestrzeni lat jest wynikiem lepszego gromadzenia i udostępniania danych oraz poprawy zdolności Komisji w zakresie sprawozdawczości, co umożliwia jej dyrekcjom generalnym lepsze mierzenie </w:t>
      </w:r>
      <w:r w:rsidRPr="002E55E1">
        <w:lastRenderedPageBreak/>
        <w:t>wkładu ich programów w zapewnianie równouprawnienia płci na bardziej szczegółowym poziomie;</w:t>
      </w:r>
    </w:p>
    <w:p w14:paraId="35B44A20" w14:textId="77777777" w:rsidR="00FE7D7A" w:rsidRPr="002E55E1" w:rsidRDefault="00FE7D7A" w:rsidP="00FE7D7A">
      <w:pPr>
        <w:pStyle w:val="NormalHanging12a"/>
      </w:pPr>
      <w:r w:rsidRPr="002E55E1">
        <w:t>11.</w:t>
      </w:r>
      <w:r w:rsidRPr="002E55E1">
        <w:tab/>
        <w:t>ponadto rozumie, że ze względu na ograniczoną dostępność danych i zdolność w zakresie sprawozdawczości w pierwszych latach budżetowych, do których zastosowano tę metodologię, porównanie danych liczbowych z różnych lat budżetowych w oparciu o wyniki roczne lub wyciąganie wniosków z takich porównań ma niewielką wartość dodaną;</w:t>
      </w:r>
    </w:p>
    <w:p w14:paraId="608C7AB9" w14:textId="77777777" w:rsidR="00FE7D7A" w:rsidRPr="002E55E1" w:rsidRDefault="00FE7D7A" w:rsidP="00FE7D7A">
      <w:pPr>
        <w:pStyle w:val="NormalHanging12a"/>
      </w:pPr>
      <w:r w:rsidRPr="002E55E1">
        <w:t>12.</w:t>
      </w:r>
      <w:r w:rsidRPr="002E55E1">
        <w:tab/>
        <w:t>zauważa, że zdaniem Komisji interwencje, którym przyznano 2 punkty lub 1 punkt, można uznać za promujące równouprawnienie płci oraz że biorąc to pod uwagę, w 2024 r. interwencje o wartości 37,99 mld EUR promowały równouprawnienie płci, podczas gdy kwota ta wyniosła 10,76 mld EUR w 2021 r., 37,83 mld EUR w 2022 r. i 47,99 mld EUR w 2023 r.;</w:t>
      </w:r>
    </w:p>
    <w:p w14:paraId="084D07E4" w14:textId="77777777" w:rsidR="00FE7D7A" w:rsidRPr="002E55E1" w:rsidRDefault="00FE7D7A" w:rsidP="00FE7D7A">
      <w:pPr>
        <w:pStyle w:val="NormalHanging12a"/>
      </w:pPr>
      <w:r w:rsidRPr="002E55E1">
        <w:t>13.</w:t>
      </w:r>
      <w:r w:rsidRPr="002E55E1">
        <w:tab/>
        <w:t>zauważa, że odnotowany w latach 2023–2024 spadek wartości bezwzględnej interwencji uznawanych za promujące równouprawnienie płci jest bezpośrednim skutkiem spadku całkowitej kwoty zobowiązań między tymi dwoma latami budżetowymi, co w dużej mierze wynika ze stopniowego wycofywania zobowiązań w ramach Instrumentu na rzecz Odbudowy i Zwiększania Odporności;</w:t>
      </w:r>
    </w:p>
    <w:p w14:paraId="0E3472E6" w14:textId="77777777" w:rsidR="00FE7D7A" w:rsidRPr="002E55E1" w:rsidRDefault="00FE7D7A" w:rsidP="00FE7D7A">
      <w:pPr>
        <w:pStyle w:val="NormalHanging12a"/>
      </w:pPr>
      <w:r w:rsidRPr="002E55E1">
        <w:t>14.</w:t>
      </w:r>
      <w:r w:rsidRPr="002E55E1">
        <w:tab/>
        <w:t>odnotowuje, że oprócz wyników przedstawionych za każdy rok budżetowy w sprawozdaniu rocznym z zarządzania i wykonania dotyczącym budżetu UE za 2024 r. Komisja opublikowała ponowną ocenę wszystkich poprzednich wyników w oparciu o bardziej aktualne i kompleksowe oceny swoich programów, co pokazało zagregowane tendencje wskazujące, że w przypadku interwencji w okresie 2021–2024 2 % interwencji otrzymało 2 punkty, 10 % interwencji – 1 punkt, 83 % interwencji – 0 punktów, natomiast 5 % interwencji uzyskało wynik 0*; zauważa ponadto, że zgodnie z ponowną oceną Komisji w latach budżetowych 2021–2024 do promowania równouprawnienia płci przyczyniło się łącznie 12 % wydatków z budżetu UE (o punktacji 1 i 2), co daje kwotę 158,4 mld EUR;</w:t>
      </w:r>
    </w:p>
    <w:p w14:paraId="0D289675" w14:textId="77777777" w:rsidR="00FE7D7A" w:rsidRPr="002E55E1" w:rsidRDefault="00FE7D7A" w:rsidP="00FE7D7A">
      <w:pPr>
        <w:pStyle w:val="NormalHanging12a"/>
      </w:pPr>
      <w:r w:rsidRPr="002E55E1">
        <w:t>15.</w:t>
      </w:r>
      <w:r w:rsidRPr="002E55E1">
        <w:tab/>
        <w:t>podkreśla, że nie wszystkie programy finansowane z budżetu UE osiągają takie same wyniki pod względem uwzględniania aspektu płci jako priorytetu horyzontalnego: niektóre programy osiągają znacznie lepsze wyniki dzięki temu, jak zostały opracowane, na przykład programy w dziale 6 „Sąsiedztwo i świat”, w których perspektywa płci została uznana za priorytet przekrojowy z jasnymi celami i kryteriami, oraz konkretne programy w ramach innych działów, takie jak „Horyzont Europa”, który dzięki wymogowi sporządzania budżetu z uwzględnieniem aspektu płci nie tylko wspiera równouprawnienie płci, ale również pozytywnie wpływa na praktyki państw członkowskich poprzez „zanieczyszczenie krzyżowe” na etapie wdrażania na szczeblu krajowym;</w:t>
      </w:r>
    </w:p>
    <w:p w14:paraId="6920C31E" w14:textId="77777777" w:rsidR="00FE7D7A" w:rsidRPr="002E55E1" w:rsidRDefault="00FE7D7A" w:rsidP="00FE7D7A">
      <w:pPr>
        <w:pStyle w:val="NormalHanging12a"/>
      </w:pPr>
      <w:r w:rsidRPr="002E55E1">
        <w:t>16.</w:t>
      </w:r>
      <w:r w:rsidRPr="002E55E1">
        <w:tab/>
        <w:t>ubolewa, że ponieważ zastosowana metodologia jest narzędziem monitorowania opracowanym specjalnie dla budżetów operacyjnych, nie umożliwia ona odpowiedniej oceny budżetów administracyjnych instytucji i organów UE;</w:t>
      </w:r>
    </w:p>
    <w:p w14:paraId="28EA5414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17.</w:t>
      </w:r>
      <w:r w:rsidRPr="002E55E1">
        <w:tab/>
        <w:t>zauważa, że zakres metodologii jest ograniczony, ponieważ nie uwzględnia ona odpowiednio wtórnych lub pośrednich skutków programów dla równouprawnienia płci, potencjalnego negatywnego wpływu ani wymiarów przekrojowych niezbędnych do kompleksowej oceny skutków polityki;</w:t>
      </w:r>
    </w:p>
    <w:p w14:paraId="40A8589C" w14:textId="0E3BE76E" w:rsidR="00FE7D7A" w:rsidRPr="002E55E1" w:rsidRDefault="00FE7D7A" w:rsidP="00FE7D7A">
      <w:pPr>
        <w:pStyle w:val="NormalHanging12a"/>
      </w:pPr>
      <w:r w:rsidRPr="002E55E1">
        <w:lastRenderedPageBreak/>
        <w:t>18.</w:t>
      </w:r>
      <w:r w:rsidRPr="002E55E1">
        <w:tab/>
      </w:r>
      <w:r w:rsidR="009A05BA" w:rsidRPr="009A05BA">
        <w:rPr>
          <w:bCs/>
          <w:iCs/>
        </w:rPr>
        <w:t>zauważa</w:t>
      </w:r>
      <w:r w:rsidR="009A05BA" w:rsidRPr="0034796D">
        <w:t xml:space="preserve"> </w:t>
      </w:r>
      <w:r w:rsidRPr="002E55E1">
        <w:t xml:space="preserve">ponadto, że nie uwzględnia się </w:t>
      </w:r>
      <w:r w:rsidR="009A05BA" w:rsidRPr="009A05BA">
        <w:rPr>
          <w:bCs/>
          <w:iCs/>
        </w:rPr>
        <w:t>wystarczająco</w:t>
      </w:r>
      <w:r w:rsidR="009A05BA" w:rsidRPr="0034796D">
        <w:t xml:space="preserve"> </w:t>
      </w:r>
      <w:r w:rsidRPr="002E55E1">
        <w:t xml:space="preserve">potencjalnego negatywnego wpływu programów na równouprawnienie płci, zwłaszcza </w:t>
      </w:r>
      <w:r w:rsidR="009A05BA" w:rsidRPr="009A05BA">
        <w:rPr>
          <w:bCs/>
          <w:iCs/>
        </w:rPr>
        <w:t>w sektorach takich jak konkurencyjność, obronność i gotowość; podkreśla, że promowanie równouprawnienia płci nie powinno prowadzić do ograniczeń ani redukcji inwestycji w sektorach krytycznych; wzywa Komisję do zaproponowania konkretnych środków mających na celu zwiększenie równouprawnienia płci, a jednocześnie do zadbaniu o to, aby nie miały one negatywnego wpływu na decyzje inwestycyjne</w:t>
      </w:r>
      <w:r w:rsidRPr="002E55E1">
        <w:t>;</w:t>
      </w:r>
    </w:p>
    <w:p w14:paraId="155C2E3E" w14:textId="77777777" w:rsidR="00FE7D7A" w:rsidRPr="002E55E1" w:rsidRDefault="00FE7D7A" w:rsidP="00FE7D7A">
      <w:pPr>
        <w:pStyle w:val="NormalHanging12a"/>
      </w:pPr>
      <w:r w:rsidRPr="002E55E1">
        <w:t>19.</w:t>
      </w:r>
      <w:r w:rsidRPr="002E55E1">
        <w:tab/>
        <w:t>ubolewa, że ze względu na jej charakter ex post metodologia ta nie może mieć strukturalnego wpływu na opracowywanie strategii politycznych na etapie ex ante ani na gromadzenie i przydzielanie zasobów finansowych, a są to elementy mające zasadnicze znaczenie dla właściwego uwzględniania równouprawnienia płci w programach UE;</w:t>
      </w:r>
    </w:p>
    <w:p w14:paraId="0C66C4A3" w14:textId="77777777" w:rsidR="00FE7D7A" w:rsidRPr="002E55E1" w:rsidRDefault="00FE7D7A" w:rsidP="00FE7D7A">
      <w:pPr>
        <w:pStyle w:val="Normal12a24b"/>
      </w:pPr>
      <w:r w:rsidRPr="002E55E1">
        <w:rPr>
          <w:rStyle w:val="BoldItalic"/>
        </w:rPr>
        <w:t>Szersze podejście do uwzględniania aspektu płci w programach finansowych UE</w:t>
      </w:r>
    </w:p>
    <w:p w14:paraId="5D9258F6" w14:textId="77777777" w:rsidR="00FE7D7A" w:rsidRPr="002E55E1" w:rsidRDefault="00FE7D7A" w:rsidP="00FE7D7A">
      <w:pPr>
        <w:pStyle w:val="NormalHanging12a"/>
      </w:pPr>
      <w:r w:rsidRPr="002E55E1">
        <w:t>20.</w:t>
      </w:r>
      <w:r w:rsidRPr="002E55E1">
        <w:tab/>
        <w:t>zauważa, że oprócz metodologii uwzględniania aspektu płci stosowanej w odniesieniu do budżetu UE w niektórych programach unijnych uwzględniono równouprawnienie płci w podstawach prawnych, podczas gdy w innych programach tego nie uwzględniono;</w:t>
      </w:r>
    </w:p>
    <w:p w14:paraId="526BB49A" w14:textId="77777777" w:rsidR="00FE7D7A" w:rsidRPr="002E55E1" w:rsidRDefault="00FE7D7A" w:rsidP="00FE7D7A">
      <w:pPr>
        <w:pStyle w:val="NormalHanging12a"/>
      </w:pPr>
      <w:r w:rsidRPr="002E55E1">
        <w:t>21.</w:t>
      </w:r>
      <w:r w:rsidRPr="002E55E1">
        <w:tab/>
        <w:t>zwraca uwagę, że choć dwupoziomowe podejście Komisji do uwzględniania aspektu płci, które obejmuje monitorowanie budżetu UE i wyznaczanie celów określonych w podstawach prawnych programów, stanowi użyteczne ramy, jest ono fragmentaryczne i nie wpływa na wszystkie programy w takim samym stopniu, co zmniejsza spójność podejścia UE do równouprawnienia płci;</w:t>
      </w:r>
    </w:p>
    <w:p w14:paraId="08FC4C9E" w14:textId="77777777" w:rsidR="00FE7D7A" w:rsidRPr="002E55E1" w:rsidRDefault="00FE7D7A" w:rsidP="00FE7D7A">
      <w:pPr>
        <w:pStyle w:val="Normal12a24b"/>
        <w:rPr>
          <w:rStyle w:val="BoldItalic"/>
        </w:rPr>
      </w:pPr>
      <w:r w:rsidRPr="002E55E1">
        <w:rPr>
          <w:rStyle w:val="BoldItalic"/>
        </w:rPr>
        <w:t>Uwagi końcowe</w:t>
      </w:r>
    </w:p>
    <w:p w14:paraId="5214069D" w14:textId="77777777" w:rsidR="00FE7D7A" w:rsidRPr="002E55E1" w:rsidRDefault="00FE7D7A" w:rsidP="00FE7D7A">
      <w:pPr>
        <w:pStyle w:val="NormalHanging12a"/>
      </w:pPr>
      <w:r w:rsidRPr="002E55E1">
        <w:t>22.</w:t>
      </w:r>
      <w:r w:rsidRPr="002E55E1">
        <w:tab/>
        <w:t>odnotowuje przeprowadzoną przez Komisję ocenę uwzględniania aspektu płci w budżecie UE</w:t>
      </w:r>
      <w:r w:rsidRPr="002E55E1">
        <w:rPr>
          <w:rStyle w:val="FootnoteReference"/>
        </w:rPr>
        <w:footnoteReference w:id="11"/>
      </w:r>
      <w:r w:rsidRPr="002E55E1">
        <w:t xml:space="preserve"> i podziela pogląd, że w pozostałych latach WRF 2021–2027 priorytetem powinna być dalsza ocena programów, aby lepiej ocenić ich wkład w równouprawnienie płci i wyciągnąć wnioski z ich wdrażania; należy wykorzystywać do tego usprawnione przekazywanie danych zdezagregowanych według płci wprowadzone w 2023 r.; podkreśla potrzebę ściślejszej współpracy ze wszystkimi państwami członkowskimi w celu zharmonizowania metodologii i uniknięcia fragmentarycznego podejścia, a także w celu usprawnienia gromadzenia danych, ich agregacji i zgłaszania;</w:t>
      </w:r>
    </w:p>
    <w:p w14:paraId="654E9E3C" w14:textId="77777777" w:rsidR="00FE7D7A" w:rsidRPr="002E55E1" w:rsidRDefault="00FE7D7A" w:rsidP="00FE7D7A">
      <w:pPr>
        <w:pStyle w:val="NormalHanging12a"/>
      </w:pPr>
      <w:r w:rsidRPr="002E55E1">
        <w:t>23.</w:t>
      </w:r>
      <w:r w:rsidRPr="002E55E1">
        <w:tab/>
        <w:t>przyznaje, że choć metodologia opracowana przez Komisję jest użytecznym narzędziem oceny wkładu budżetu UE w równouprawnienie płci, stoi ona w obliczu ograniczeń, które zmniejszają jej zdolność do wywierania efektu transformacyjnego; podkreśla, jak ważne jest zapewnienie dostępności danych i stosowanie w tym względzie skonkretyzowanych, mierzalnych, osiągalnych, realnych i terminowych (SMART) wskaźników skuteczności działania;</w:t>
      </w:r>
    </w:p>
    <w:p w14:paraId="14193E8A" w14:textId="77777777" w:rsidR="00FE7D7A" w:rsidRPr="002E55E1" w:rsidRDefault="00FE7D7A" w:rsidP="00FE7D7A">
      <w:pPr>
        <w:pStyle w:val="NormalHanging12a"/>
      </w:pPr>
      <w:r w:rsidRPr="002E55E1">
        <w:lastRenderedPageBreak/>
        <w:t>24.</w:t>
      </w:r>
      <w:r w:rsidRPr="002E55E1">
        <w:tab/>
        <w:t>podkreśla, że ponieważ na budżet UE wpływają liczne kryzysy i zmiany priorytetów politycznych, zasadnicze znaczenie ma proporcjonalne uznanie ex ante sporządzania budżetu z uwzględnieniem aspektu płci za główny element cyklu budżetowego programów, w tym w nowych obszarach priorytetowych, takich jak konkurencyjność, obrona i gotowość;</w:t>
      </w:r>
    </w:p>
    <w:p w14:paraId="2780E656" w14:textId="77777777" w:rsidR="00FE7D7A" w:rsidRPr="002E55E1" w:rsidRDefault="00FE7D7A" w:rsidP="00FE7D7A">
      <w:pPr>
        <w:pStyle w:val="NormalHanging12a"/>
      </w:pPr>
      <w:r w:rsidRPr="002E55E1">
        <w:t>25.</w:t>
      </w:r>
      <w:r w:rsidRPr="002E55E1">
        <w:tab/>
        <w:t>wzywa Komisję do opracowania pełnego i kompleksowego podejścia do sporządzania budżetu z uwzględnieniem aspektu płci oraz do przygotowania konkretnej i kompleksowej metodologii dla budżetu unijnego, która powinna zostać w pełni uruchomiona już na początku kolejnego okresu programowania i mieć potencjał transformacyjny wynikający z tego, że będzie wywierała wpływ na cały cykl budżetowy i umożliwi rozwiązanie problemów wskazanych w niniejszej rezolucji, aby zapewnić należyte zarządzanie środkami finansowymi UE;</w:t>
      </w:r>
    </w:p>
    <w:p w14:paraId="17113F8C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26.</w:t>
      </w:r>
      <w:r w:rsidRPr="002E55E1">
        <w:tab/>
        <w:t>podkreśla, że oprócz WRF w każdym instrumencie przyjętym na mocy art. 122 TFUE należy również w stosownych przypadkach stosować przepisy dotyczące uwzględniania aspektu płci i sporządzania budżetu z uwzględnieniem aspektu płci – ale nie należy zmieniać celów programu, kryteriów kwalifikowalności ani kryteriów wyboru określonych w przepisach sektorowych – w celu kompleksowego i spójnego śledzenia wkładu UE w promowanie równouprawnienia płci we wszystkich instrumentach finansowania;</w:t>
      </w:r>
    </w:p>
    <w:p w14:paraId="0BBF8A38" w14:textId="77777777" w:rsidR="00FE7D7A" w:rsidRPr="002E55E1" w:rsidRDefault="00FE7D7A" w:rsidP="00FE7D7A">
      <w:pPr>
        <w:pStyle w:val="NormalHanging12a"/>
      </w:pPr>
      <w:r w:rsidRPr="002E55E1">
        <w:t>27.</w:t>
      </w:r>
      <w:r w:rsidRPr="002E55E1">
        <w:tab/>
        <w:t>wzywa Komisję do przeprowadzania systematycznych ocen skutków ex ante, w ramach których analizuje się również konkretny wpływ strategii politycznych UE i środków polityki fiskalnej – w tym systemów podatkowych i programów pomocy państwa – na równouprawnienie płci, zgodnie z wytycznymi w sprawie lepszego stanowienia prawa, w celu zidentyfikowania i złagodzenia różnic w traktowaniu kobiet i mężczyzn; podkreśla, że należy również uważnie rozważyć społeczne i gospodarcze skutki poprawy równouprawnienia płci, przy jednoczesnym uwzględnieniu kosztów administracyjnych dla małych i średnich przedsiębiorstw;</w:t>
      </w:r>
    </w:p>
    <w:p w14:paraId="4E264E33" w14:textId="672F0661" w:rsidR="00FE7D7A" w:rsidRPr="002E55E1" w:rsidRDefault="00FE7D7A" w:rsidP="00FE7D7A">
      <w:pPr>
        <w:pStyle w:val="NormalHanging12a"/>
      </w:pPr>
      <w:r w:rsidRPr="002E55E1">
        <w:t>28.</w:t>
      </w:r>
      <w:r w:rsidRPr="002E55E1">
        <w:tab/>
      </w:r>
      <w:r w:rsidR="009A05BA" w:rsidRPr="009A05BA">
        <w:rPr>
          <w:bCs/>
          <w:iCs/>
        </w:rPr>
        <w:t>przypomina, że wszystkie wnioski ustawodawcze UE muszą być zgodne z prawem pierwotnym UE, w tym z zasadą równouprawnienia płci; wzywa Komisję do wzmocnienia ocen skutków ex ante, aby dokładnie analizować i minimalizować wszelkie potencjalne negatywne skutki dla równouprawnienia płci w UE podczas przygotowywania wniosków ustawodawczych</w:t>
      </w:r>
      <w:r w:rsidRPr="002E55E1">
        <w:t>;</w:t>
      </w:r>
    </w:p>
    <w:p w14:paraId="2E92DBC9" w14:textId="3F0DA463" w:rsidR="00FE7D7A" w:rsidRPr="002E55E1" w:rsidRDefault="00FE7D7A" w:rsidP="00FE7D7A">
      <w:pPr>
        <w:pStyle w:val="NormalHanging12a"/>
      </w:pPr>
      <w:r w:rsidRPr="002E55E1">
        <w:t>29.</w:t>
      </w:r>
      <w:r w:rsidRPr="002E55E1">
        <w:tab/>
        <w:t>apeluje, aby Komisja ustanowiła „mechanizm chroniący równouprawnienie płci”, który byłby standardową częścią procedur ustawodawczych UE i wymagałby zmiany każdego wniosku, co do którego – na podstawie analizy Trybunału Obrachunkowego – wykazano, że podważa strategię i cele UE w zakresie równouprawnienia płci;</w:t>
      </w:r>
    </w:p>
    <w:p w14:paraId="53067F04" w14:textId="77777777" w:rsidR="00FE7D7A" w:rsidRPr="002E55E1" w:rsidRDefault="00FE7D7A" w:rsidP="00FE7D7A">
      <w:pPr>
        <w:pStyle w:val="NormalHanging12a"/>
      </w:pPr>
      <w:r w:rsidRPr="002E55E1">
        <w:t>30.</w:t>
      </w:r>
      <w:r w:rsidRPr="002E55E1">
        <w:tab/>
        <w:t>ubolewa nad brakiem równowagi w reprezentacji płci wśród urzędników i przedstawicieli politycznych zarówno na szczeblu UE, jak i państw członkowskich, co z kolei narusza zasadę równości płci w reprezentacji;</w:t>
      </w:r>
    </w:p>
    <w:p w14:paraId="3B43A3DB" w14:textId="09684AED" w:rsidR="00FE7D7A" w:rsidRPr="002E55E1" w:rsidRDefault="00FE7D7A" w:rsidP="00FE7D7A">
      <w:pPr>
        <w:pStyle w:val="NormalHanging12a"/>
      </w:pPr>
      <w:r w:rsidRPr="002E55E1">
        <w:t>31.</w:t>
      </w:r>
      <w:r w:rsidRPr="002E55E1">
        <w:tab/>
        <w:t>wzywa Komisję, by oceniła wykonalność wprowadzenia dalszych środków na rzecz równouprawnienia płci na szczeblu kierowniczym z myślą o dopilnowaniu, by wszystkie płcie były w wystarczającym stopniu zaangażowane w kształtowanie polityki dzięki ukierunkowanym systemom wsparcia;</w:t>
      </w:r>
    </w:p>
    <w:p w14:paraId="2CF1D583" w14:textId="010F1B3A" w:rsidR="00FE7D7A" w:rsidRPr="002E55E1" w:rsidRDefault="00FE7D7A" w:rsidP="00FE7D7A">
      <w:pPr>
        <w:pStyle w:val="NormalHanging12a"/>
      </w:pPr>
      <w:r w:rsidRPr="002E55E1">
        <w:lastRenderedPageBreak/>
        <w:t>32.</w:t>
      </w:r>
      <w:r w:rsidRPr="002E55E1">
        <w:tab/>
        <w:t>wzywa Komisję do dopilnowania, aby minimalna część budżetu UE była przeznaczona na równouprawnienie płci będące głównym celem (odpowiada to punktacji 2 w obecnej metodologii);</w:t>
      </w:r>
    </w:p>
    <w:p w14:paraId="5498CAF8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33.</w:t>
      </w:r>
      <w:r w:rsidRPr="002E55E1">
        <w:tab/>
        <w:t>zachęca Komisję, aby rozważyła możliwość ustanowienia w kolejnym okresie programowania celu ilościowego w odniesieniu do części budżetu UE, która przyczynia się do promowania równouprawnienia płci (co odpowiada punktacji 2 lub 1 w obecnej metodologii), i odnotowuje, że podobne cele okazały się przydatne w realizowaniu celów UE w zakresie klimatu i różnorodności biologicznej;</w:t>
      </w:r>
    </w:p>
    <w:p w14:paraId="04AF77C5" w14:textId="77777777" w:rsidR="00FE7D7A" w:rsidRPr="002E55E1" w:rsidRDefault="00FE7D7A" w:rsidP="00FE7D7A">
      <w:pPr>
        <w:pStyle w:val="NormalHanging12a"/>
      </w:pPr>
      <w:r w:rsidRPr="002E55E1">
        <w:t>34.</w:t>
      </w:r>
      <w:r w:rsidRPr="002E55E1">
        <w:tab/>
        <w:t>wzywa Komisję i Radę, by podczas negocjacji w sprawie kolejnej generacji programów przestrzegały przepisów określonych w zmienionym rozporządzeniu finansowym, zgodnie z którymi programy i działania powinny być wdrażane, o ile jest to wykonalne i właściwe, zgodnie z odpowiednimi przepisami sektorowymi, z uwzględnieniem zasady równouprawnienia płci i zgodnie z odpowiednią metodologią uwzględniania aspektu płci;</w:t>
      </w:r>
    </w:p>
    <w:p w14:paraId="5A9274B7" w14:textId="77777777" w:rsidR="00FE7D7A" w:rsidRPr="002E55E1" w:rsidRDefault="00FE7D7A" w:rsidP="00FE7D7A">
      <w:pPr>
        <w:pStyle w:val="NormalHanging12a"/>
      </w:pPr>
      <w:r w:rsidRPr="002E55E1">
        <w:t>35.</w:t>
      </w:r>
      <w:r w:rsidRPr="002E55E1">
        <w:tab/>
        <w:t>uważa za kluczowe dopilnowanie – zgodnie ze zmienionym rozporządzeniem finansowym – by kolejna generacja programów zawierała cele umożliwiające, w stosownych przypadkach, gromadzenie danych zdezagregowanych według płci oraz agregację takich danych we wszystkich odnośnych programach; apeluje do Komisji, by dalej rozwijała i doskonaliła swoją metodologię monitorowania wkładu budżetu UE w równouprawnienie płci, w tym za pośrednictwem systematycznego stosowania narzędzi cyfrowych, takich jak sztuczna inteligencja, aby poprawić gromadzenie danych, ich agregację i analizę międzyprogramową;</w:t>
      </w:r>
    </w:p>
    <w:p w14:paraId="3F947A81" w14:textId="77777777" w:rsidR="00FE7D7A" w:rsidRPr="002E55E1" w:rsidRDefault="00FE7D7A" w:rsidP="00FE7D7A">
      <w:pPr>
        <w:pStyle w:val="NormalHanging12a"/>
      </w:pPr>
      <w:r w:rsidRPr="002E55E1">
        <w:t>36.</w:t>
      </w:r>
      <w:r w:rsidRPr="002E55E1">
        <w:tab/>
        <w:t>wzywa wszystkie właściwe podmioty, w tym Radę, Komisję, organizacje społeczeństwa obywatelskiego i innych właściwych partnerów, by dążyły do urzeczywistnienia zasady sporządzania budżetu z uwzględnieniem aspektu płci w następnym okresie programowania;</w:t>
      </w:r>
    </w:p>
    <w:p w14:paraId="3E2C8187" w14:textId="77777777" w:rsidR="00FE7D7A" w:rsidRPr="002E55E1" w:rsidRDefault="00FE7D7A" w:rsidP="00FE7D7A">
      <w:pPr>
        <w:pStyle w:val="NormalHanging12a"/>
      </w:pPr>
      <w:r w:rsidRPr="002E55E1">
        <w:t>37.</w:t>
      </w:r>
      <w:r w:rsidRPr="002E55E1">
        <w:tab/>
        <w:t>wzywa Komisję do przeznaczenia większej części budżetu działań zewnętrznych UE na interwencje, które przyczyniają się do równouprawnienia płci i wzmocnienia pozycji kobiet, a także do przeznaczenia 25 % unijnych instrumentów finansowania zewnętrznego w przyszłych WRF na promowanie równouprawnienia płci jako głównego celu; ponadto zwraca się do Komisji o ustanowienie specjalnego funduszu na rzecz promowania równouprawnienia płci na całym świecie i o dopilnowanie, by wspierane przez niego działania koncentrowały się na dostępie do zdrowia seksualnego i reprodukcyjnego oraz praw z nim związanych, zwiększeniu udziału kobiet w podejmowaniu decyzji, wspieraniu lokalnych organizacji pozarządowych kierowanych przez kobiety oraz wspieraniu lokalnych obrończyń praw człowieka;</w:t>
      </w:r>
    </w:p>
    <w:p w14:paraId="4C71E9A4" w14:textId="77777777" w:rsidR="00FE7D7A" w:rsidRPr="002E55E1" w:rsidRDefault="00FE7D7A" w:rsidP="00FE7D7A">
      <w:pPr>
        <w:pStyle w:val="NormalHanging12a"/>
      </w:pPr>
      <w:r w:rsidRPr="002E55E1">
        <w:t>38.</w:t>
      </w:r>
      <w:r w:rsidRPr="002E55E1">
        <w:tab/>
        <w:t>wzywa Komisję do wyznaczenia jasnych celów na kolejne WRF, aby przyczynić się do zmniejszenia luki płacowej i emerytalnej między kobietami a mężczyznami oraz rozwiązać problem ubóstwa kobiet, w tym poprzez poprawę usług opieki nad dziećmi;</w:t>
      </w:r>
    </w:p>
    <w:p w14:paraId="491D0B00" w14:textId="77777777" w:rsidR="00FE7D7A" w:rsidRPr="002E55E1" w:rsidRDefault="00FE7D7A" w:rsidP="00FE7D7A">
      <w:pPr>
        <w:pStyle w:val="NormalHanging12a"/>
        <w:rPr>
          <w:bCs/>
          <w:iCs/>
        </w:rPr>
      </w:pPr>
      <w:r w:rsidRPr="002E55E1">
        <w:t>39.</w:t>
      </w:r>
      <w:r w:rsidRPr="002E55E1">
        <w:tab/>
        <w:t>wzywa Komisję do dopilnowania, aby finansowane przez UE programy chroniły i promowały prawa kobiet, ze szczególnym uwzględnieniem dostępu do publicznej opieki zdrowotnej, opieki nad dziećmi oraz zdrowia seksualnego i reprodukcyjnego i praw w tym zakresie;</w:t>
      </w:r>
    </w:p>
    <w:p w14:paraId="7A3BD158" w14:textId="77777777" w:rsidR="00FE7D7A" w:rsidRPr="002E55E1" w:rsidRDefault="00FE7D7A" w:rsidP="00FE7D7A">
      <w:pPr>
        <w:pStyle w:val="NormalHanging12a"/>
      </w:pPr>
      <w:r w:rsidRPr="002E55E1">
        <w:lastRenderedPageBreak/>
        <w:t>40.</w:t>
      </w:r>
      <w:r w:rsidRPr="002E55E1">
        <w:tab/>
        <w:t>wzywa instytucje UE, aby zgodnie z zasadami dyrektywy w sprawie przejrzystości wynagrodzeń</w:t>
      </w:r>
      <w:r w:rsidRPr="002E55E1">
        <w:rPr>
          <w:rStyle w:val="FootnoteReference"/>
        </w:rPr>
        <w:footnoteReference w:id="12"/>
      </w:r>
      <w:r w:rsidRPr="002E55E1">
        <w:t xml:space="preserve"> przeanalizowały ewentualne różnice płacowe między kobietami a mężczyznami i przedstawiły sprawozdania na ten temat, a w razie potrzeby podjęły odpowiednie środki; ponawia swój apel do instytucji, organów, urzędów i agencji UE o poprawę równowagi płci, zwłaszcza wśród kadry kierowniczej wyższego szczebla; zachęca instytucje, organy, urzędy i agencje UE do przeprowadzenia analizy w celu określenia obszarów w ramach cyklu kadrowego (od rekrutacji po dostęp do awansów), w których takie usprawnienia są najbardziej potrzebne, oraz do zbadania możliwości wdrożenia dalszych środków w celu jak najszybszego osiągnięcia równowagi płci;</w:t>
      </w:r>
    </w:p>
    <w:p w14:paraId="6DC078D4" w14:textId="62B0A973" w:rsidR="00083934" w:rsidRDefault="00FE7D7A" w:rsidP="00083934">
      <w:pPr>
        <w:pStyle w:val="NormalHanging12a"/>
        <w:rPr>
          <w:b/>
          <w:i/>
        </w:rPr>
      </w:pPr>
      <w:r w:rsidRPr="002E55E1">
        <w:t>41.</w:t>
      </w:r>
      <w:r w:rsidRPr="002E55E1">
        <w:tab/>
        <w:t>dostrzega utrzymujące się różnice w traktowaniu kobiet i mężczyzn w kilku sektorach, które są tradycyjnie zdominowane przez jedną płeć; wzywa Komisję do sporządzania budżetu z uwzględnieniem aspektu płci, aby zapewnić i monitorować niedyskryminacyjne warunki dostępu do niezbędnych umiejętności i programów edukacyjnych dla wszystkich płci, a także do poprawienia równouprawnienia płci w tych konkretnych sektorach z myślą o wzmocnieniu konkurencyjności przemysłu; apeluje o zwrócenie szczególnej uwagi na przedsiębiorczynie, zwłaszcza w małych i średnich przedsiębiorstwach i przedsiębiorstwach typu start-up, w tym poprzez specjalne monitorowanie w ramach programów takich jak InvestEU i „Horyzont Europa”; apeluje o solidniejsze mechanizmy monitorowania i sprawozdawczości, dzięki którym fundusze będą rzeczywiście przynosiły korzyści kobietom i grupom zmarginalizowanym;</w:t>
      </w:r>
      <w:r w:rsidRPr="002E55E1">
        <w:rPr>
          <w:b/>
          <w:i/>
        </w:rPr>
        <w:t xml:space="preserve"> </w:t>
      </w:r>
    </w:p>
    <w:p w14:paraId="68C0A7F5" w14:textId="41F84044" w:rsidR="00083934" w:rsidRDefault="00083934" w:rsidP="00083934">
      <w:pPr>
        <w:pStyle w:val="NormalHanging12a"/>
        <w:ind w:left="0" w:firstLine="0"/>
        <w:jc w:val="center"/>
        <w:rPr>
          <w:b/>
          <w:i/>
        </w:rPr>
      </w:pPr>
      <w:r>
        <w:rPr>
          <w:b/>
          <w:i/>
        </w:rPr>
        <w:t>°</w:t>
      </w:r>
    </w:p>
    <w:p w14:paraId="2E4C6905" w14:textId="4465A2C8" w:rsidR="00083934" w:rsidRDefault="00083934" w:rsidP="00083934">
      <w:pPr>
        <w:pStyle w:val="NormalHanging12a"/>
        <w:ind w:left="0" w:firstLine="0"/>
        <w:jc w:val="center"/>
        <w:rPr>
          <w:b/>
          <w:i/>
        </w:rPr>
      </w:pPr>
      <w:r>
        <w:rPr>
          <w:b/>
          <w:i/>
        </w:rPr>
        <w:t>°     °</w:t>
      </w:r>
    </w:p>
    <w:p w14:paraId="65D02BC4" w14:textId="3B7695A8" w:rsidR="002E55E1" w:rsidRPr="002E55E1" w:rsidRDefault="00FE7D7A" w:rsidP="002E55E1">
      <w:pPr>
        <w:pStyle w:val="NormalHanging12a"/>
      </w:pPr>
      <w:r w:rsidRPr="002E55E1">
        <w:t>42.</w:t>
      </w:r>
      <w:r w:rsidRPr="002E55E1">
        <w:tab/>
        <w:t>zobowiązuje swoją przewodniczącą do przekazania niniejszej rezolucji Radzie i Komisji.</w:t>
      </w:r>
    </w:p>
    <w:p w14:paraId="0708F29A" w14:textId="327EFADE" w:rsidR="00E365E1" w:rsidRPr="002E55E1" w:rsidRDefault="00E365E1" w:rsidP="006A215C"/>
    <w:sectPr w:rsidR="00E365E1" w:rsidRPr="002E55E1" w:rsidSect="002E55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124E7" w14:textId="77777777" w:rsidR="006A215C" w:rsidRPr="002E55E1" w:rsidRDefault="006A215C">
      <w:r w:rsidRPr="002E55E1">
        <w:separator/>
      </w:r>
    </w:p>
  </w:endnote>
  <w:endnote w:type="continuationSeparator" w:id="0">
    <w:p w14:paraId="2B706A73" w14:textId="77777777" w:rsidR="006A215C" w:rsidRPr="002E55E1" w:rsidRDefault="006A215C">
      <w:r w:rsidRPr="002E55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386A2" w14:textId="77777777" w:rsidR="00064002" w:rsidRPr="002E55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13115" w14:textId="77777777" w:rsidR="00064002" w:rsidRPr="002E55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D051E" w14:textId="77777777" w:rsidR="00064002" w:rsidRPr="002E55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5E394" w14:textId="77777777" w:rsidR="006A215C" w:rsidRPr="002E55E1" w:rsidRDefault="006A215C">
      <w:r w:rsidRPr="002E55E1">
        <w:separator/>
      </w:r>
    </w:p>
  </w:footnote>
  <w:footnote w:type="continuationSeparator" w:id="0">
    <w:p w14:paraId="253D811D" w14:textId="77777777" w:rsidR="006A215C" w:rsidRPr="002E55E1" w:rsidRDefault="006A215C">
      <w:r w:rsidRPr="002E55E1">
        <w:continuationSeparator/>
      </w:r>
    </w:p>
  </w:footnote>
  <w:footnote w:id="1">
    <w:p w14:paraId="73878A1B" w14:textId="483C1A16" w:rsidR="00FE7D7A" w:rsidRPr="009A05BA" w:rsidRDefault="00FE7D7A" w:rsidP="002E55E1">
      <w:pPr>
        <w:pStyle w:val="FootnoteText"/>
        <w:ind w:left="567" w:hanging="567"/>
        <w:rPr>
          <w:color w:val="0000FF"/>
          <w:sz w:val="24"/>
          <w:u w:val="single" w:color="0000FF"/>
          <w:lang w:val="fi-FI"/>
        </w:rPr>
      </w:pPr>
      <w:r w:rsidRPr="002E55E1">
        <w:rPr>
          <w:rStyle w:val="FootnoteReference"/>
          <w:color w:val="000000" w:themeColor="text1"/>
          <w:sz w:val="24"/>
          <w:lang w:val="pl-PL"/>
        </w:rPr>
        <w:footnoteRef/>
      </w:r>
      <w:r w:rsidR="002E55E1" w:rsidRPr="009A05BA">
        <w:rPr>
          <w:sz w:val="24"/>
          <w:lang w:val="fi-FI"/>
        </w:rPr>
        <w:t xml:space="preserve"> </w:t>
      </w:r>
      <w:r w:rsidR="002E55E1" w:rsidRPr="009A05BA">
        <w:rPr>
          <w:sz w:val="24"/>
          <w:lang w:val="fi-FI"/>
        </w:rPr>
        <w:tab/>
      </w:r>
      <w:r w:rsidRPr="009A05BA">
        <w:rPr>
          <w:sz w:val="24"/>
          <w:lang w:val="fi-FI"/>
        </w:rPr>
        <w:t>Dz.U. L, 2024/765, 29.2.2024, ELI:</w:t>
      </w:r>
      <w:r w:rsidRPr="009A05BA">
        <w:rPr>
          <w:color w:val="0000FF"/>
          <w:sz w:val="24"/>
          <w:u w:val="single" w:color="0000FF"/>
          <w:lang w:val="fi-FI"/>
        </w:rPr>
        <w:t xml:space="preserve"> </w:t>
      </w:r>
      <w:bookmarkStart w:id="6" w:name="_Hlk213075500"/>
      <w:r w:rsidRPr="009A05BA">
        <w:rPr>
          <w:color w:val="0000FF"/>
          <w:sz w:val="24"/>
          <w:u w:val="single" w:color="0000FF"/>
          <w:lang w:val="fi-FI"/>
        </w:rPr>
        <w:t>https://data.europa.eu/eli/reg/2024/765/oj.</w:t>
      </w:r>
    </w:p>
    <w:bookmarkEnd w:id="6"/>
  </w:footnote>
  <w:footnote w:id="2">
    <w:p w14:paraId="31CA15E3" w14:textId="310613D3" w:rsidR="00FE7D7A" w:rsidRPr="002E55E1" w:rsidRDefault="00FE7D7A" w:rsidP="002E55E1">
      <w:pPr>
        <w:pStyle w:val="FootnoteText"/>
        <w:ind w:left="567" w:hanging="567"/>
        <w:rPr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>Dz.U. L 325 z 20.12.2022, s. 11, ELI:</w:t>
      </w:r>
      <w:hyperlink r:id="rId1" w:history="1">
        <w:r w:rsidRPr="002E55E1">
          <w:rPr>
            <w:rStyle w:val="Hyperlink"/>
            <w:sz w:val="24"/>
            <w:lang w:val="pl-PL"/>
          </w:rPr>
          <w:t>https://data.europa.eu/eli/reg/2022/2496/oj</w:t>
        </w:r>
      </w:hyperlink>
      <w:r w:rsidRPr="002E55E1">
        <w:rPr>
          <w:color w:val="000000" w:themeColor="text1"/>
          <w:sz w:val="24"/>
          <w:lang w:val="pl-PL"/>
        </w:rPr>
        <w:t>.</w:t>
      </w:r>
    </w:p>
  </w:footnote>
  <w:footnote w:id="3">
    <w:p w14:paraId="30B6647B" w14:textId="1DB7175F" w:rsidR="00FE7D7A" w:rsidRPr="002E55E1" w:rsidRDefault="00FE7D7A" w:rsidP="002E55E1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>Dz.U. L 433</w:t>
      </w:r>
      <w:r w:rsidR="007412C3">
        <w:rPr>
          <w:sz w:val="24"/>
          <w:lang w:val="pl-PL"/>
        </w:rPr>
        <w:t xml:space="preserve"> </w:t>
      </w:r>
      <w:r w:rsidRPr="002E55E1">
        <w:rPr>
          <w:sz w:val="24"/>
          <w:lang w:val="pl-PL"/>
        </w:rPr>
        <w:t xml:space="preserve">I z 22.12.2020, s. 11, ELI: </w:t>
      </w:r>
      <w:hyperlink r:id="rId2" w:history="1">
        <w:r w:rsidRPr="002E55E1">
          <w:rPr>
            <w:rStyle w:val="Hyperlink"/>
            <w:sz w:val="24"/>
            <w:lang w:val="pl-PL"/>
          </w:rPr>
          <w:t>https://data.europa.eu/eli/reg/2020/2093/oj</w:t>
        </w:r>
      </w:hyperlink>
      <w:r w:rsidRPr="002E55E1">
        <w:rPr>
          <w:sz w:val="24"/>
          <w:lang w:val="pl-PL"/>
        </w:rPr>
        <w:t>.</w:t>
      </w:r>
    </w:p>
  </w:footnote>
  <w:footnote w:id="4">
    <w:p w14:paraId="6039934E" w14:textId="0F126542" w:rsidR="00FE7D7A" w:rsidRPr="009A05BA" w:rsidRDefault="00FE7D7A" w:rsidP="002E55E1">
      <w:pPr>
        <w:pStyle w:val="FootnoteText"/>
        <w:ind w:left="567" w:hanging="567"/>
        <w:rPr>
          <w:sz w:val="24"/>
          <w:lang w:val="fi-FI"/>
        </w:rPr>
      </w:pPr>
      <w:r w:rsidRPr="002E55E1">
        <w:rPr>
          <w:rStyle w:val="FootnoteReference"/>
          <w:color w:val="000000" w:themeColor="text1"/>
          <w:sz w:val="24"/>
          <w:lang w:val="pl-PL"/>
        </w:rPr>
        <w:footnoteRef/>
      </w:r>
      <w:r w:rsidR="002E55E1" w:rsidRPr="009A05BA">
        <w:rPr>
          <w:sz w:val="24"/>
          <w:lang w:val="fi-FI"/>
        </w:rPr>
        <w:t xml:space="preserve"> </w:t>
      </w:r>
      <w:r w:rsidR="002E55E1" w:rsidRPr="009A05BA">
        <w:rPr>
          <w:sz w:val="24"/>
          <w:lang w:val="fi-FI"/>
        </w:rPr>
        <w:tab/>
      </w:r>
      <w:r w:rsidRPr="009A05BA">
        <w:rPr>
          <w:sz w:val="24"/>
          <w:lang w:val="fi-FI"/>
        </w:rPr>
        <w:t>Dz.U. C, C/2024/1195, 23.2.2024, ELI:</w:t>
      </w:r>
      <w:r w:rsidRPr="009A05BA">
        <w:rPr>
          <w:color w:val="000000" w:themeColor="text1"/>
          <w:sz w:val="24"/>
          <w:u w:val="single" w:color="0000FF"/>
          <w:lang w:val="fi-FI"/>
        </w:rPr>
        <w:t xml:space="preserve"> </w:t>
      </w:r>
      <w:hyperlink r:id="rId3" w:history="1">
        <w:r w:rsidRPr="009A05BA">
          <w:rPr>
            <w:rStyle w:val="Hyperlink"/>
            <w:sz w:val="24"/>
            <w:lang w:val="fi-FI"/>
          </w:rPr>
          <w:t>http://data.europa.eu/eli/C/2024/1195/oj</w:t>
        </w:r>
      </w:hyperlink>
      <w:r w:rsidRPr="009A05BA">
        <w:rPr>
          <w:color w:val="000000" w:themeColor="text1"/>
          <w:sz w:val="24"/>
          <w:lang w:val="fi-FI"/>
        </w:rPr>
        <w:t>.</w:t>
      </w:r>
    </w:p>
  </w:footnote>
  <w:footnote w:id="5">
    <w:p w14:paraId="1BD50243" w14:textId="1DF0A273" w:rsidR="00FE7D7A" w:rsidRPr="002E55E1" w:rsidRDefault="00FE7D7A" w:rsidP="002E55E1">
      <w:pPr>
        <w:pStyle w:val="FootnoteText"/>
        <w:ind w:left="567" w:hanging="567"/>
        <w:rPr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 xml:space="preserve">Dz.U. </w:t>
      </w:r>
      <w:r w:rsidR="00161608">
        <w:rPr>
          <w:sz w:val="24"/>
          <w:lang w:val="pl-PL"/>
        </w:rPr>
        <w:t xml:space="preserve">L </w:t>
      </w:r>
      <w:r w:rsidRPr="002E55E1">
        <w:rPr>
          <w:sz w:val="24"/>
          <w:lang w:val="pl-PL"/>
        </w:rPr>
        <w:t>433</w:t>
      </w:r>
      <w:r w:rsidR="007412C3">
        <w:rPr>
          <w:sz w:val="24"/>
          <w:lang w:val="pl-PL"/>
        </w:rPr>
        <w:t xml:space="preserve"> </w:t>
      </w:r>
      <w:r w:rsidRPr="002E55E1">
        <w:rPr>
          <w:sz w:val="24"/>
          <w:lang w:val="pl-PL"/>
        </w:rPr>
        <w:t xml:space="preserve">I z 22.12.2020, s. 28, ELI: </w:t>
      </w:r>
      <w:hyperlink r:id="rId4" w:history="1">
        <w:r w:rsidRPr="002E55E1">
          <w:rPr>
            <w:rStyle w:val="Hyperlink"/>
            <w:sz w:val="24"/>
            <w:lang w:val="pl-PL"/>
          </w:rPr>
          <w:t>https://data.europa.eu/eli/agree_interinstit/2020/1222/oj</w:t>
        </w:r>
      </w:hyperlink>
      <w:r w:rsidRPr="002E55E1">
        <w:rPr>
          <w:sz w:val="24"/>
          <w:lang w:val="pl-PL"/>
        </w:rPr>
        <w:t>.</w:t>
      </w:r>
    </w:p>
  </w:footnote>
  <w:footnote w:id="6">
    <w:p w14:paraId="55C47F88" w14:textId="5C70D0EB" w:rsidR="00FE7D7A" w:rsidRPr="002E55E1" w:rsidRDefault="00FE7D7A" w:rsidP="002E55E1">
      <w:pPr>
        <w:pStyle w:val="FootnoteText"/>
        <w:ind w:left="567" w:hanging="567"/>
        <w:rPr>
          <w:color w:val="000000" w:themeColor="text1"/>
          <w:sz w:val="24"/>
          <w:u w:val="single" w:color="0000FF"/>
          <w:lang w:val="pl-PL"/>
        </w:rPr>
      </w:pPr>
      <w:r w:rsidRPr="002E55E1">
        <w:rPr>
          <w:rStyle w:val="FootnoteReference"/>
          <w:color w:val="000000" w:themeColor="text1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>Dz.U. L, 2024/2509</w:t>
      </w:r>
      <w:r w:rsidR="007412C3">
        <w:rPr>
          <w:sz w:val="24"/>
          <w:lang w:val="pl-PL"/>
        </w:rPr>
        <w:t>,</w:t>
      </w:r>
      <w:r w:rsidRPr="002E55E1">
        <w:rPr>
          <w:sz w:val="24"/>
          <w:lang w:val="pl-PL"/>
        </w:rPr>
        <w:t xml:space="preserve"> 26.9.2024, ELI:</w:t>
      </w:r>
      <w:r w:rsidRPr="002E55E1">
        <w:rPr>
          <w:color w:val="000000" w:themeColor="text1"/>
          <w:sz w:val="24"/>
          <w:u w:val="single" w:color="0000FF"/>
          <w:lang w:val="pl-PL"/>
        </w:rPr>
        <w:t xml:space="preserve"> </w:t>
      </w:r>
      <w:hyperlink r:id="rId5" w:history="1">
        <w:r w:rsidRPr="002E55E1">
          <w:rPr>
            <w:rStyle w:val="Hyperlink"/>
            <w:sz w:val="24"/>
            <w:lang w:val="pl-PL"/>
          </w:rPr>
          <w:t>https://data.europa.eu/eli/reg/2024/2509/oj</w:t>
        </w:r>
      </w:hyperlink>
      <w:r w:rsidRPr="002E55E1">
        <w:rPr>
          <w:color w:val="000000" w:themeColor="text1"/>
          <w:sz w:val="24"/>
          <w:lang w:val="pl-PL"/>
        </w:rPr>
        <w:t>.</w:t>
      </w:r>
    </w:p>
  </w:footnote>
  <w:footnote w:id="7">
    <w:p w14:paraId="6E5D7146" w14:textId="52D75B81" w:rsidR="00FE7D7A" w:rsidRPr="002E55E1" w:rsidRDefault="00FE7D7A" w:rsidP="002E55E1">
      <w:pPr>
        <w:pStyle w:val="FootnoteText"/>
        <w:ind w:left="567" w:hanging="567"/>
        <w:rPr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>Dz.U. C 456 z 10.11.2021, s. 208.</w:t>
      </w:r>
    </w:p>
  </w:footnote>
  <w:footnote w:id="8">
    <w:p w14:paraId="11CF87B7" w14:textId="2DA9A03B" w:rsidR="00FE7D7A" w:rsidRPr="002E55E1" w:rsidRDefault="00FE7D7A" w:rsidP="002E55E1">
      <w:pPr>
        <w:pStyle w:val="FootnoteText"/>
        <w:ind w:left="567" w:hanging="567"/>
        <w:rPr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>Dz.U. C 347 z 9.9.2022, s. 139.</w:t>
      </w:r>
    </w:p>
  </w:footnote>
  <w:footnote w:id="9">
    <w:p w14:paraId="61961F91" w14:textId="1E4E2A76" w:rsidR="00FE7D7A" w:rsidRPr="002E55E1" w:rsidRDefault="00FE7D7A" w:rsidP="002E55E1">
      <w:pPr>
        <w:pStyle w:val="FootnoteText"/>
        <w:ind w:left="567" w:hanging="567"/>
        <w:rPr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bookmarkStart w:id="7" w:name="_Hlk213073209"/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 xml:space="preserve">Dz.U. C, C/2025/4382, 9.9.2025, </w:t>
      </w:r>
      <w:bookmarkEnd w:id="7"/>
      <w:r w:rsidRPr="002E55E1">
        <w:rPr>
          <w:sz w:val="24"/>
          <w:lang w:val="pl-PL"/>
        </w:rPr>
        <w:t>ELI: </w:t>
      </w:r>
      <w:hyperlink r:id="rId6" w:history="1">
        <w:r w:rsidRPr="002E55E1">
          <w:rPr>
            <w:rStyle w:val="Hyperlink"/>
            <w:sz w:val="24"/>
            <w:lang w:val="pl-PL"/>
          </w:rPr>
          <w:t>http://data.europa.eu/eli/C/2025/4382/oj</w:t>
        </w:r>
      </w:hyperlink>
      <w:r w:rsidRPr="002E55E1">
        <w:rPr>
          <w:sz w:val="24"/>
          <w:lang w:val="pl-PL"/>
        </w:rPr>
        <w:t>.</w:t>
      </w:r>
    </w:p>
  </w:footnote>
  <w:footnote w:id="10">
    <w:p w14:paraId="5745DE55" w14:textId="4D8F3B76" w:rsidR="00FE7D7A" w:rsidRPr="002E55E1" w:rsidRDefault="00FE7D7A" w:rsidP="002E55E1">
      <w:pPr>
        <w:pStyle w:val="FootnoteText"/>
        <w:ind w:left="567" w:hanging="567"/>
        <w:rPr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>Teksty przyjęte, P10_TA(2025)0090.</w:t>
      </w:r>
    </w:p>
  </w:footnote>
  <w:footnote w:id="11">
    <w:p w14:paraId="2E6F48DC" w14:textId="256E1832" w:rsidR="00FE7D7A" w:rsidRPr="002E55E1" w:rsidRDefault="00FE7D7A" w:rsidP="002E55E1">
      <w:pPr>
        <w:pStyle w:val="FootnoteText"/>
        <w:ind w:left="567" w:hanging="567"/>
        <w:rPr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>Sprawozdanie z oceny skutków towarzyszące wnioskowi Komisji w sprawie rozporządzenia Parlamentu Europejskiego i Rady ustanawiającego ramy monitorowania wydatków budżetowych i ramy wykonania budżetu oraz inne przepisy horyzontalne dla programów i działań Unii (COM(2025)0545 final).</w:t>
      </w:r>
    </w:p>
  </w:footnote>
  <w:footnote w:id="12">
    <w:p w14:paraId="7E4ADB90" w14:textId="2FCD0F46" w:rsidR="00FE7D7A" w:rsidRPr="002E55E1" w:rsidRDefault="00FE7D7A" w:rsidP="002E55E1">
      <w:pPr>
        <w:pStyle w:val="FootnoteText"/>
        <w:ind w:left="567" w:hanging="567"/>
        <w:rPr>
          <w:sz w:val="24"/>
          <w:lang w:val="pl-PL"/>
        </w:rPr>
      </w:pPr>
      <w:r w:rsidRPr="002E55E1">
        <w:rPr>
          <w:rStyle w:val="FootnoteReference"/>
          <w:sz w:val="24"/>
          <w:lang w:val="pl-PL"/>
        </w:rPr>
        <w:footnoteRef/>
      </w:r>
      <w:r w:rsidR="002E55E1" w:rsidRPr="002E55E1">
        <w:rPr>
          <w:sz w:val="24"/>
          <w:lang w:val="pl-PL"/>
        </w:rPr>
        <w:t xml:space="preserve"> </w:t>
      </w:r>
      <w:r w:rsidR="002E55E1" w:rsidRPr="002E55E1">
        <w:rPr>
          <w:sz w:val="24"/>
          <w:lang w:val="pl-PL"/>
        </w:rPr>
        <w:tab/>
      </w:r>
      <w:r w:rsidRPr="002E55E1">
        <w:rPr>
          <w:sz w:val="24"/>
          <w:lang w:val="pl-PL"/>
        </w:rPr>
        <w:t>Dyrektywa Parlamentu Europejskiego i Rady (UE) 2023/970 z dnia 10 maja 2023 r. w sprawie wzmocnienia stosowania zasady równości wynagrodzeń dla mężczyzn i kobiet za taką samą pracę lub pracę o takiej samej wartości za pośrednictwem mechanizmów przejrzystości wynagrodzeń oraz mechanizmów egzekwowania</w:t>
      </w:r>
      <w:r w:rsidR="00083934">
        <w:rPr>
          <w:sz w:val="24"/>
          <w:lang w:val="pl-PL"/>
        </w:rPr>
        <w:t xml:space="preserve"> </w:t>
      </w:r>
      <w:r w:rsidR="00083934" w:rsidRPr="009A05BA">
        <w:rPr>
          <w:sz w:val="24"/>
          <w:lang w:val="pl-PL"/>
        </w:rPr>
        <w:t xml:space="preserve">(Dz.U. L 132 z 17.5.2023, s. 21, ELI: </w:t>
      </w:r>
      <w:hyperlink r:id="rId7" w:history="1">
        <w:r w:rsidR="00083934" w:rsidRPr="009A05BA">
          <w:rPr>
            <w:rStyle w:val="Hyperlink"/>
            <w:sz w:val="24"/>
            <w:lang w:val="pl-PL"/>
          </w:rPr>
          <w:t>http://data.europa.eu/eli/dir/2023/970/oj</w:t>
        </w:r>
      </w:hyperlink>
      <w:r w:rsidR="00083934" w:rsidRPr="009A05BA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A5D1F" w14:textId="77777777" w:rsidR="00064002" w:rsidRPr="002E55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4BABD" w14:textId="77777777" w:rsidR="00064002" w:rsidRPr="002E55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70831" w14:textId="77777777" w:rsidR="00064002" w:rsidRPr="002E55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5040554">
    <w:abstractNumId w:val="9"/>
  </w:num>
  <w:num w:numId="2" w16cid:durableId="40250945">
    <w:abstractNumId w:val="9"/>
  </w:num>
  <w:num w:numId="3" w16cid:durableId="1985501776">
    <w:abstractNumId w:val="7"/>
  </w:num>
  <w:num w:numId="4" w16cid:durableId="693464898">
    <w:abstractNumId w:val="7"/>
  </w:num>
  <w:num w:numId="5" w16cid:durableId="506018994">
    <w:abstractNumId w:val="6"/>
  </w:num>
  <w:num w:numId="6" w16cid:durableId="1271665738">
    <w:abstractNumId w:val="6"/>
  </w:num>
  <w:num w:numId="7" w16cid:durableId="197160766">
    <w:abstractNumId w:val="5"/>
  </w:num>
  <w:num w:numId="8" w16cid:durableId="1129014740">
    <w:abstractNumId w:val="5"/>
  </w:num>
  <w:num w:numId="9" w16cid:durableId="1123771912">
    <w:abstractNumId w:val="4"/>
  </w:num>
  <w:num w:numId="10" w16cid:durableId="1847357597">
    <w:abstractNumId w:val="4"/>
  </w:num>
  <w:num w:numId="11" w16cid:durableId="1089934024">
    <w:abstractNumId w:val="8"/>
  </w:num>
  <w:num w:numId="12" w16cid:durableId="1430198466">
    <w:abstractNumId w:val="8"/>
  </w:num>
  <w:num w:numId="13" w16cid:durableId="90778785">
    <w:abstractNumId w:val="3"/>
  </w:num>
  <w:num w:numId="14" w16cid:durableId="744496498">
    <w:abstractNumId w:val="3"/>
  </w:num>
  <w:num w:numId="15" w16cid:durableId="1869637832">
    <w:abstractNumId w:val="2"/>
  </w:num>
  <w:num w:numId="16" w16cid:durableId="128133799">
    <w:abstractNumId w:val="2"/>
  </w:num>
  <w:num w:numId="17" w16cid:durableId="1894462214">
    <w:abstractNumId w:val="1"/>
  </w:num>
  <w:num w:numId="18" w16cid:durableId="750275521">
    <w:abstractNumId w:val="1"/>
  </w:num>
  <w:num w:numId="19" w16cid:durableId="1432163434">
    <w:abstractNumId w:val="0"/>
  </w:num>
  <w:num w:numId="20" w16cid:durableId="842739044">
    <w:abstractNumId w:val="0"/>
  </w:num>
  <w:num w:numId="21" w16cid:durableId="419259558">
    <w:abstractNumId w:val="9"/>
  </w:num>
  <w:num w:numId="22" w16cid:durableId="1578976261">
    <w:abstractNumId w:val="7"/>
  </w:num>
  <w:num w:numId="23" w16cid:durableId="756557230">
    <w:abstractNumId w:val="6"/>
  </w:num>
  <w:num w:numId="24" w16cid:durableId="998731206">
    <w:abstractNumId w:val="5"/>
  </w:num>
  <w:num w:numId="25" w16cid:durableId="42950855">
    <w:abstractNumId w:val="4"/>
  </w:num>
  <w:num w:numId="26" w16cid:durableId="615598511">
    <w:abstractNumId w:val="8"/>
  </w:num>
  <w:num w:numId="27" w16cid:durableId="693730728">
    <w:abstractNumId w:val="3"/>
  </w:num>
  <w:num w:numId="28" w16cid:durableId="1334918389">
    <w:abstractNumId w:val="2"/>
  </w:num>
  <w:num w:numId="29" w16cid:durableId="623118910">
    <w:abstractNumId w:val="1"/>
  </w:num>
  <w:num w:numId="30" w16cid:durableId="2034649030">
    <w:abstractNumId w:val="0"/>
  </w:num>
  <w:num w:numId="31" w16cid:durableId="425075707">
    <w:abstractNumId w:val="9"/>
  </w:num>
  <w:num w:numId="32" w16cid:durableId="396706289">
    <w:abstractNumId w:val="7"/>
  </w:num>
  <w:num w:numId="33" w16cid:durableId="1444031976">
    <w:abstractNumId w:val="6"/>
  </w:num>
  <w:num w:numId="34" w16cid:durableId="1557161442">
    <w:abstractNumId w:val="5"/>
  </w:num>
  <w:num w:numId="35" w16cid:durableId="2102069653">
    <w:abstractNumId w:val="4"/>
  </w:num>
  <w:num w:numId="36" w16cid:durableId="2053990965">
    <w:abstractNumId w:val="8"/>
  </w:num>
  <w:num w:numId="37" w16cid:durableId="200485296">
    <w:abstractNumId w:val="3"/>
  </w:num>
  <w:num w:numId="38" w16cid:durableId="895822747">
    <w:abstractNumId w:val="2"/>
  </w:num>
  <w:num w:numId="39" w16cid:durableId="462429990">
    <w:abstractNumId w:val="1"/>
  </w:num>
  <w:num w:numId="40" w16cid:durableId="318769880">
    <w:abstractNumId w:val="0"/>
  </w:num>
  <w:num w:numId="41" w16cid:durableId="532233960">
    <w:abstractNumId w:val="10"/>
  </w:num>
  <w:num w:numId="42" w16cid:durableId="1072695718">
    <w:abstractNumId w:val="10"/>
  </w:num>
  <w:num w:numId="43" w16cid:durableId="1847939285">
    <w:abstractNumId w:val="10"/>
  </w:num>
  <w:num w:numId="44" w16cid:durableId="1773474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2/2025"/>
    <w:docVar w:name="dvlangue" w:val="PL"/>
    <w:docVar w:name="dvnumam" w:val="0"/>
    <w:docVar w:name="dvpe" w:val="775.770"/>
    <w:docVar w:name="dvrapporteur" w:val="Sprawozdawca: "/>
    <w:docVar w:name="dvstar" w:val="??"/>
    <w:docVar w:name="dvtitre" w:val="Rezolucja Parlamentu Europejskiego z dnia  2025 r. w sprawie budżetu na rok 2024 – ocena wdrażania metodologii uwzględniania aspektu płci w budżecie UE(2025/2033(INI))"/>
  </w:docVars>
  <w:rsids>
    <w:rsidRoot w:val="006A215C"/>
    <w:rsid w:val="00002272"/>
    <w:rsid w:val="00064002"/>
    <w:rsid w:val="000677B9"/>
    <w:rsid w:val="000831BA"/>
    <w:rsid w:val="00083934"/>
    <w:rsid w:val="000A42CC"/>
    <w:rsid w:val="000E7DD9"/>
    <w:rsid w:val="0010095E"/>
    <w:rsid w:val="00125B37"/>
    <w:rsid w:val="00161608"/>
    <w:rsid w:val="00187494"/>
    <w:rsid w:val="001F32AE"/>
    <w:rsid w:val="002767FF"/>
    <w:rsid w:val="00287FFB"/>
    <w:rsid w:val="002B18FE"/>
    <w:rsid w:val="002B5493"/>
    <w:rsid w:val="002E55E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215C"/>
    <w:rsid w:val="006F74FA"/>
    <w:rsid w:val="00731ADD"/>
    <w:rsid w:val="00734777"/>
    <w:rsid w:val="007412C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5B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1CE"/>
    <w:rsid w:val="00CC2357"/>
    <w:rsid w:val="00CF071A"/>
    <w:rsid w:val="00D058B8"/>
    <w:rsid w:val="00D15F71"/>
    <w:rsid w:val="00D56C11"/>
    <w:rsid w:val="00D8273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49C29"/>
  <w15:chartTrackingRefBased/>
  <w15:docId w15:val="{26F33EA3-73D5-4BDF-A666-6AA70D4F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7D7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E7D7A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FE7D7A"/>
    <w:rPr>
      <w:b/>
      <w:i/>
      <w:u w:val="none"/>
    </w:rPr>
  </w:style>
  <w:style w:type="character" w:customStyle="1" w:styleId="Italic">
    <w:name w:val="Italic"/>
    <w:uiPriority w:val="1"/>
    <w:rsid w:val="00FE7D7A"/>
    <w:rPr>
      <w:i/>
    </w:rPr>
  </w:style>
  <w:style w:type="paragraph" w:customStyle="1" w:styleId="NormalHanging12a1">
    <w:name w:val="NormalHanging12a1"/>
    <w:basedOn w:val="Normal"/>
    <w:qFormat/>
    <w:rsid w:val="00FE7D7A"/>
    <w:pPr>
      <w:spacing w:after="240"/>
      <w:ind w:left="992" w:hanging="425"/>
    </w:pPr>
  </w:style>
  <w:style w:type="paragraph" w:customStyle="1" w:styleId="Normal12a24b">
    <w:name w:val="Normal12a24b"/>
    <w:basedOn w:val="Normal"/>
    <w:rsid w:val="00FE7D7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FE7D7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E7D7A"/>
    <w:rPr>
      <w:snapToGrid w:val="0"/>
      <w:sz w:val="24"/>
      <w:lang w:val="pl-PL" w:eastAsia="en-US"/>
    </w:rPr>
  </w:style>
  <w:style w:type="paragraph" w:styleId="Revision">
    <w:name w:val="Revision"/>
    <w:hidden/>
    <w:uiPriority w:val="99"/>
    <w:semiHidden/>
    <w:rsid w:val="009A05BA"/>
    <w:rPr>
      <w:sz w:val="24"/>
      <w:lang w:val="pl-PL"/>
    </w:rPr>
  </w:style>
  <w:style w:type="character" w:styleId="FollowedHyperlink">
    <w:name w:val="FollowedHyperlink"/>
    <w:basedOn w:val="DefaultParagraphFont"/>
    <w:rsid w:val="001616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1195/oj" TargetMode="External"/><Relationship Id="rId7" Type="http://schemas.openxmlformats.org/officeDocument/2006/relationships/hyperlink" Target="http://data.europa.eu/eli/dir/2023/970/oj" TargetMode="External"/><Relationship Id="rId2" Type="http://schemas.openxmlformats.org/officeDocument/2006/relationships/hyperlink" Target="https://data.europa.eu/eli/reg/2020/2093/oj" TargetMode="External"/><Relationship Id="rId1" Type="http://schemas.openxmlformats.org/officeDocument/2006/relationships/hyperlink" Target="https://data.europa.eu/eli/reg/2022/2496/oj" TargetMode="External"/><Relationship Id="rId6" Type="http://schemas.openxmlformats.org/officeDocument/2006/relationships/hyperlink" Target="http://data.europa.eu/eli/C/2025/4382/oj" TargetMode="External"/><Relationship Id="rId5" Type="http://schemas.openxmlformats.org/officeDocument/2006/relationships/hyperlink" Target="https://data.europa.eu/eli/reg/2024/2509/oj" TargetMode="External"/><Relationship Id="rId4" Type="http://schemas.openxmlformats.org/officeDocument/2006/relationships/hyperlink" Target="https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3814</Words>
  <Characters>24705</Characters>
  <Application>Microsoft Office Word</Application>
  <DocSecurity>4</DocSecurity>
  <Lines>205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BINKEVICIUTE Aurelija</cp:lastModifiedBy>
  <cp:revision>2</cp:revision>
  <cp:lastPrinted>2004-11-19T15:42:00Z</cp:lastPrinted>
  <dcterms:created xsi:type="dcterms:W3CDTF">2026-03-02T10:20:00Z</dcterms:created>
  <dcterms:modified xsi:type="dcterms:W3CDTF">2026-03-02T10:20:00Z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A10-0212/2025</vt:lpwstr>
  </property>
  <property fmtid="{D5CDD505-2E9C-101B-9397-08002B2CF9AE}" pid="4" name="&lt;Type&gt;">
    <vt:lpwstr>RR</vt:lpwstr>
  </property>
</Properties>
</file>