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1D02" w14:paraId="6106A8AE" w14:textId="77777777" w:rsidTr="0010095E">
        <w:trPr>
          <w:trHeight w:hRule="exact" w:val="1418"/>
        </w:trPr>
        <w:tc>
          <w:tcPr>
            <w:tcW w:w="6804" w:type="dxa"/>
            <w:shd w:val="clear" w:color="auto" w:fill="auto"/>
            <w:vAlign w:val="center"/>
          </w:tcPr>
          <w:p w14:paraId="3386C89A" w14:textId="77777777" w:rsidR="00751A4A" w:rsidRPr="00011D02" w:rsidRDefault="00CC2E35" w:rsidP="0010095E">
            <w:pPr>
              <w:pStyle w:val="EPName"/>
            </w:pPr>
            <w:r w:rsidRPr="00011D02">
              <w:t>Ευρωπαϊκό Κοινοβούλιο</w:t>
            </w:r>
          </w:p>
          <w:p w14:paraId="54CA829A" w14:textId="77777777" w:rsidR="00751A4A" w:rsidRPr="00011D02" w:rsidRDefault="005F1B17" w:rsidP="005F1B17">
            <w:pPr>
              <w:pStyle w:val="EPTerm"/>
              <w:rPr>
                <w:rStyle w:val="HideTWBExt"/>
                <w:noProof w:val="0"/>
                <w:vanish w:val="0"/>
                <w:color w:val="auto"/>
              </w:rPr>
            </w:pPr>
            <w:r w:rsidRPr="00011D02">
              <w:t>2024</w:t>
            </w:r>
            <w:r w:rsidR="00817416" w:rsidRPr="00011D02">
              <w:t>-202</w:t>
            </w:r>
            <w:r w:rsidRPr="00011D02">
              <w:t>9</w:t>
            </w:r>
          </w:p>
        </w:tc>
        <w:tc>
          <w:tcPr>
            <w:tcW w:w="2268" w:type="dxa"/>
            <w:shd w:val="clear" w:color="auto" w:fill="auto"/>
          </w:tcPr>
          <w:p w14:paraId="780132CC" w14:textId="77777777" w:rsidR="00751A4A" w:rsidRPr="00011D02" w:rsidRDefault="00187494" w:rsidP="0010095E">
            <w:pPr>
              <w:pStyle w:val="EPLogo"/>
            </w:pPr>
            <w:r w:rsidRPr="00011D02">
              <w:rPr>
                <w:noProof/>
                <w:lang w:eastAsia="ja-JP"/>
              </w:rPr>
              <w:drawing>
                <wp:inline distT="0" distB="0" distL="0" distR="0" wp14:anchorId="6AB03C92" wp14:editId="06108D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81FCB1" w14:textId="77777777" w:rsidR="00D058B8" w:rsidRPr="00011D02" w:rsidRDefault="00D058B8" w:rsidP="004C5D52">
      <w:pPr>
        <w:pStyle w:val="LineTop"/>
      </w:pPr>
    </w:p>
    <w:p w14:paraId="30C7F834" w14:textId="77777777" w:rsidR="00680577" w:rsidRPr="00011D02" w:rsidRDefault="00CC2E35" w:rsidP="00680577">
      <w:pPr>
        <w:pStyle w:val="EPBodyTA1"/>
      </w:pPr>
      <w:r w:rsidRPr="00011D02">
        <w:t>ΚΕΙΜΕΝΑ ΠΟΥ ΕΓΚΡΙΘΗΚΑΝ</w:t>
      </w:r>
    </w:p>
    <w:p w14:paraId="0289BDEF" w14:textId="77777777" w:rsidR="00D058B8" w:rsidRPr="00011D02" w:rsidRDefault="00D058B8" w:rsidP="00D058B8">
      <w:pPr>
        <w:pStyle w:val="LineBottom"/>
      </w:pPr>
    </w:p>
    <w:p w14:paraId="79482188" w14:textId="518CF7CA" w:rsidR="00CC2E35" w:rsidRPr="00011D02" w:rsidRDefault="00CC2E35" w:rsidP="00CC2E35">
      <w:pPr>
        <w:pStyle w:val="ATHeading1"/>
      </w:pPr>
      <w:bookmarkStart w:id="0" w:name="TANumber"/>
      <w:r w:rsidRPr="00011D02">
        <w:t>P10_TA(2025)0</w:t>
      </w:r>
      <w:r w:rsidR="003D05A0">
        <w:t>288</w:t>
      </w:r>
      <w:bookmarkEnd w:id="0"/>
    </w:p>
    <w:p w14:paraId="5F3B68F3" w14:textId="51DEFC89" w:rsidR="00CC2E35" w:rsidRPr="00011D02" w:rsidRDefault="00057E2D" w:rsidP="00CC2E35">
      <w:pPr>
        <w:pStyle w:val="ATHeading2"/>
      </w:pPr>
      <w:bookmarkStart w:id="1" w:name="title"/>
      <w:r>
        <w:t>Γ</w:t>
      </w:r>
      <w:r w:rsidRPr="00011D02">
        <w:t>ενετικώς τροποποιημένο</w:t>
      </w:r>
      <w:r>
        <w:t>ς</w:t>
      </w:r>
      <w:r w:rsidRPr="00011D02">
        <w:t xml:space="preserve"> αραβόσιτο</w:t>
      </w:r>
      <w:r>
        <w:t>ς</w:t>
      </w:r>
      <w:r w:rsidRPr="00011D02">
        <w:t xml:space="preserve"> DAS1131</w:t>
      </w:r>
      <w:bookmarkEnd w:id="1"/>
    </w:p>
    <w:p w14:paraId="05361D81" w14:textId="77777777" w:rsidR="00CC2E35" w:rsidRPr="00011D02" w:rsidRDefault="00CC2E35" w:rsidP="00CC2E35">
      <w:pPr>
        <w:rPr>
          <w:i/>
          <w:vanish/>
        </w:rPr>
      </w:pPr>
      <w:r w:rsidRPr="00011D02">
        <w:rPr>
          <w:i/>
        </w:rPr>
        <w:fldChar w:fldCharType="begin"/>
      </w:r>
      <w:r w:rsidRPr="00011D02">
        <w:rPr>
          <w:i/>
        </w:rPr>
        <w:instrText xml:space="preserve"> TC"(</w:instrText>
      </w:r>
      <w:bookmarkStart w:id="2" w:name="DocNumber"/>
      <w:r w:rsidRPr="00011D02">
        <w:rPr>
          <w:i/>
        </w:rPr>
        <w:instrText>B10-0489/2025</w:instrText>
      </w:r>
      <w:bookmarkEnd w:id="2"/>
      <w:r w:rsidRPr="00011D02">
        <w:rPr>
          <w:i/>
        </w:rPr>
        <w:instrText xml:space="preserve">)"\l3 \n&gt; \* MERGEFORMAT </w:instrText>
      </w:r>
      <w:r w:rsidRPr="00011D02">
        <w:rPr>
          <w:i/>
        </w:rPr>
        <w:fldChar w:fldCharType="end"/>
      </w:r>
    </w:p>
    <w:p w14:paraId="08168E92" w14:textId="77777777" w:rsidR="00CC2E35" w:rsidRPr="00011D02" w:rsidRDefault="00CC2E35" w:rsidP="00CC2E35">
      <w:pPr>
        <w:rPr>
          <w:vanish/>
        </w:rPr>
      </w:pPr>
      <w:bookmarkStart w:id="3" w:name="PE"/>
      <w:r w:rsidRPr="00011D02">
        <w:rPr>
          <w:vanish/>
        </w:rPr>
        <w:t>PE778.111</w:t>
      </w:r>
      <w:bookmarkEnd w:id="3"/>
    </w:p>
    <w:p w14:paraId="64682D0F" w14:textId="5A6A0BD7" w:rsidR="00CC2E35" w:rsidRPr="00011D02" w:rsidRDefault="00CC2E35" w:rsidP="00CC2E35">
      <w:pPr>
        <w:pStyle w:val="ATHeading3"/>
      </w:pPr>
      <w:bookmarkStart w:id="4" w:name="Sujet"/>
      <w:r w:rsidRPr="00011D02">
        <w:t xml:space="preserve">Ψήφισμα του Ευρωπαϊκού Κοινοβουλίου </w:t>
      </w:r>
      <w:r w:rsidR="003823B5">
        <w:t xml:space="preserve">της </w:t>
      </w:r>
      <w:r w:rsidR="00057E2D">
        <w:t>25ης</w:t>
      </w:r>
      <w:r w:rsidR="003823B5">
        <w:t xml:space="preserve"> Νοεμβρίου 2025 </w:t>
      </w:r>
      <w:r w:rsidRPr="00011D02">
        <w:t>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DAS1131, σύμφωνα με τον κανονισμό (ΕΚ) αριθ. 1829/2003 του Ευρωπαϊκού Κοινοβουλίου και του Συμβουλίου</w:t>
      </w:r>
      <w:bookmarkEnd w:id="4"/>
      <w:r w:rsidRPr="00011D02">
        <w:t xml:space="preserve"> </w:t>
      </w:r>
      <w:bookmarkStart w:id="5" w:name="References"/>
      <w:r w:rsidRPr="00011D02">
        <w:t>(D109630/01 – 2025/2893(RSP))</w:t>
      </w:r>
      <w:bookmarkEnd w:id="5"/>
    </w:p>
    <w:p w14:paraId="0B347EA4" w14:textId="77777777" w:rsidR="00B1214D" w:rsidRPr="00011D02" w:rsidRDefault="00B1214D" w:rsidP="00B1214D">
      <w:pPr>
        <w:pStyle w:val="EPComma"/>
      </w:pPr>
      <w:bookmarkStart w:id="6" w:name="TextBodyBegin"/>
      <w:bookmarkEnd w:id="6"/>
      <w:r w:rsidRPr="00011D02">
        <w:rPr>
          <w:i/>
          <w:iCs/>
        </w:rPr>
        <w:t>Το Ευρωπαϊκό Κοινοβούλιο,</w:t>
      </w:r>
    </w:p>
    <w:p w14:paraId="77EB0662" w14:textId="77777777" w:rsidR="00B1214D" w:rsidRPr="00011D02" w:rsidRDefault="00B1214D" w:rsidP="00B1214D">
      <w:pPr>
        <w:pStyle w:val="NormalHanging12a"/>
      </w:pPr>
      <w:r w:rsidRPr="00011D02">
        <w:t>–</w:t>
      </w:r>
      <w:r w:rsidRPr="00011D02">
        <w:tab/>
        <w:t>έχοντας υπόψη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DAS1131, σύμφωνα με τον κανονισμό (ΕΚ) αριθ. 1829/2003 του Ευρωπαϊκού Κοινοβουλίου και του Συμβουλίου (D109630/01),</w:t>
      </w:r>
    </w:p>
    <w:p w14:paraId="0E60CF45" w14:textId="77777777" w:rsidR="00B1214D" w:rsidRPr="00011D02" w:rsidRDefault="00B1214D" w:rsidP="00B1214D">
      <w:pPr>
        <w:pStyle w:val="NormalHanging12a"/>
      </w:pPr>
      <w:r w:rsidRPr="00011D02">
        <w:t>–</w:t>
      </w:r>
      <w:r w:rsidRPr="00011D02">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011D02">
        <w:rPr>
          <w:rStyle w:val="FootnoteReference"/>
        </w:rPr>
        <w:footnoteReference w:id="1"/>
      </w:r>
      <w:r w:rsidRPr="00011D02">
        <w:t>, και ιδίως το άρθρο 7 παράγραφος 3 και το άρθρο 19 παράγραφος 3,</w:t>
      </w:r>
    </w:p>
    <w:p w14:paraId="32FC52AC" w14:textId="36F29582" w:rsidR="00B1214D" w:rsidRPr="00011D02" w:rsidRDefault="00B1214D" w:rsidP="00B1214D">
      <w:pPr>
        <w:pStyle w:val="NormalHanging12a"/>
      </w:pPr>
      <w:r w:rsidRPr="00011D02">
        <w:t>–</w:t>
      </w:r>
      <w:r w:rsidRPr="00011D02">
        <w:tab/>
        <w:t>έχοντας υπόψη την ψηφοφορία στη Μόνιμη Επιτροπή Φυτών, Ζώων, Τροφίμων και Ζωοτροφών κατά το άρθρο 35 του κανονισμού (ΕΚ) αριθ. 1829/2003, της 15ης Σεπτεμβρίου 2025, κατά την οποία δεν εκδόθηκε γνώμη,</w:t>
      </w:r>
      <w:r w:rsidR="00057E2D">
        <w:t xml:space="preserve"> και την ψηφοφορία στη</w:t>
      </w:r>
      <w:r w:rsidR="00057E2D" w:rsidRPr="00D2039A">
        <w:t xml:space="preserve">ν επιτροπή προσφυγών στις </w:t>
      </w:r>
      <w:r w:rsidR="00057E2D">
        <w:t>21 Οκτωβρίου</w:t>
      </w:r>
      <w:r w:rsidR="004E1DC8">
        <w:t xml:space="preserve"> </w:t>
      </w:r>
      <w:r w:rsidR="00057E2D" w:rsidRPr="00D2039A">
        <w:t>2025, που κατέληξε επίσης σε μη έκδοση γνωμοδότησης,</w:t>
      </w:r>
    </w:p>
    <w:p w14:paraId="14FC6AB3" w14:textId="77777777" w:rsidR="00B1214D" w:rsidRPr="00011D02" w:rsidRDefault="00B1214D" w:rsidP="00B1214D">
      <w:pPr>
        <w:pStyle w:val="NormalHanging12a"/>
        <w:widowControl/>
        <w:rPr>
          <w:szCs w:val="24"/>
        </w:rPr>
      </w:pPr>
      <w:r w:rsidRPr="00011D02">
        <w:t>–</w:t>
      </w:r>
      <w:r w:rsidRPr="00011D02">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bookmarkStart w:id="7" w:name="_Hlk210662860"/>
      <w:r w:rsidRPr="00011D02">
        <w:rPr>
          <w:rStyle w:val="FootnoteReference"/>
          <w:szCs w:val="24"/>
        </w:rPr>
        <w:footnoteReference w:id="2"/>
      </w:r>
      <w:bookmarkEnd w:id="7"/>
      <w:r w:rsidRPr="00011D02">
        <w:t>,</w:t>
      </w:r>
    </w:p>
    <w:p w14:paraId="3296232E" w14:textId="6DEE36D5" w:rsidR="00B1214D" w:rsidRPr="00011D02" w:rsidRDefault="00B1214D" w:rsidP="00B1214D">
      <w:pPr>
        <w:pStyle w:val="NormalHanging12a"/>
        <w:widowControl/>
      </w:pPr>
      <w:bookmarkStart w:id="9" w:name="_Hlk210663128"/>
      <w:r w:rsidRPr="00011D02">
        <w:lastRenderedPageBreak/>
        <w:t>–</w:t>
      </w:r>
      <w:r w:rsidRPr="00011D02">
        <w:tab/>
        <w:t>έχοντας υπόψη τη γνωμοδότηση που εκδόθηκε από την Ευρωπαϊκή Αρχή για την Ασφάλεια των Τροφίμων (EFSA) στις 5 Φεβρουαρίου 2025 και δημοσιεύθηκε στις 19</w:t>
      </w:r>
      <w:r w:rsidR="004E1DC8">
        <w:t> </w:t>
      </w:r>
      <w:r w:rsidRPr="00011D02">
        <w:t>Μαρτίου 2025</w:t>
      </w:r>
      <w:r w:rsidRPr="00011D02">
        <w:rPr>
          <w:rStyle w:val="FootnoteReference"/>
          <w:szCs w:val="24"/>
        </w:rPr>
        <w:footnoteReference w:id="3"/>
      </w:r>
      <w:r w:rsidRPr="00011D02">
        <w:t>,</w:t>
      </w:r>
    </w:p>
    <w:bookmarkEnd w:id="9"/>
    <w:p w14:paraId="44D0607F" w14:textId="77777777" w:rsidR="00B1214D" w:rsidRPr="00011D02" w:rsidRDefault="00B1214D" w:rsidP="00B1214D">
      <w:pPr>
        <w:pStyle w:val="NormalHanging12a"/>
      </w:pPr>
      <w:r w:rsidRPr="00011D02">
        <w:t xml:space="preserve">– </w:t>
      </w:r>
      <w:r w:rsidRPr="00011D02">
        <w:tab/>
        <w:t>έχοντας υπόψη τα προηγούμενα ψηφίσματά του που διατύπωναν αντίρρηση στην έγκριση γενετικώς τροποποιημένων οργανισμών («ΓΤΟ»)</w:t>
      </w:r>
      <w:r w:rsidRPr="00011D02">
        <w:rPr>
          <w:rStyle w:val="FootnoteReference"/>
        </w:rPr>
        <w:footnoteReference w:id="4"/>
      </w:r>
      <w:r w:rsidRPr="00011D02">
        <w:t>,</w:t>
      </w:r>
    </w:p>
    <w:p w14:paraId="0912B83D" w14:textId="77777777" w:rsidR="00B1214D" w:rsidRPr="00011D02" w:rsidRDefault="00B1214D" w:rsidP="00B1214D">
      <w:pPr>
        <w:pStyle w:val="NormalHanging12a"/>
      </w:pPr>
      <w:r w:rsidRPr="00011D02">
        <w:lastRenderedPageBreak/>
        <w:t>–</w:t>
      </w:r>
      <w:r w:rsidRPr="00011D02">
        <w:tab/>
        <w:t>έχοντας υπόψη το άρθρο 115 παράγραφοι 2 και 3 του Κανονισμού,</w:t>
      </w:r>
    </w:p>
    <w:p w14:paraId="2E32B64E" w14:textId="77777777" w:rsidR="00B1214D" w:rsidRPr="00011D02" w:rsidRDefault="00B1214D" w:rsidP="00B1214D">
      <w:pPr>
        <w:pStyle w:val="NormalHanging12a"/>
      </w:pPr>
      <w:r w:rsidRPr="00011D02">
        <w:t>–</w:t>
      </w:r>
      <w:r w:rsidRPr="00011D02">
        <w:tab/>
        <w:t>έχοντας υπόψη την πρόταση ψηφίσματος της Επιτροπής Περιβάλλοντος, Κλίματος και Ασφάλειας των Τροφίμων,</w:t>
      </w:r>
    </w:p>
    <w:p w14:paraId="6A88A660" w14:textId="77777777" w:rsidR="00B1214D" w:rsidRPr="00011D02" w:rsidRDefault="00B1214D" w:rsidP="00B1214D">
      <w:pPr>
        <w:spacing w:after="240"/>
        <w:ind w:left="567" w:hanging="567"/>
      </w:pPr>
      <w:r w:rsidRPr="00011D02">
        <w:t>Α.</w:t>
      </w:r>
      <w:r w:rsidRPr="00011D02">
        <w:tab/>
        <w:t xml:space="preserve">λαμβάνοντας υπόψη ότι, στις 17 Ιουνίου 2022, η </w:t>
      </w:r>
      <w:proofErr w:type="spellStart"/>
      <w:r w:rsidRPr="00011D02">
        <w:t>Corteva</w:t>
      </w:r>
      <w:proofErr w:type="spellEnd"/>
      <w:r w:rsidRPr="00011D02">
        <w:t xml:space="preserve"> </w:t>
      </w:r>
      <w:proofErr w:type="spellStart"/>
      <w:r w:rsidRPr="00011D02">
        <w:t>Agriscience</w:t>
      </w:r>
      <w:proofErr w:type="spellEnd"/>
      <w:r w:rsidRPr="00011D02">
        <w:t xml:space="preserve"> </w:t>
      </w:r>
      <w:proofErr w:type="spellStart"/>
      <w:r w:rsidRPr="00011D02">
        <w:t>Belgium</w:t>
      </w:r>
      <w:proofErr w:type="spellEnd"/>
      <w:r w:rsidRPr="00011D02">
        <w:t xml:space="preserve"> BV, η οποία εδρεύει στο Βέλγιο, υπέβαλε αίτηση</w:t>
      </w:r>
      <w:r w:rsidRPr="00011D02">
        <w:rPr>
          <w:snapToGrid w:val="0"/>
        </w:rPr>
        <w:t xml:space="preserve"> στην αρμόδια εθνική αρχή των Κάτω Χωρών</w:t>
      </w:r>
      <w:r w:rsidRPr="00011D02">
        <w:t xml:space="preserve"> για λογαριασμό της εταιρείας </w:t>
      </w:r>
      <w:proofErr w:type="spellStart"/>
      <w:r w:rsidRPr="00011D02">
        <w:t>Corteva</w:t>
      </w:r>
      <w:proofErr w:type="spellEnd"/>
      <w:r w:rsidRPr="00011D02">
        <w:t xml:space="preserve"> </w:t>
      </w:r>
      <w:proofErr w:type="spellStart"/>
      <w:r w:rsidRPr="00011D02">
        <w:t>Agriscience</w:t>
      </w:r>
      <w:proofErr w:type="spellEnd"/>
      <w:r w:rsidRPr="00011D02">
        <w:t xml:space="preserve"> LLC, η οποία εδρεύει στις </w:t>
      </w:r>
      <w:r w:rsidRPr="00011D02">
        <w:lastRenderedPageBreak/>
        <w:t>Ηνωμένες Πολιτείες της Αμερικής, για τη διάθεση στην αγορά τροφίμων, συστατικών τροφίμων και ζωοτροφών που περιέχουν, αποτελούνται ή παράγονται από γενετικώς τροποποιημένο αραβόσιτο DAS1131 («ΓΤ αραβόσιτος»), σύμφωνα με τα άρθρα 5 και 17 του κανονισμού (ΕΚ) αριθ. 1829/2003 («αίτηση»). λαμβάνοντας υπόψη ότι η αίτηση κάλυπτε επίσης τη διάθεση στην αγορά προϊόντων που περιέχουν ή αποτελούνται από τον ΓΤ αραβόσιτο και προορίζονται για χρήσεις διαφορετικές από τη χρήση σε τρόφιμα και ζωοτροφές, εξαιρουμένης της καλλιέργειας·</w:t>
      </w:r>
    </w:p>
    <w:p w14:paraId="17639B20" w14:textId="77777777" w:rsidR="00B1214D" w:rsidRPr="00011D02" w:rsidRDefault="00B1214D" w:rsidP="00B1214D">
      <w:pPr>
        <w:spacing w:after="240"/>
        <w:ind w:left="567" w:hanging="567"/>
      </w:pPr>
      <w:r w:rsidRPr="00011D02">
        <w:t>Β.</w:t>
      </w:r>
      <w:r w:rsidRPr="00011D02">
        <w:tab/>
        <w:t xml:space="preserve">λαμβάνοντας υπόψη ότι ο ΓΤ αραβόσιτος παράγει την πρωτεΐνη Cry1Da2 για ανθεκτικότητα έναντι ορισμένων επιβλαβών λεπιδόπτερων εντόμων και την πρωτεΐνη DGT-28 EPSPS για αυξημένη αντοχή στο ζιζανιοκτόνο </w:t>
      </w:r>
      <w:proofErr w:type="spellStart"/>
      <w:r w:rsidRPr="00011D02">
        <w:t>γλυφοσάτη</w:t>
      </w:r>
      <w:proofErr w:type="spellEnd"/>
      <w:r w:rsidRPr="00011D02">
        <w:t>·</w:t>
      </w:r>
    </w:p>
    <w:p w14:paraId="6342E3D4" w14:textId="77777777" w:rsidR="00B1214D" w:rsidRPr="00011D02" w:rsidRDefault="00B1214D" w:rsidP="00B1214D">
      <w:pPr>
        <w:spacing w:after="240"/>
        <w:ind w:left="567" w:hanging="567"/>
      </w:pPr>
      <w:bookmarkStart w:id="10" w:name="_Hlk210306900"/>
      <w:r w:rsidRPr="00011D02">
        <w:t>Γ.</w:t>
      </w:r>
      <w:r w:rsidRPr="00011D02">
        <w:tab/>
        <w:t xml:space="preserve">λαμβάνοντας υπόψη ότι εξακολουθούν να υφίστανται ερωτηματικά όσον αφορά την καρκινογόνο δράση της γλυφοσάτης· λαμβάνοντας υπόψη ότι τον Νοέμβριο του 2015 η EFSA κατέληξε στο συμπέρασμα ότι, κατά πάσα πιθανότητα, η </w:t>
      </w:r>
      <w:proofErr w:type="spellStart"/>
      <w:r w:rsidRPr="00011D02">
        <w:t>γλυφοσάτη</w:t>
      </w:r>
      <w:proofErr w:type="spellEnd"/>
      <w:r w:rsidRPr="00011D02">
        <w:t xml:space="preserve"> δεν είναι καρκινογόνος ουσία, και τον Μάρτιο του 2017 ο Ευρωπαϊκός Οργανισμός Χημικών Προϊόντων κατέληξε στο συμπέρασμα ότι δεν απαιτείται ταξινόμηση· λαμβάνοντας υπόψη ότι, αντιθέτως, το 2015 ο Διεθνής Οργανισμός Ερευνών για τον Καρκίνο —η ειδική υπηρεσία του Παγκόσμιου Οργανισμού Υγείας για τον καρκίνο— ταξινόμησε τη </w:t>
      </w:r>
      <w:proofErr w:type="spellStart"/>
      <w:r w:rsidRPr="00011D02">
        <w:t>γλυφοσάτη</w:t>
      </w:r>
      <w:proofErr w:type="spellEnd"/>
      <w:r w:rsidRPr="00011D02">
        <w:t xml:space="preserve"> στις πιθανώς καρκινογόνους για τον άνθρωπο ουσίες· λαμβάνοντας υπόψη ότι σειρά από πρόσφατες επιστημονικές μελέτες αξιολογηθείσες από ομότιμους επιβεβαιώνουν τις </w:t>
      </w:r>
      <w:proofErr w:type="spellStart"/>
      <w:r w:rsidRPr="00011D02">
        <w:t>καρκινογόνες</w:t>
      </w:r>
      <w:proofErr w:type="spellEnd"/>
      <w:r w:rsidRPr="00011D02">
        <w:t xml:space="preserve"> ιδιότητες της </w:t>
      </w:r>
      <w:proofErr w:type="spellStart"/>
      <w:r w:rsidRPr="00011D02">
        <w:t>γλυφοσάτης</w:t>
      </w:r>
      <w:proofErr w:type="spellEnd"/>
      <w:r w:rsidRPr="00011D02">
        <w:rPr>
          <w:rStyle w:val="FootnoteReference"/>
        </w:rPr>
        <w:footnoteReference w:id="5"/>
      </w:r>
      <w:r w:rsidRPr="00011D02">
        <w:t>·</w:t>
      </w:r>
    </w:p>
    <w:bookmarkEnd w:id="10"/>
    <w:p w14:paraId="182B279E" w14:textId="77777777" w:rsidR="00B1214D" w:rsidRPr="00011D02" w:rsidRDefault="00B1214D" w:rsidP="00B1214D">
      <w:pPr>
        <w:spacing w:after="240"/>
        <w:ind w:left="567" w:hanging="567"/>
      </w:pPr>
      <w:r w:rsidRPr="00011D02">
        <w:t>Δ.</w:t>
      </w:r>
      <w:r w:rsidRPr="00011D02">
        <w:tab/>
        <w:t>λαμβάνοντας υπόψη ότι η EFSA εξέδωσε θετική γνώμη στις 5 Φεβρουαρίου 2025, καταλήγοντας στο συμπέρασμα ότι ο ΓΤ αραβόσιτος είναι εξίσου ασφαλής με το συμβατικό αντίστοιχό του· λαμβάνοντας υπόψη ότι η εν λόγω γνωμοδότηση δεν εξέτασε αρκετές ευρύτερες περιβαλλοντικές, κοινωνικοοικονομικές και σωρευτικές επιπτώσεις τις οποίες η EFSA θεωρεί ότι δεν εμπίπτουν στην αρμοδιότητά της·</w:t>
      </w:r>
    </w:p>
    <w:p w14:paraId="4A9B8594" w14:textId="77777777" w:rsidR="00B1214D" w:rsidRPr="00011D02" w:rsidRDefault="00B1214D" w:rsidP="00B1214D">
      <w:pPr>
        <w:spacing w:after="240"/>
        <w:ind w:left="567" w:hanging="567"/>
      </w:pPr>
      <w:r w:rsidRPr="00011D02">
        <w:t>Ε.</w:t>
      </w:r>
      <w:r w:rsidRPr="00011D02">
        <w:tab/>
        <w:t>λαμβάνοντας υπόψη ότι η εκτίμηση κινδύνου που διενήργησε η EFSA δεν περιλάμβανε μακροπρόθεσμες τοξικολογικές μελέτες ή λεπτομερή ανάλυση των σωρευτικών και συνδυαστικών επιπτώσεων, συμπεριλαμβανομένων πιθανών αλληλεπιδράσεων με κατάλοιπα φυτοφαρμάκων που χρησιμοποιούνται συνήθως στην καλλιέργεια αραβοσίτου·</w:t>
      </w:r>
    </w:p>
    <w:p w14:paraId="4B606CE9" w14:textId="77777777" w:rsidR="00B1214D" w:rsidRPr="00011D02" w:rsidRDefault="00B1214D" w:rsidP="00B1214D">
      <w:pPr>
        <w:spacing w:after="240"/>
        <w:ind w:left="567" w:hanging="567"/>
      </w:pPr>
      <w:r w:rsidRPr="00011D02">
        <w:t>ΣΤ.</w:t>
      </w:r>
      <w:r w:rsidRPr="00011D02">
        <w:tab/>
        <w:t>λαμβάνοντας υπόψη ότι οι επιτόπιες δοκιμές που υποστηρίζουν την αίτηση διενεργήθηκαν υπό περιορισμένες γεωγραφικές και κλιματικές συνθήκες που δεν αντιπροσωπεύουν την πλήρη ποικιλομορφία των περιοχών καλλιέργειας αραβοσίτου, συμπεριλαμβανομένων εκείνων που πλήττονται έντονα από παράγοντες πίεσης που σχετίζονται με την κλιματική αλλαγή·</w:t>
      </w:r>
    </w:p>
    <w:p w14:paraId="4D3F00EF" w14:textId="77777777" w:rsidR="00B1214D" w:rsidRPr="00011D02" w:rsidRDefault="00B1214D" w:rsidP="00B1214D">
      <w:pPr>
        <w:spacing w:after="240"/>
        <w:ind w:left="567" w:hanging="567"/>
      </w:pPr>
      <w:r w:rsidRPr="00011D02">
        <w:t>Ζ.</w:t>
      </w:r>
      <w:r w:rsidRPr="00011D02">
        <w:tab/>
        <w:t xml:space="preserve">λαμβάνοντας υπόψη ότι η ανεξάρτητη παρακολούθηση και επιτήρηση των δυνητικών δυσμενών επιπτώσεων στη βιοποικιλότητα, την υγεία του εδάφους, τους επικονιαστές και τους μη </w:t>
      </w:r>
      <w:proofErr w:type="spellStart"/>
      <w:r w:rsidRPr="00011D02">
        <w:t>στοχευόμενους</w:t>
      </w:r>
      <w:proofErr w:type="spellEnd"/>
      <w:r w:rsidRPr="00011D02">
        <w:t xml:space="preserve"> οργανισμούς εξακολουθεί να μην διασφαλίζεται επαρκώς·</w:t>
      </w:r>
    </w:p>
    <w:p w14:paraId="0513A5F2" w14:textId="77777777" w:rsidR="00B1214D" w:rsidRPr="00011D02" w:rsidRDefault="00B1214D" w:rsidP="00B1214D">
      <w:pPr>
        <w:spacing w:after="240"/>
        <w:ind w:left="567" w:hanging="567"/>
      </w:pPr>
      <w:r w:rsidRPr="00011D02">
        <w:lastRenderedPageBreak/>
        <w:t>Η.</w:t>
      </w:r>
      <w:r w:rsidRPr="00011D02">
        <w:tab/>
        <w:t>λαμβάνοντας υπόψη ότι, μέχρι σήμερα, δεν υπάρχουν μελέτες αξιολογημένες από ομοτίμους σχετικά με την τοξικότητα ή τον τρόπο δράσης της πρωτεΐνης Cry1Da2·</w:t>
      </w:r>
    </w:p>
    <w:p w14:paraId="5DD1F593" w14:textId="77777777" w:rsidR="00B1214D" w:rsidRPr="00011D02" w:rsidRDefault="00B1214D" w:rsidP="00B1214D">
      <w:pPr>
        <w:spacing w:after="240"/>
        <w:ind w:left="567" w:hanging="567"/>
      </w:pPr>
      <w:r w:rsidRPr="00011D02">
        <w:t>Θ.</w:t>
      </w:r>
      <w:r w:rsidRPr="00011D02">
        <w:tab/>
        <w:t>λαμβάνοντας υπόψη ότι η αρχή της προφύλαξης, η οποία κατοχυρώνεται στο άρθρο 191 της Συνθήκης για τη λειτουργία της Ευρωπαϊκής Ένωσης, θα πρέπει να εφαρμόζεται σε περιπτώσεις επιστημονικής αβεβαιότητας·</w:t>
      </w:r>
    </w:p>
    <w:p w14:paraId="5AC6FF3D" w14:textId="77777777" w:rsidR="00B1214D" w:rsidRPr="00011D02" w:rsidRDefault="00B1214D" w:rsidP="00B1214D">
      <w:pPr>
        <w:spacing w:after="240"/>
        <w:ind w:left="567" w:hanging="567"/>
      </w:pPr>
      <w:r w:rsidRPr="00011D02">
        <w:t>Ι.</w:t>
      </w:r>
      <w:r w:rsidRPr="00011D02">
        <w:tab/>
        <w:t>λαμβάνοντας υπόψη ότι ο κανονισμός (ΕΚ) αριθ. 1829/2003 ορίζει ότι τα γενετικώς τροποποιημένα τρόφιμα και ζωοτροφές δεν πρέπει να έχουν δυσμενείς επιπτώσεις στην υγεία του ανθρώπου, στην υγεία των ζώων ή στο περιβάλλον·</w:t>
      </w:r>
    </w:p>
    <w:p w14:paraId="1F3AA426" w14:textId="77777777" w:rsidR="00B1214D" w:rsidRPr="00011D02" w:rsidRDefault="00B1214D" w:rsidP="00B1214D">
      <w:pPr>
        <w:spacing w:after="240"/>
        <w:ind w:left="567" w:hanging="567"/>
      </w:pPr>
      <w:r w:rsidRPr="00011D02">
        <w:t>ΙΑ.</w:t>
      </w:r>
      <w:r w:rsidRPr="00011D02">
        <w:tab/>
        <w:t>λαμβάνοντας υπόψη ότι η έγκριση του σχεδίου εκτελεστικής απόφασης της Επιτροπής θα επιτρέψει εισαγωγές στην Ένωση που δεν συμμορφώνονται με τα πρότυπα που τηρούν οι γεωργοί της Ένωσης, με αποτέλεσμα να περιέρχονται οι τελευταίοι σε μειονεκτική ανταγωνιστική θέση·</w:t>
      </w:r>
    </w:p>
    <w:p w14:paraId="27B8093E" w14:textId="77777777" w:rsidR="00B1214D" w:rsidRPr="00011D02" w:rsidRDefault="00B1214D" w:rsidP="00B1214D">
      <w:pPr>
        <w:spacing w:after="240"/>
        <w:ind w:left="567" w:hanging="567"/>
      </w:pPr>
      <w:r w:rsidRPr="00011D02">
        <w:t>ΙΒ.</w:t>
      </w:r>
      <w:r w:rsidRPr="00011D02">
        <w:tab/>
        <w:t>λαμβάνοντας υπόψη ότι το Κοινοβούλιο έχει επανειλημμένα τονίσει ότι η Επιτροπή δεν θα πρέπει να εγκρίνει ΓΤΟ σε περιπτώσεις όπου δεν επιτυγχάνεται ειδική πλειοψηφία από τα κράτη μέλη στη Μόνιμη Επιτροπή Φυτών, Ζώων, Τροφίμων και Ζωοτροφών ή στην Επιτροπή Προσφυγών, προκειμένου να αντιμετωπιστεί το συνεχιζόμενο δημοκρατικό έλλειμμα·</w:t>
      </w:r>
    </w:p>
    <w:p w14:paraId="5A475548" w14:textId="77777777" w:rsidR="00B1214D" w:rsidRPr="00011D02" w:rsidRDefault="00B1214D" w:rsidP="00B1214D">
      <w:pPr>
        <w:spacing w:after="240"/>
        <w:ind w:left="567" w:hanging="567"/>
      </w:pPr>
      <w:r w:rsidRPr="00011D02">
        <w:t>ΙΓ.</w:t>
      </w:r>
      <w:r w:rsidRPr="00011D02">
        <w:tab/>
        <w:t>λαμβάνοντας υπόψη ότι η προσέγγιση «Μία υγεία» απαιτεί να λαμβάνεται υπόψη η αλληλεξάρτηση μεταξύ της υγείας των ανθρώπων, των ζώων, των φυτών και του περιβάλλοντος κατά την αξιολόγηση της μακροπρόθεσμης βιωσιμότητας και ασφάλειας των ΓΤΟ·</w:t>
      </w:r>
    </w:p>
    <w:p w14:paraId="7D9F891D" w14:textId="02DE7123" w:rsidR="00B1214D" w:rsidRPr="00011D02" w:rsidRDefault="003D05A0" w:rsidP="003D05A0">
      <w:pPr>
        <w:spacing w:after="240"/>
        <w:ind w:left="567" w:hanging="573"/>
      </w:pPr>
      <w:r w:rsidRPr="00011D02">
        <w:t>1.</w:t>
      </w:r>
      <w:r w:rsidRPr="00011D02">
        <w:tab/>
      </w:r>
      <w:r w:rsidR="00B1214D" w:rsidRPr="00011D02">
        <w:t>κρίνει ότι το σχέδιο εκτελεστικής απόφασης της Επιτροπής υπερβαίνει τις εκτελεστικές αρμοδιότητες που προβλέπει ο κανονισμός (ΕΚ) αριθ. 1829/2003·</w:t>
      </w:r>
    </w:p>
    <w:p w14:paraId="6C5C1531" w14:textId="66720E99" w:rsidR="00B1214D" w:rsidRPr="00011D02" w:rsidRDefault="003D05A0" w:rsidP="003D05A0">
      <w:pPr>
        <w:spacing w:after="240"/>
        <w:ind w:left="567" w:hanging="573"/>
      </w:pPr>
      <w:r w:rsidRPr="00011D02">
        <w:t>2.</w:t>
      </w:r>
      <w:r w:rsidRPr="00011D02">
        <w:tab/>
      </w:r>
      <w:r w:rsidR="00B1214D" w:rsidRPr="00011D02">
        <w:t>κρίνει ότι το σχέδιο εκτελεστικής απόφασης της Επιτροπής δεν είναι σύμφωνο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00B1214D" w:rsidRPr="00011D02">
        <w:rPr>
          <w:rStyle w:val="FootnoteReference"/>
        </w:rPr>
        <w:footnoteReference w:id="6"/>
      </w:r>
      <w:r w:rsidR="00B1214D" w:rsidRPr="00011D02">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14:paraId="23A5FC27" w14:textId="5E61F704" w:rsidR="00B1214D" w:rsidRPr="00011D02" w:rsidRDefault="003D05A0" w:rsidP="003D05A0">
      <w:pPr>
        <w:spacing w:after="240"/>
        <w:ind w:left="567" w:hanging="573"/>
      </w:pPr>
      <w:r w:rsidRPr="00011D02">
        <w:t>3.</w:t>
      </w:r>
      <w:r w:rsidRPr="00011D02">
        <w:tab/>
      </w:r>
      <w:r w:rsidR="00B1214D" w:rsidRPr="00011D02">
        <w:t>ζητεί από την Επιτροπή να αποσύρει την εκτελεστική απόφασή της·</w:t>
      </w:r>
    </w:p>
    <w:p w14:paraId="31C727AE" w14:textId="76BBEDB7" w:rsidR="00B1214D" w:rsidRPr="00011D02" w:rsidRDefault="003D05A0" w:rsidP="003D05A0">
      <w:pPr>
        <w:spacing w:after="240"/>
        <w:ind w:left="567" w:hanging="573"/>
      </w:pPr>
      <w:r w:rsidRPr="00011D02">
        <w:t>4.</w:t>
      </w:r>
      <w:r w:rsidRPr="00011D02">
        <w:tab/>
      </w:r>
      <w:r w:rsidR="00B1214D" w:rsidRPr="00011D02">
        <w:t xml:space="preserve">καλεί την Επιτροπή να μην εγκρίνει τον ΓΤ αραβόσιτο λόγω της έλλειψης επαρκών στοιχείων σχετικά με τον μακροχρόνιο αντίκτυπο στη βιοποικιλότητα, την ασφάλεια των τροφίμων και τα μέσα διαβίωσης των αγροτών σύμφωνα με την προσέγγιση «Μία </w:t>
      </w:r>
      <w:r w:rsidR="00B1214D" w:rsidRPr="00011D02">
        <w:lastRenderedPageBreak/>
        <w:t>υγεία»·</w:t>
      </w:r>
    </w:p>
    <w:p w14:paraId="404A0AF0" w14:textId="02D6112C" w:rsidR="00B1214D" w:rsidRPr="00011D02" w:rsidRDefault="003D05A0" w:rsidP="003D05A0">
      <w:pPr>
        <w:spacing w:after="240"/>
        <w:ind w:left="567" w:hanging="573"/>
      </w:pPr>
      <w:bookmarkStart w:id="11" w:name="_Hlk210900300"/>
      <w:r w:rsidRPr="00011D02">
        <w:t>5.</w:t>
      </w:r>
      <w:r w:rsidRPr="00011D02">
        <w:tab/>
      </w:r>
      <w:r w:rsidR="00B1214D" w:rsidRPr="00011D02">
        <w:t>καλεί την Επιτροπή να υποβάλει, χωρίς καθυστέρηση, νομοθετική πρόταση για τη μεταρρύθμιση της διαδικασίας λήψης αποφάσεων σχετικά με τους ΓΤΟ, προκειμένου να ανταποκριθεί στις συνεχείς αντιρρήσεις του Κοινοβουλίου και στην έλλειψη στήριξης από ειδική πλειοψηφία των κρατών μελών</w:t>
      </w:r>
      <w:bookmarkEnd w:id="11"/>
      <w:r w:rsidR="00B1214D" w:rsidRPr="00011D02">
        <w:t>·</w:t>
      </w:r>
    </w:p>
    <w:p w14:paraId="73927306" w14:textId="2DF14BA8" w:rsidR="00B1214D" w:rsidRPr="00011D02" w:rsidRDefault="003D05A0" w:rsidP="003D05A0">
      <w:pPr>
        <w:spacing w:after="240"/>
        <w:ind w:left="567" w:hanging="573"/>
      </w:pPr>
      <w:bookmarkStart w:id="12" w:name="_Hlk210900241"/>
      <w:r w:rsidRPr="00011D02">
        <w:t>6.</w:t>
      </w:r>
      <w:r w:rsidRPr="00011D02">
        <w:tab/>
      </w:r>
      <w:r w:rsidR="00B1214D" w:rsidRPr="00011D02">
        <w:t>ζητεί από την Επιτροπή να λάβει υπόψη τις υποχρεώσεις της Ένωσης στο πλαίσιο διεθνών συμφωνιών, όπως η Συμφωνία του Παρισιού για το κλίμα, η Σύμβαση των Ηνωμένων Εθνών (ΟΗΕ) για τη βιολογική ποικιλότητα και οι Στόχοι Βιώσιμης Ανάπτυξης (ΣΒΑ) των Ηνωμένων Εθνών·</w:t>
      </w:r>
    </w:p>
    <w:bookmarkEnd w:id="12"/>
    <w:p w14:paraId="5453A537" w14:textId="43ADAE25" w:rsidR="00011D02" w:rsidRPr="00011D02" w:rsidRDefault="003D05A0" w:rsidP="003D05A0">
      <w:pPr>
        <w:spacing w:after="240"/>
        <w:ind w:left="567" w:hanging="573"/>
      </w:pPr>
      <w:r w:rsidRPr="00011D02">
        <w:t>7.</w:t>
      </w:r>
      <w:r w:rsidRPr="00011D02">
        <w:tab/>
      </w:r>
      <w:r w:rsidR="00B1214D" w:rsidRPr="00011D02">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14:paraId="585BD712" w14:textId="4AE3A634" w:rsidR="00E365E1" w:rsidRPr="00011D02" w:rsidRDefault="00E365E1" w:rsidP="00CC2E35"/>
    <w:sectPr w:rsidR="00E365E1" w:rsidRPr="00011D02" w:rsidSect="00011D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0E11CF" w14:textId="77777777" w:rsidR="00CC2E35" w:rsidRPr="00011D02" w:rsidRDefault="00CC2E35">
      <w:r w:rsidRPr="00011D02">
        <w:separator/>
      </w:r>
    </w:p>
  </w:endnote>
  <w:endnote w:type="continuationSeparator" w:id="0">
    <w:p w14:paraId="33656E23" w14:textId="77777777" w:rsidR="00CC2E35" w:rsidRPr="00011D02" w:rsidRDefault="00CC2E35">
      <w:r w:rsidRPr="00011D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2EA90" w14:textId="77777777" w:rsidR="00064002" w:rsidRPr="00011D0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5F469" w14:textId="77777777" w:rsidR="00064002" w:rsidRPr="00011D0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40F5A" w14:textId="77777777" w:rsidR="00064002" w:rsidRPr="00011D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5F6EA" w14:textId="77777777" w:rsidR="00CC2E35" w:rsidRPr="00011D02" w:rsidRDefault="00CC2E35">
      <w:r w:rsidRPr="00011D02">
        <w:separator/>
      </w:r>
    </w:p>
  </w:footnote>
  <w:footnote w:type="continuationSeparator" w:id="0">
    <w:p w14:paraId="6600FBDC" w14:textId="77777777" w:rsidR="00CC2E35" w:rsidRPr="00011D02" w:rsidRDefault="00CC2E35">
      <w:r w:rsidRPr="00011D02">
        <w:continuationSeparator/>
      </w:r>
    </w:p>
  </w:footnote>
  <w:footnote w:id="1">
    <w:p w14:paraId="5018DC31" w14:textId="19F6C978" w:rsidR="00B1214D" w:rsidRPr="00011D02" w:rsidRDefault="00B1214D" w:rsidP="00011D02">
      <w:pPr>
        <w:pStyle w:val="FootnoteText"/>
        <w:ind w:left="567" w:hanging="567"/>
        <w:rPr>
          <w:sz w:val="24"/>
          <w:lang w:val="el-GR"/>
        </w:rPr>
      </w:pPr>
      <w:r w:rsidRPr="00011D02">
        <w:rPr>
          <w:rStyle w:val="Funotenzeichen"/>
          <w:sz w:val="24"/>
          <w:lang w:val="el-GR"/>
        </w:rPr>
        <w:footnoteRef/>
      </w:r>
      <w:r w:rsidR="00011D02" w:rsidRPr="00011D02">
        <w:rPr>
          <w:sz w:val="24"/>
          <w:lang w:val="el-GR"/>
        </w:rPr>
        <w:t xml:space="preserve"> </w:t>
      </w:r>
      <w:r w:rsidR="00011D02" w:rsidRPr="00011D02">
        <w:rPr>
          <w:sz w:val="24"/>
          <w:lang w:val="el-GR"/>
        </w:rPr>
        <w:tab/>
      </w:r>
      <w:r w:rsidRPr="00011D02">
        <w:rPr>
          <w:sz w:val="24"/>
          <w:lang w:val="el-GR"/>
        </w:rPr>
        <w:t>ΕΕ L 268 της 18.10.2003, σ. 1, ELI: </w:t>
      </w:r>
      <w:hyperlink r:id="rId1" w:tooltip="Πρόσβαση στο εν λόγω κείμενο μέσω του ELI URI." w:history="1">
        <w:r w:rsidRPr="00011D02">
          <w:rPr>
            <w:rStyle w:val="Hyperlink"/>
            <w:sz w:val="24"/>
            <w:lang w:val="el-GR"/>
          </w:rPr>
          <w:t>http://data.europa.eu/eli/reg/2003/1829/oj</w:t>
        </w:r>
      </w:hyperlink>
      <w:r w:rsidRPr="00011D02">
        <w:rPr>
          <w:rStyle w:val="Hyperlink"/>
          <w:sz w:val="24"/>
          <w:lang w:val="el-GR"/>
        </w:rPr>
        <w:t>.</w:t>
      </w:r>
    </w:p>
  </w:footnote>
  <w:footnote w:id="2">
    <w:p w14:paraId="64C436E4" w14:textId="020B36B0" w:rsidR="00B1214D" w:rsidRPr="00011D02" w:rsidRDefault="00B1214D" w:rsidP="00011D02">
      <w:pPr>
        <w:pStyle w:val="FootnoteText"/>
        <w:ind w:left="567" w:hanging="567"/>
        <w:rPr>
          <w:sz w:val="24"/>
          <w:lang w:val="el-GR"/>
        </w:rPr>
      </w:pPr>
      <w:r w:rsidRPr="00011D02">
        <w:rPr>
          <w:rStyle w:val="FootnoteReference"/>
          <w:sz w:val="24"/>
          <w:lang w:val="el-GR"/>
        </w:rPr>
        <w:footnoteRef/>
      </w:r>
      <w:bookmarkStart w:id="8" w:name="_Hlk210663104"/>
      <w:r w:rsidR="00011D02" w:rsidRPr="00011D02">
        <w:rPr>
          <w:sz w:val="24"/>
          <w:lang w:val="el-GR"/>
        </w:rPr>
        <w:t xml:space="preserve"> </w:t>
      </w:r>
      <w:r w:rsidR="00011D02" w:rsidRPr="00011D02">
        <w:rPr>
          <w:sz w:val="24"/>
          <w:lang w:val="el-GR"/>
        </w:rPr>
        <w:tab/>
      </w:r>
      <w:r w:rsidRPr="00011D02">
        <w:rPr>
          <w:sz w:val="24"/>
          <w:lang w:val="el-GR"/>
        </w:rPr>
        <w:t xml:space="preserve">ΕΕ L 55 της 28.2.2011, σ. </w:t>
      </w:r>
      <w:r w:rsidRPr="00011D02">
        <w:rPr>
          <w:sz w:val="24"/>
          <w:lang w:val="el-GR"/>
        </w:rPr>
        <w:t xml:space="preserve">13, ELI: </w:t>
      </w:r>
      <w:hyperlink r:id="rId2" w:history="1">
        <w:r w:rsidRPr="00011D02">
          <w:rPr>
            <w:rStyle w:val="Hyperlink"/>
            <w:sz w:val="24"/>
            <w:lang w:val="el-GR"/>
          </w:rPr>
          <w:t>http://data.europa.eu/eli/reg/2011/182/oj</w:t>
        </w:r>
      </w:hyperlink>
      <w:r w:rsidRPr="00011D02">
        <w:rPr>
          <w:sz w:val="24"/>
          <w:lang w:val="el-GR"/>
        </w:rPr>
        <w:t>.</w:t>
      </w:r>
      <w:bookmarkEnd w:id="8"/>
    </w:p>
  </w:footnote>
  <w:footnote w:id="3">
    <w:p w14:paraId="567AA2AB" w14:textId="10CFEC2C" w:rsidR="00B1214D" w:rsidRPr="00011D02" w:rsidRDefault="00B1214D" w:rsidP="00011D02">
      <w:pPr>
        <w:pStyle w:val="FootnoteText"/>
        <w:ind w:left="567" w:hanging="567"/>
        <w:rPr>
          <w:sz w:val="24"/>
          <w:lang w:val="el-GR"/>
        </w:rPr>
      </w:pPr>
      <w:r w:rsidRPr="00011D02">
        <w:rPr>
          <w:rStyle w:val="Funotenzeichen"/>
          <w:sz w:val="24"/>
          <w:lang w:val="el-GR"/>
        </w:rPr>
        <w:footnoteRef/>
      </w:r>
      <w:r w:rsidR="00011D02" w:rsidRPr="00011D02">
        <w:rPr>
          <w:sz w:val="24"/>
          <w:lang w:val="el-GR"/>
        </w:rPr>
        <w:t xml:space="preserve"> </w:t>
      </w:r>
      <w:r w:rsidR="00011D02" w:rsidRPr="00011D02">
        <w:rPr>
          <w:sz w:val="24"/>
          <w:lang w:val="el-GR"/>
        </w:rPr>
        <w:tab/>
      </w:r>
      <w:r w:rsidRPr="00011D02">
        <w:rPr>
          <w:sz w:val="24"/>
          <w:lang w:val="el-GR"/>
        </w:rPr>
        <w:t xml:space="preserve">Επιστημονική γνώμη της ομάδας της EFSA για τους γενετικώς τροποποιημένους οργανισμούς σχετικά με την αξιολόγηση του γενετικά τροποποιημένου αραβοσίτου DAS1131 (αίτηση GMFF-2021-1530). </w:t>
      </w:r>
      <w:r w:rsidR="0055592B" w:rsidRPr="00962AC8">
        <w:rPr>
          <w:sz w:val="24"/>
          <w:lang w:val="el-GR"/>
        </w:rPr>
        <w:t xml:space="preserve">Περιοδική έκδοση </w:t>
      </w:r>
      <w:r w:rsidRPr="00011D02">
        <w:rPr>
          <w:sz w:val="24"/>
          <w:lang w:val="el-GR"/>
        </w:rPr>
        <w:t>EFSA 2025</w:t>
      </w:r>
      <w:r w:rsidR="0055592B">
        <w:rPr>
          <w:sz w:val="24"/>
          <w:lang w:val="el-GR"/>
        </w:rPr>
        <w:t>·</w:t>
      </w:r>
      <w:r w:rsidRPr="00011D02">
        <w:rPr>
          <w:sz w:val="24"/>
          <w:lang w:val="el-GR"/>
        </w:rPr>
        <w:t>23(3):9282</w:t>
      </w:r>
      <w:r w:rsidR="004E1DC8">
        <w:rPr>
          <w:sz w:val="24"/>
          <w:lang w:val="el-GR"/>
        </w:rPr>
        <w:t>·</w:t>
      </w:r>
      <w:r w:rsidRPr="00011D02">
        <w:rPr>
          <w:sz w:val="24"/>
          <w:lang w:val="el-GR"/>
        </w:rPr>
        <w:t xml:space="preserve"> </w:t>
      </w:r>
      <w:hyperlink r:id="rId3" w:history="1">
        <w:r w:rsidRPr="00011D02">
          <w:rPr>
            <w:rStyle w:val="Hyperlink"/>
            <w:sz w:val="24"/>
            <w:lang w:val="el-GR"/>
          </w:rPr>
          <w:t>https://doi.org/10.2903/j.efsa.2025.9282</w:t>
        </w:r>
      </w:hyperlink>
      <w:r w:rsidRPr="00011D02">
        <w:rPr>
          <w:sz w:val="24"/>
          <w:lang w:val="el-GR"/>
        </w:rPr>
        <w:t xml:space="preserve">. </w:t>
      </w:r>
    </w:p>
  </w:footnote>
  <w:footnote w:id="4">
    <w:p w14:paraId="39BF4BCB" w14:textId="015F45DE" w:rsidR="00B1214D" w:rsidRPr="00011D02" w:rsidRDefault="00B1214D" w:rsidP="00011D02">
      <w:pPr>
        <w:pStyle w:val="FootnoteText"/>
        <w:ind w:left="567" w:hanging="567"/>
        <w:rPr>
          <w:color w:val="000000" w:themeColor="text1"/>
          <w:sz w:val="24"/>
          <w:vertAlign w:val="superscript"/>
          <w:lang w:val="el-GR"/>
        </w:rPr>
      </w:pPr>
      <w:r w:rsidRPr="00011D02">
        <w:rPr>
          <w:rStyle w:val="FootnoteReference"/>
          <w:sz w:val="24"/>
          <w:lang w:val="el-GR"/>
        </w:rPr>
        <w:footnoteRef/>
      </w:r>
      <w:r w:rsidR="00011D02" w:rsidRPr="00011D02">
        <w:rPr>
          <w:color w:val="000000" w:themeColor="text1"/>
          <w:sz w:val="24"/>
          <w:lang w:val="el-GR"/>
        </w:rPr>
        <w:t xml:space="preserve"> </w:t>
      </w:r>
      <w:r w:rsidR="00011D02" w:rsidRPr="00011D02">
        <w:rPr>
          <w:color w:val="000000" w:themeColor="text1"/>
          <w:sz w:val="24"/>
          <w:lang w:val="el-GR"/>
        </w:rPr>
        <w:tab/>
      </w:r>
      <w:r w:rsidRPr="00011D02">
        <w:rPr>
          <w:color w:val="000000" w:themeColor="text1"/>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 Επιπλέον, κατά την ένατη κοινοβουλευτική του περίοδο, το Κοινοβούλιο ενέκρινε τα ακόλουθα ψηφίσματα:</w:t>
      </w:r>
    </w:p>
    <w:p w14:paraId="7ACB8422" w14:textId="13A40F2E" w:rsidR="00B1214D" w:rsidRPr="00011D02" w:rsidRDefault="00B1214D" w:rsidP="003D05A0">
      <w:pPr>
        <w:pStyle w:val="FootnoteText"/>
        <w:ind w:left="1134" w:hanging="567"/>
        <w:rPr>
          <w:color w:val="000000" w:themeColor="text1"/>
          <w:sz w:val="24"/>
          <w:vertAlign w:val="superscript"/>
          <w:lang w:val="el-GR"/>
        </w:rPr>
      </w:pPr>
      <w:r w:rsidRPr="00011D02">
        <w:rPr>
          <w:color w:val="000000" w:themeColor="text1"/>
          <w:sz w:val="24"/>
          <w:lang w:val="el-GR"/>
        </w:rPr>
        <w:t>–</w:t>
      </w:r>
      <w:r w:rsidRPr="00011D02">
        <w:rPr>
          <w:color w:val="000000" w:themeColor="text1"/>
          <w:sz w:val="24"/>
          <w:lang w:val="el-GR"/>
        </w:rPr>
        <w:tab/>
        <w:t>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w:t>
      </w:r>
      <w:r w:rsidRPr="00011D02">
        <w:rPr>
          <w:color w:val="000000" w:themeColor="text1"/>
          <w:sz w:val="24"/>
          <w:lang w:val="el-GR"/>
        </w:rPr>
        <w:t xml:space="preserve">1829/2003 του Ευρωπαϊκού Κοινοβουλίου και του Συμβουλίου (ΕΕ C, C/2025/1797, 4.4.2025, ELI: </w:t>
      </w:r>
      <w:hyperlink r:id="rId4" w:history="1">
        <w:r w:rsidRPr="00011D02">
          <w:rPr>
            <w:rStyle w:val="Hyperlink"/>
            <w:sz w:val="24"/>
            <w:lang w:val="el-GR"/>
          </w:rPr>
          <w:t>http://data.europa.eu/eli/C/2025/1797/oj</w:t>
        </w:r>
      </w:hyperlink>
      <w:r w:rsidRPr="00011D02">
        <w:rPr>
          <w:color w:val="000000" w:themeColor="text1"/>
          <w:sz w:val="24"/>
          <w:lang w:val="el-GR"/>
        </w:rPr>
        <w:t>).</w:t>
      </w:r>
    </w:p>
    <w:p w14:paraId="6C9900F0" w14:textId="17E71E39" w:rsidR="00B1214D" w:rsidRPr="00011D02" w:rsidRDefault="00B1214D" w:rsidP="003D05A0">
      <w:pPr>
        <w:pStyle w:val="FootnoteText"/>
        <w:ind w:left="1134" w:hanging="567"/>
        <w:rPr>
          <w:color w:val="000000" w:themeColor="text1"/>
          <w:sz w:val="24"/>
          <w:vertAlign w:val="superscript"/>
          <w:lang w:val="el-GR"/>
        </w:rPr>
      </w:pPr>
      <w:r w:rsidRPr="00011D02">
        <w:rPr>
          <w:color w:val="000000" w:themeColor="text1"/>
          <w:sz w:val="24"/>
          <w:lang w:val="el-GR"/>
        </w:rPr>
        <w:t>–</w:t>
      </w:r>
      <w:r w:rsidRPr="00011D02">
        <w:rPr>
          <w:color w:val="000000" w:themeColor="text1"/>
          <w:sz w:val="24"/>
          <w:lang w:val="el-GR"/>
        </w:rPr>
        <w:tab/>
        <w:t xml:space="preserve">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5" w:history="1">
        <w:r w:rsidRPr="00011D02">
          <w:rPr>
            <w:rStyle w:val="Hyperlink"/>
            <w:sz w:val="24"/>
            <w:lang w:val="el-GR"/>
          </w:rPr>
          <w:t>http://data.europa.eu/eli/C/2025/1798/oj</w:t>
        </w:r>
      </w:hyperlink>
      <w:r w:rsidRPr="00011D02">
        <w:rPr>
          <w:color w:val="000000" w:themeColor="text1"/>
          <w:sz w:val="24"/>
          <w:lang w:val="el-GR"/>
        </w:rPr>
        <w:t>).</w:t>
      </w:r>
    </w:p>
    <w:p w14:paraId="44C5E94E" w14:textId="187F2143" w:rsidR="00B1214D" w:rsidRPr="00011D02" w:rsidRDefault="00B1214D" w:rsidP="003D05A0">
      <w:pPr>
        <w:pStyle w:val="FootnoteText"/>
        <w:ind w:left="1134" w:hanging="567"/>
        <w:rPr>
          <w:color w:val="000000" w:themeColor="text1"/>
          <w:sz w:val="24"/>
          <w:vertAlign w:val="superscript"/>
          <w:lang w:val="el-GR"/>
        </w:rPr>
      </w:pPr>
      <w:r w:rsidRPr="00011D02">
        <w:rPr>
          <w:color w:val="000000" w:themeColor="text1"/>
          <w:sz w:val="24"/>
          <w:lang w:val="el-GR"/>
        </w:rPr>
        <w:t>–</w:t>
      </w:r>
      <w:r w:rsidRPr="00011D02">
        <w:rPr>
          <w:color w:val="000000" w:themeColor="text1"/>
          <w:sz w:val="24"/>
          <w:lang w:val="el-GR"/>
        </w:rPr>
        <w:tab/>
        <w:t xml:space="preserve">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6" w:history="1">
        <w:r w:rsidRPr="00011D02">
          <w:rPr>
            <w:rStyle w:val="Hyperlink"/>
            <w:sz w:val="24"/>
            <w:lang w:val="el-GR"/>
          </w:rPr>
          <w:t>http://data.europa.eu/eli/C/2025/1799/oj</w:t>
        </w:r>
      </w:hyperlink>
      <w:r w:rsidRPr="00011D02">
        <w:rPr>
          <w:color w:val="000000" w:themeColor="text1"/>
          <w:sz w:val="24"/>
          <w:lang w:val="el-GR"/>
        </w:rPr>
        <w:t>).</w:t>
      </w:r>
    </w:p>
    <w:p w14:paraId="77942163" w14:textId="602BD5CA" w:rsidR="00B1214D" w:rsidRPr="00011D02" w:rsidRDefault="00B1214D" w:rsidP="003D05A0">
      <w:pPr>
        <w:pStyle w:val="FootnoteText"/>
        <w:ind w:left="1134" w:hanging="567"/>
        <w:rPr>
          <w:color w:val="000000" w:themeColor="text1"/>
          <w:sz w:val="24"/>
          <w:vertAlign w:val="superscript"/>
          <w:lang w:val="el-GR"/>
        </w:rPr>
      </w:pPr>
      <w:r w:rsidRPr="00011D02">
        <w:rPr>
          <w:color w:val="000000" w:themeColor="text1"/>
          <w:sz w:val="24"/>
          <w:lang w:val="el-GR"/>
        </w:rPr>
        <w:t>–</w:t>
      </w:r>
      <w:r w:rsidRPr="00011D02">
        <w:rPr>
          <w:color w:val="000000" w:themeColor="text1"/>
          <w:sz w:val="24"/>
          <w:lang w:val="el-GR"/>
        </w:rPr>
        <w:tab/>
        <w:t xml:space="preserve">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7" w:history="1">
        <w:r w:rsidRPr="00011D02">
          <w:rPr>
            <w:rStyle w:val="Hyperlink"/>
            <w:sz w:val="24"/>
            <w:lang w:val="el-GR"/>
          </w:rPr>
          <w:t>http://data.europa.eu/eli/C/2025/1800/oj</w:t>
        </w:r>
      </w:hyperlink>
      <w:r w:rsidRPr="00011D02">
        <w:rPr>
          <w:color w:val="000000" w:themeColor="text1"/>
          <w:sz w:val="24"/>
          <w:lang w:val="el-GR"/>
        </w:rPr>
        <w:t>).</w:t>
      </w:r>
    </w:p>
    <w:p w14:paraId="08D1BAD2" w14:textId="0CB5870B" w:rsidR="00B1214D" w:rsidRPr="00011D02" w:rsidRDefault="00B1214D" w:rsidP="003D05A0">
      <w:pPr>
        <w:pStyle w:val="FootnoteText"/>
        <w:ind w:left="1134" w:hanging="567"/>
        <w:rPr>
          <w:color w:val="000000" w:themeColor="text1"/>
          <w:sz w:val="24"/>
          <w:vertAlign w:val="superscript"/>
          <w:lang w:val="el-GR"/>
        </w:rPr>
      </w:pPr>
      <w:r w:rsidRPr="00011D02">
        <w:rPr>
          <w:color w:val="000000" w:themeColor="text1"/>
          <w:sz w:val="24"/>
          <w:lang w:val="el-GR"/>
        </w:rPr>
        <w:t>–</w:t>
      </w:r>
      <w:r w:rsidRPr="00011D02">
        <w:rPr>
          <w:color w:val="000000" w:themeColor="text1"/>
          <w:sz w:val="24"/>
          <w:lang w:val="el-GR"/>
        </w:rPr>
        <w:tab/>
        <w:t xml:space="preserve">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8" w:history="1">
        <w:r w:rsidRPr="00011D02">
          <w:rPr>
            <w:rStyle w:val="Hyperlink"/>
            <w:sz w:val="24"/>
            <w:lang w:val="el-GR"/>
          </w:rPr>
          <w:t>http://data.europa.eu/eli/C/2025/1801/oj</w:t>
        </w:r>
      </w:hyperlink>
      <w:r w:rsidRPr="00011D02">
        <w:rPr>
          <w:color w:val="000000" w:themeColor="text1"/>
          <w:sz w:val="24"/>
          <w:lang w:val="el-GR"/>
        </w:rPr>
        <w:t>).</w:t>
      </w:r>
    </w:p>
    <w:p w14:paraId="70F8B479" w14:textId="2B0A709D" w:rsidR="00B1214D" w:rsidRPr="00011D02" w:rsidRDefault="00B1214D" w:rsidP="003D05A0">
      <w:pPr>
        <w:pStyle w:val="FootnoteText"/>
        <w:ind w:left="1134" w:hanging="567"/>
        <w:rPr>
          <w:color w:val="000000" w:themeColor="text1"/>
          <w:sz w:val="24"/>
          <w:vertAlign w:val="superscript"/>
          <w:lang w:val="el-GR"/>
        </w:rPr>
      </w:pPr>
      <w:r w:rsidRPr="00011D02">
        <w:rPr>
          <w:color w:val="000000" w:themeColor="text1"/>
          <w:sz w:val="24"/>
          <w:lang w:val="el-GR"/>
        </w:rPr>
        <w:t>–</w:t>
      </w:r>
      <w:r w:rsidRPr="00011D02">
        <w:rPr>
          <w:color w:val="000000" w:themeColor="text1"/>
          <w:sz w:val="24"/>
          <w:lang w:val="el-GR"/>
        </w:rPr>
        <w:tab/>
        <w:t xml:space="preserve">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9" w:history="1">
        <w:r w:rsidRPr="00011D02">
          <w:rPr>
            <w:rStyle w:val="Hyperlink"/>
            <w:sz w:val="24"/>
            <w:lang w:val="el-GR"/>
          </w:rPr>
          <w:t>http://data.europa.eu/eli/C/2025/1802/oj</w:t>
        </w:r>
      </w:hyperlink>
      <w:r w:rsidRPr="00011D02">
        <w:rPr>
          <w:color w:val="000000" w:themeColor="text1"/>
          <w:sz w:val="24"/>
          <w:lang w:val="el-GR"/>
        </w:rPr>
        <w:t>).</w:t>
      </w:r>
    </w:p>
    <w:p w14:paraId="103069EA" w14:textId="4A8EF2AE" w:rsidR="00B1214D" w:rsidRPr="00011D02" w:rsidRDefault="00B1214D" w:rsidP="003D05A0">
      <w:pPr>
        <w:pStyle w:val="FootnoteText"/>
        <w:ind w:left="1134" w:hanging="567"/>
        <w:rPr>
          <w:color w:val="000000" w:themeColor="text1"/>
          <w:sz w:val="24"/>
          <w:vertAlign w:val="superscript"/>
          <w:lang w:val="el-GR"/>
        </w:rPr>
      </w:pPr>
      <w:r w:rsidRPr="00011D02">
        <w:rPr>
          <w:color w:val="000000" w:themeColor="text1"/>
          <w:sz w:val="24"/>
          <w:lang w:val="el-GR"/>
        </w:rPr>
        <w:t>–</w:t>
      </w:r>
      <w:r w:rsidRPr="00011D02">
        <w:rPr>
          <w:color w:val="000000" w:themeColor="text1"/>
          <w:sz w:val="24"/>
          <w:lang w:val="el-GR"/>
        </w:rPr>
        <w:tab/>
        <w:t xml:space="preserve">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0" w:history="1">
        <w:r w:rsidRPr="00011D02">
          <w:rPr>
            <w:rStyle w:val="Hyperlink"/>
            <w:sz w:val="24"/>
            <w:lang w:val="el-GR"/>
          </w:rPr>
          <w:t>http://data.europa.eu/eli/C/2025/1803/oj</w:t>
        </w:r>
      </w:hyperlink>
      <w:r w:rsidRPr="00011D02">
        <w:rPr>
          <w:color w:val="000000" w:themeColor="text1"/>
          <w:sz w:val="24"/>
          <w:lang w:val="el-GR"/>
        </w:rPr>
        <w:t>).</w:t>
      </w:r>
    </w:p>
    <w:p w14:paraId="2C5BF579" w14:textId="6900C72A" w:rsidR="00B1214D" w:rsidRPr="00011D02" w:rsidRDefault="00B1214D" w:rsidP="003D05A0">
      <w:pPr>
        <w:pStyle w:val="FootnoteText"/>
        <w:ind w:left="1134" w:hanging="567"/>
        <w:rPr>
          <w:color w:val="000000" w:themeColor="text1"/>
          <w:sz w:val="24"/>
          <w:vertAlign w:val="superscript"/>
          <w:lang w:val="el-GR"/>
        </w:rPr>
      </w:pPr>
      <w:r w:rsidRPr="00011D02">
        <w:rPr>
          <w:color w:val="000000" w:themeColor="text1"/>
          <w:sz w:val="24"/>
          <w:lang w:val="el-GR"/>
        </w:rPr>
        <w:t>–</w:t>
      </w:r>
      <w:r w:rsidRPr="00011D02">
        <w:rPr>
          <w:color w:val="000000" w:themeColor="text1"/>
          <w:sz w:val="24"/>
          <w:lang w:val="el-GR"/>
        </w:rPr>
        <w:tab/>
        <w:t xml:space="preserve">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1" w:history="1">
        <w:r w:rsidRPr="00011D02">
          <w:rPr>
            <w:rStyle w:val="Hyperlink"/>
            <w:sz w:val="24"/>
            <w:lang w:val="el-GR"/>
          </w:rPr>
          <w:t>http://data.europa.eu/eli/C/2025/1804/oj</w:t>
        </w:r>
      </w:hyperlink>
      <w:r w:rsidRPr="00011D02">
        <w:rPr>
          <w:color w:val="000000" w:themeColor="text1"/>
          <w:sz w:val="24"/>
          <w:lang w:val="el-GR"/>
        </w:rPr>
        <w:t>).</w:t>
      </w:r>
    </w:p>
    <w:p w14:paraId="5EE4F706" w14:textId="5DE57ACF" w:rsidR="00B1214D" w:rsidRPr="00011D02" w:rsidRDefault="00B1214D" w:rsidP="003D05A0">
      <w:pPr>
        <w:pStyle w:val="FootnoteText"/>
        <w:ind w:left="1134" w:hanging="567"/>
        <w:rPr>
          <w:sz w:val="24"/>
          <w:vertAlign w:val="superscript"/>
          <w:lang w:val="el-GR"/>
        </w:rPr>
      </w:pPr>
      <w:r w:rsidRPr="00011D02">
        <w:rPr>
          <w:color w:val="000000" w:themeColor="text1"/>
          <w:sz w:val="24"/>
          <w:lang w:val="el-GR"/>
        </w:rPr>
        <w:t>–</w:t>
      </w:r>
      <w:r w:rsidRPr="00011D02">
        <w:rPr>
          <w:color w:val="000000" w:themeColor="text1"/>
          <w:sz w:val="24"/>
          <w:lang w:val="el-GR"/>
        </w:rPr>
        <w:tab/>
      </w:r>
      <w:r w:rsidRPr="00011D02">
        <w:rPr>
          <w:sz w:val="24"/>
          <w:lang w:val="el-GR"/>
        </w:rPr>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(ΕΕ C, C/2025/2246, 29.4.2025, ELI: </w:t>
      </w:r>
      <w:hyperlink r:id="rId12" w:tooltip="Πρόσβαση στο εν λόγω κείμενο μέσω του ELI URI." w:history="1">
        <w:r w:rsidRPr="00011D02">
          <w:rPr>
            <w:rStyle w:val="Hyperlink"/>
            <w:sz w:val="24"/>
            <w:lang w:val="el-GR"/>
          </w:rPr>
          <w:t>http://data.europa.eu/eli/C/2025/2246/oj</w:t>
        </w:r>
      </w:hyperlink>
      <w:r w:rsidRPr="00011D02">
        <w:rPr>
          <w:sz w:val="24"/>
          <w:lang w:val="el-GR"/>
        </w:rPr>
        <w:t>).</w:t>
      </w:r>
    </w:p>
    <w:p w14:paraId="10E599BE" w14:textId="47A54E43" w:rsidR="00B1214D" w:rsidRPr="00011D02" w:rsidRDefault="00B1214D" w:rsidP="003D05A0">
      <w:pPr>
        <w:pStyle w:val="FootnoteText"/>
        <w:ind w:left="1134" w:hanging="567"/>
        <w:rPr>
          <w:sz w:val="24"/>
          <w:vertAlign w:val="superscript"/>
          <w:lang w:val="el-GR"/>
        </w:rPr>
      </w:pPr>
      <w:r w:rsidRPr="00011D02">
        <w:rPr>
          <w:sz w:val="24"/>
          <w:lang w:val="el-GR"/>
        </w:rPr>
        <w:t>–</w:t>
      </w:r>
      <w:r w:rsidRPr="00011D02">
        <w:rPr>
          <w:sz w:val="24"/>
          <w:lang w:val="el-GR"/>
        </w:rPr>
        <w:tab/>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3" w:tooltip="Πρόσβαση στο εν λόγω κείμενο μέσω του ELI URI." w:history="1">
        <w:r w:rsidRPr="00011D02">
          <w:rPr>
            <w:rStyle w:val="Hyperlink"/>
            <w:sz w:val="24"/>
            <w:lang w:val="el-GR"/>
          </w:rPr>
          <w:t>http://data.europa.eu/eli/C/2025/2247/oj</w:t>
        </w:r>
      </w:hyperlink>
      <w:r w:rsidRPr="00011D02">
        <w:rPr>
          <w:sz w:val="24"/>
          <w:lang w:val="el-GR"/>
        </w:rPr>
        <w:t>).</w:t>
      </w:r>
    </w:p>
    <w:p w14:paraId="5347CB77" w14:textId="2BB82BDE" w:rsidR="00B1214D" w:rsidRPr="00011D02" w:rsidRDefault="00B1214D" w:rsidP="003D05A0">
      <w:pPr>
        <w:pStyle w:val="FootnoteText"/>
        <w:ind w:left="1134" w:hanging="567"/>
        <w:rPr>
          <w:sz w:val="24"/>
          <w:vertAlign w:val="superscript"/>
          <w:lang w:val="el-GR"/>
        </w:rPr>
      </w:pPr>
      <w:r w:rsidRPr="00011D02">
        <w:rPr>
          <w:sz w:val="24"/>
          <w:lang w:val="el-GR"/>
        </w:rPr>
        <w:t>–</w:t>
      </w:r>
      <w:r w:rsidRPr="00011D02">
        <w:rPr>
          <w:sz w:val="24"/>
          <w:lang w:val="el-GR"/>
        </w:rPr>
        <w:tab/>
        <w:t>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w:t>
      </w:r>
      <w:r w:rsidR="00422EE1">
        <w:rPr>
          <w:sz w:val="24"/>
          <w:lang w:val="el-GR"/>
        </w:rPr>
        <w:t xml:space="preserve">Κείμενα που εγκρίθηκαν, </w:t>
      </w:r>
      <w:r w:rsidRPr="00011D02">
        <w:rPr>
          <w:sz w:val="24"/>
          <w:lang w:val="el-GR"/>
        </w:rPr>
        <w:t>P10_TA(2025)0106).</w:t>
      </w:r>
    </w:p>
    <w:p w14:paraId="04556BFA" w14:textId="615F1164" w:rsidR="00B1214D" w:rsidRPr="00011D02" w:rsidRDefault="00B1214D" w:rsidP="003D05A0">
      <w:pPr>
        <w:pStyle w:val="FootnoteText"/>
        <w:ind w:left="1134" w:hanging="567"/>
        <w:rPr>
          <w:sz w:val="24"/>
          <w:lang w:val="el-GR"/>
        </w:rPr>
      </w:pPr>
      <w:r w:rsidRPr="00011D02">
        <w:rPr>
          <w:sz w:val="24"/>
          <w:lang w:val="el-GR"/>
        </w:rPr>
        <w:t>–</w:t>
      </w:r>
      <w:r w:rsidRPr="00011D02">
        <w:rPr>
          <w:sz w:val="24"/>
          <w:lang w:val="el-GR"/>
        </w:rPr>
        <w:tab/>
        <w:t>Ψήφισμα του Ευρωπαϊκού Κοινοβουλίου της 8ης Οκτωβρίου 2025 σχετικά με την εκτελεστική απόφαση (ΕΕ) 2025/1898 της Επιτροπής</w:t>
      </w:r>
      <w:r w:rsidR="00D246CB" w:rsidRPr="00D246CB">
        <w:rPr>
          <w:sz w:val="24"/>
          <w:lang w:val="el-GR"/>
        </w:rPr>
        <w:t xml:space="preserve">, </w:t>
      </w:r>
      <w:r w:rsidR="00D246CB">
        <w:rPr>
          <w:sz w:val="24"/>
          <w:lang w:val="el-GR"/>
        </w:rPr>
        <w:t>της 22ας Σεπτεμβρίου 2025,</w:t>
      </w:r>
      <w:r w:rsidRPr="00011D02">
        <w:rPr>
          <w:sz w:val="24"/>
          <w:lang w:val="el-GR"/>
        </w:rPr>
        <w:t xml:space="preserve">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 </w:t>
      </w:r>
      <w:r w:rsidR="00422EE1" w:rsidRPr="00011D02">
        <w:rPr>
          <w:sz w:val="24"/>
          <w:lang w:val="el-GR"/>
        </w:rPr>
        <w:t>(</w:t>
      </w:r>
      <w:r w:rsidR="00422EE1">
        <w:rPr>
          <w:sz w:val="24"/>
          <w:lang w:val="el-GR"/>
        </w:rPr>
        <w:t xml:space="preserve">Κείμενα που εγκρίθηκαν, </w:t>
      </w:r>
      <w:r w:rsidRPr="00011D02">
        <w:rPr>
          <w:sz w:val="24"/>
          <w:lang w:val="el-GR"/>
        </w:rPr>
        <w:t>P10_TA(2025)0222</w:t>
      </w:r>
      <w:r w:rsidR="00422EE1">
        <w:rPr>
          <w:sz w:val="24"/>
          <w:lang w:val="el-GR"/>
        </w:rPr>
        <w:t>)</w:t>
      </w:r>
      <w:r w:rsidRPr="00011D02">
        <w:rPr>
          <w:sz w:val="24"/>
          <w:lang w:val="el-GR"/>
        </w:rPr>
        <w:t>.</w:t>
      </w:r>
    </w:p>
  </w:footnote>
  <w:footnote w:id="5">
    <w:p w14:paraId="5C1BFDD5" w14:textId="1B3E9752" w:rsidR="00B1214D" w:rsidRPr="00011D02" w:rsidRDefault="00B1214D" w:rsidP="00011D02">
      <w:pPr>
        <w:pStyle w:val="FootnoteText"/>
        <w:ind w:left="567" w:hanging="567"/>
        <w:rPr>
          <w:sz w:val="24"/>
          <w:lang w:val="el-GR"/>
        </w:rPr>
      </w:pPr>
      <w:r w:rsidRPr="00011D02">
        <w:rPr>
          <w:rStyle w:val="FootnoteReference"/>
          <w:sz w:val="24"/>
          <w:lang w:val="el-GR"/>
        </w:rPr>
        <w:footnoteRef/>
      </w:r>
      <w:r w:rsidR="00011D02" w:rsidRPr="00011D02">
        <w:rPr>
          <w:sz w:val="24"/>
          <w:lang w:val="el-GR"/>
        </w:rPr>
        <w:t xml:space="preserve"> </w:t>
      </w:r>
      <w:r w:rsidR="00011D02" w:rsidRPr="00011D02">
        <w:rPr>
          <w:sz w:val="24"/>
          <w:lang w:val="el-GR"/>
        </w:rPr>
        <w:tab/>
      </w:r>
      <w:r w:rsidRPr="00011D02">
        <w:rPr>
          <w:sz w:val="24"/>
          <w:lang w:val="el-GR"/>
        </w:rPr>
        <w:t xml:space="preserve">Βλ. </w:t>
      </w:r>
      <w:r w:rsidRPr="00011D02">
        <w:rPr>
          <w:sz w:val="24"/>
          <w:lang w:val="el-GR"/>
        </w:rPr>
        <w:t>για παράδειγμα:</w:t>
      </w:r>
      <w:r w:rsidRPr="00011D02">
        <w:rPr>
          <w:sz w:val="24"/>
          <w:lang w:val="el-GR"/>
        </w:rPr>
        <w:br/>
      </w:r>
      <w:hyperlink r:id="rId14" w:history="1">
        <w:r w:rsidRPr="00011D02">
          <w:rPr>
            <w:rStyle w:val="Hyperlink"/>
            <w:sz w:val="24"/>
            <w:lang w:val="el-GR"/>
          </w:rPr>
          <w:t>https://www.sciencedirect.com/science/article/pii/S1383574218300887</w:t>
        </w:r>
      </w:hyperlink>
      <w:r w:rsidRPr="00011D02">
        <w:rPr>
          <w:sz w:val="24"/>
          <w:lang w:val="el-GR"/>
        </w:rPr>
        <w:t>,</w:t>
      </w:r>
      <w:r w:rsidRPr="00011D02">
        <w:rPr>
          <w:sz w:val="24"/>
          <w:lang w:val="el-GR"/>
        </w:rPr>
        <w:br/>
      </w:r>
      <w:hyperlink r:id="rId15" w:history="1">
        <w:r w:rsidRPr="00011D02">
          <w:rPr>
            <w:rStyle w:val="Hyperlink"/>
            <w:sz w:val="24"/>
            <w:lang w:val="el-GR"/>
          </w:rPr>
          <w:t>https://academic.oup.com/ije/advance-article/doi/10.1093/ije/dyz017/5382278</w:t>
        </w:r>
      </w:hyperlink>
      <w:r w:rsidRPr="00011D02">
        <w:rPr>
          <w:sz w:val="24"/>
          <w:lang w:val="el-GR"/>
        </w:rPr>
        <w:t>,</w:t>
      </w:r>
      <w:r w:rsidRPr="00011D02">
        <w:rPr>
          <w:sz w:val="24"/>
          <w:lang w:val="el-GR"/>
        </w:rPr>
        <w:br/>
      </w:r>
      <w:hyperlink r:id="rId16" w:history="1">
        <w:r w:rsidRPr="00011D02">
          <w:rPr>
            <w:rStyle w:val="Hyperlink"/>
            <w:sz w:val="24"/>
            <w:lang w:val="el-GR"/>
          </w:rPr>
          <w:t>https://journals.plos.org/plosone/article?id=10.1371/journal.pone.0219610</w:t>
        </w:r>
      </w:hyperlink>
      <w:r w:rsidRPr="00011D02">
        <w:rPr>
          <w:sz w:val="24"/>
          <w:lang w:val="el-GR"/>
        </w:rPr>
        <w:t xml:space="preserve"> και</w:t>
      </w:r>
      <w:r w:rsidRPr="00011D02">
        <w:rPr>
          <w:sz w:val="24"/>
          <w:lang w:val="el-GR"/>
        </w:rPr>
        <w:br/>
      </w:r>
      <w:hyperlink r:id="rId17" w:history="1">
        <w:r w:rsidRPr="00011D02">
          <w:rPr>
            <w:rStyle w:val="Hyperlink"/>
            <w:sz w:val="24"/>
            <w:lang w:val="el-GR"/>
          </w:rPr>
          <w:t>https://www.ncbi.nlm.nih.gov/pmc/articles/PMC6612199/</w:t>
        </w:r>
      </w:hyperlink>
      <w:r w:rsidRPr="00011D02">
        <w:rPr>
          <w:sz w:val="24"/>
          <w:lang w:val="el-GR"/>
        </w:rPr>
        <w:t>.</w:t>
      </w:r>
    </w:p>
  </w:footnote>
  <w:footnote w:id="6">
    <w:p w14:paraId="38E5AE12" w14:textId="1E3FB6EB" w:rsidR="00B1214D" w:rsidRPr="00011D02" w:rsidRDefault="00B1214D" w:rsidP="00011D02">
      <w:pPr>
        <w:pStyle w:val="FootnoteText"/>
        <w:ind w:left="567" w:hanging="567"/>
        <w:rPr>
          <w:sz w:val="24"/>
          <w:lang w:val="el-GR"/>
        </w:rPr>
      </w:pPr>
      <w:r w:rsidRPr="00011D02">
        <w:rPr>
          <w:rStyle w:val="FootnoteReference"/>
          <w:sz w:val="24"/>
          <w:lang w:val="el-GR"/>
        </w:rPr>
        <w:footnoteRef/>
      </w:r>
      <w:r w:rsidR="00011D02" w:rsidRPr="00011D02">
        <w:rPr>
          <w:sz w:val="24"/>
          <w:lang w:val="el-GR"/>
        </w:rPr>
        <w:t xml:space="preserve"> </w:t>
      </w:r>
      <w:r w:rsidR="00011D02" w:rsidRPr="00011D02">
        <w:rPr>
          <w:sz w:val="24"/>
          <w:lang w:val="el-GR"/>
        </w:rPr>
        <w:tab/>
      </w:r>
      <w:r w:rsidRPr="00011D02">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011D02">
        <w:rPr>
          <w:sz w:val="24"/>
          <w:lang w:val="el-GR"/>
        </w:rPr>
        <w:t>1, ELI: </w:t>
      </w:r>
      <w:hyperlink r:id="rId18" w:tgtFrame="Gives%20access%20to%20this%20document%20through%20its%20ELI%20URI." w:history="1">
        <w:r w:rsidRPr="00011D02">
          <w:rPr>
            <w:rStyle w:val="Hyperlink"/>
            <w:sz w:val="24"/>
            <w:lang w:val="el-GR"/>
          </w:rPr>
          <w:t>http://data.europa.eu/eli/reg/2002/178/oj</w:t>
        </w:r>
      </w:hyperlink>
      <w:r w:rsidRPr="00011D02">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0C8A9" w14:textId="77777777" w:rsidR="00064002" w:rsidRPr="00011D0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56EB8" w14:textId="77777777" w:rsidR="00064002" w:rsidRPr="00011D0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D290E" w14:textId="77777777" w:rsidR="00064002" w:rsidRPr="00011D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3645CC6"/>
    <w:multiLevelType w:val="hybridMultilevel"/>
    <w:tmpl w:val="D250EC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9F145BC"/>
    <w:multiLevelType w:val="hybridMultilevel"/>
    <w:tmpl w:val="883496E2"/>
    <w:lvl w:ilvl="0" w:tplc="25DA9CB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0747814">
    <w:abstractNumId w:val="9"/>
  </w:num>
  <w:num w:numId="2" w16cid:durableId="101146381">
    <w:abstractNumId w:val="9"/>
  </w:num>
  <w:num w:numId="3" w16cid:durableId="2039430235">
    <w:abstractNumId w:val="7"/>
  </w:num>
  <w:num w:numId="4" w16cid:durableId="2024626326">
    <w:abstractNumId w:val="7"/>
  </w:num>
  <w:num w:numId="5" w16cid:durableId="520051274">
    <w:abstractNumId w:val="6"/>
  </w:num>
  <w:num w:numId="6" w16cid:durableId="349575796">
    <w:abstractNumId w:val="6"/>
  </w:num>
  <w:num w:numId="7" w16cid:durableId="189733491">
    <w:abstractNumId w:val="5"/>
  </w:num>
  <w:num w:numId="8" w16cid:durableId="1364936438">
    <w:abstractNumId w:val="5"/>
  </w:num>
  <w:num w:numId="9" w16cid:durableId="1584801837">
    <w:abstractNumId w:val="4"/>
  </w:num>
  <w:num w:numId="10" w16cid:durableId="708260040">
    <w:abstractNumId w:val="4"/>
  </w:num>
  <w:num w:numId="11" w16cid:durableId="1692336852">
    <w:abstractNumId w:val="8"/>
  </w:num>
  <w:num w:numId="12" w16cid:durableId="762607098">
    <w:abstractNumId w:val="8"/>
  </w:num>
  <w:num w:numId="13" w16cid:durableId="457529066">
    <w:abstractNumId w:val="3"/>
  </w:num>
  <w:num w:numId="14" w16cid:durableId="1687557516">
    <w:abstractNumId w:val="3"/>
  </w:num>
  <w:num w:numId="15" w16cid:durableId="100423501">
    <w:abstractNumId w:val="2"/>
  </w:num>
  <w:num w:numId="16" w16cid:durableId="89160119">
    <w:abstractNumId w:val="2"/>
  </w:num>
  <w:num w:numId="17" w16cid:durableId="1675374257">
    <w:abstractNumId w:val="1"/>
  </w:num>
  <w:num w:numId="18" w16cid:durableId="1409308095">
    <w:abstractNumId w:val="1"/>
  </w:num>
  <w:num w:numId="19" w16cid:durableId="341011982">
    <w:abstractNumId w:val="0"/>
  </w:num>
  <w:num w:numId="20" w16cid:durableId="1865629970">
    <w:abstractNumId w:val="0"/>
  </w:num>
  <w:num w:numId="21" w16cid:durableId="1161390180">
    <w:abstractNumId w:val="9"/>
  </w:num>
  <w:num w:numId="22" w16cid:durableId="899025686">
    <w:abstractNumId w:val="7"/>
  </w:num>
  <w:num w:numId="23" w16cid:durableId="1118378527">
    <w:abstractNumId w:val="6"/>
  </w:num>
  <w:num w:numId="24" w16cid:durableId="1496146010">
    <w:abstractNumId w:val="5"/>
  </w:num>
  <w:num w:numId="25" w16cid:durableId="438645712">
    <w:abstractNumId w:val="4"/>
  </w:num>
  <w:num w:numId="26" w16cid:durableId="59253996">
    <w:abstractNumId w:val="8"/>
  </w:num>
  <w:num w:numId="27" w16cid:durableId="1817600650">
    <w:abstractNumId w:val="3"/>
  </w:num>
  <w:num w:numId="28" w16cid:durableId="2080859583">
    <w:abstractNumId w:val="2"/>
  </w:num>
  <w:num w:numId="29" w16cid:durableId="363409555">
    <w:abstractNumId w:val="1"/>
  </w:num>
  <w:num w:numId="30" w16cid:durableId="1910648341">
    <w:abstractNumId w:val="0"/>
  </w:num>
  <w:num w:numId="31" w16cid:durableId="692346940">
    <w:abstractNumId w:val="9"/>
  </w:num>
  <w:num w:numId="32" w16cid:durableId="232280765">
    <w:abstractNumId w:val="7"/>
  </w:num>
  <w:num w:numId="33" w16cid:durableId="387192919">
    <w:abstractNumId w:val="6"/>
  </w:num>
  <w:num w:numId="34" w16cid:durableId="660162408">
    <w:abstractNumId w:val="5"/>
  </w:num>
  <w:num w:numId="35" w16cid:durableId="1527476657">
    <w:abstractNumId w:val="4"/>
  </w:num>
  <w:num w:numId="36" w16cid:durableId="779036045">
    <w:abstractNumId w:val="8"/>
  </w:num>
  <w:num w:numId="37" w16cid:durableId="1075972560">
    <w:abstractNumId w:val="3"/>
  </w:num>
  <w:num w:numId="38" w16cid:durableId="218640479">
    <w:abstractNumId w:val="2"/>
  </w:num>
  <w:num w:numId="39" w16cid:durableId="767386525">
    <w:abstractNumId w:val="1"/>
  </w:num>
  <w:num w:numId="40" w16cid:durableId="133064894">
    <w:abstractNumId w:val="0"/>
  </w:num>
  <w:num w:numId="41" w16cid:durableId="1855076332">
    <w:abstractNumId w:val="10"/>
  </w:num>
  <w:num w:numId="42" w16cid:durableId="246547994">
    <w:abstractNumId w:val="10"/>
  </w:num>
  <w:num w:numId="43" w16cid:durableId="535435875">
    <w:abstractNumId w:val="10"/>
  </w:num>
  <w:num w:numId="44" w16cid:durableId="1717656037">
    <w:abstractNumId w:val="11"/>
  </w:num>
  <w:num w:numId="45" w16cid:durableId="761685020">
    <w:abstractNumId w:val="12"/>
  </w:num>
  <w:num w:numId="46" w16cid:durableId="675824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EL"/>
    <w:docVar w:name="dvnumam" w:val="0"/>
    <w:docVar w:name="dvpe" w:val="778.111"/>
    <w:docVar w:name="dvtitre" w:val="Ψήφισμα του Ευρωπαϊκού Κοινοβουλίου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AS1131, σύμφωνα με τον κανονισμό (ΕΚ) αριθ. 1829/2003 του Ευρωπαϊκού Κοινοβουλίου και του Συμβουλίου(D109630/01 – 2025/2893(RSP))"/>
  </w:docVars>
  <w:rsids>
    <w:rsidRoot w:val="00CC2E35"/>
    <w:rsid w:val="00002272"/>
    <w:rsid w:val="00011D02"/>
    <w:rsid w:val="00057E2D"/>
    <w:rsid w:val="00064002"/>
    <w:rsid w:val="000677B9"/>
    <w:rsid w:val="000831BA"/>
    <w:rsid w:val="000A42CC"/>
    <w:rsid w:val="000E7DD9"/>
    <w:rsid w:val="000F2889"/>
    <w:rsid w:val="0010095E"/>
    <w:rsid w:val="00125B37"/>
    <w:rsid w:val="0012667C"/>
    <w:rsid w:val="00187494"/>
    <w:rsid w:val="001F32AE"/>
    <w:rsid w:val="002767FF"/>
    <w:rsid w:val="002B18FE"/>
    <w:rsid w:val="002B5493"/>
    <w:rsid w:val="00343214"/>
    <w:rsid w:val="00361C00"/>
    <w:rsid w:val="003823B5"/>
    <w:rsid w:val="00395FA1"/>
    <w:rsid w:val="003D05A0"/>
    <w:rsid w:val="003E15D4"/>
    <w:rsid w:val="00411CCE"/>
    <w:rsid w:val="0041666E"/>
    <w:rsid w:val="00421060"/>
    <w:rsid w:val="00422EE1"/>
    <w:rsid w:val="00471C19"/>
    <w:rsid w:val="004867E3"/>
    <w:rsid w:val="00494A28"/>
    <w:rsid w:val="004C0004"/>
    <w:rsid w:val="004C5D52"/>
    <w:rsid w:val="004E1DC8"/>
    <w:rsid w:val="0050519A"/>
    <w:rsid w:val="005072A1"/>
    <w:rsid w:val="00514517"/>
    <w:rsid w:val="00545827"/>
    <w:rsid w:val="0055592B"/>
    <w:rsid w:val="00560270"/>
    <w:rsid w:val="005C2568"/>
    <w:rsid w:val="005F1B17"/>
    <w:rsid w:val="006037C0"/>
    <w:rsid w:val="006631B6"/>
    <w:rsid w:val="00680577"/>
    <w:rsid w:val="006F74FA"/>
    <w:rsid w:val="00726A3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14D"/>
    <w:rsid w:val="00B12E95"/>
    <w:rsid w:val="00B22876"/>
    <w:rsid w:val="00B558F0"/>
    <w:rsid w:val="00BD48FE"/>
    <w:rsid w:val="00BD7BD8"/>
    <w:rsid w:val="00BE6ADC"/>
    <w:rsid w:val="00C05BFE"/>
    <w:rsid w:val="00C23CD4"/>
    <w:rsid w:val="00C61C0C"/>
    <w:rsid w:val="00C941CB"/>
    <w:rsid w:val="00CC2357"/>
    <w:rsid w:val="00CC2E35"/>
    <w:rsid w:val="00CF071A"/>
    <w:rsid w:val="00D058B8"/>
    <w:rsid w:val="00D246CB"/>
    <w:rsid w:val="00D36D6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F9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9F017"/>
  <w15:chartTrackingRefBased/>
  <w15:docId w15:val="{62122B0D-EAF4-43C5-96BB-E17BD4C58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B1214D"/>
    <w:pPr>
      <w:spacing w:before="480" w:after="240"/>
    </w:pPr>
  </w:style>
  <w:style w:type="paragraph" w:customStyle="1" w:styleId="NormalBold12a">
    <w:name w:val="NormalBold12a"/>
    <w:basedOn w:val="Normal"/>
    <w:qFormat/>
    <w:rsid w:val="00B1214D"/>
    <w:pPr>
      <w:spacing w:after="240"/>
    </w:pPr>
    <w:rPr>
      <w:b/>
    </w:rPr>
  </w:style>
  <w:style w:type="paragraph" w:customStyle="1" w:styleId="NormalHanging12a">
    <w:name w:val="NormalHanging12a"/>
    <w:basedOn w:val="Normal"/>
    <w:qFormat/>
    <w:rsid w:val="00B1214D"/>
    <w:pPr>
      <w:spacing w:after="240"/>
      <w:ind w:left="567" w:hanging="567"/>
    </w:pPr>
  </w:style>
  <w:style w:type="character" w:styleId="Hyperlink">
    <w:name w:val="Hyperlink"/>
    <w:basedOn w:val="DefaultParagraphFont"/>
    <w:uiPriority w:val="99"/>
    <w:rsid w:val="00B1214D"/>
    <w:rPr>
      <w:color w:val="0563C1" w:themeColor="hyperlink"/>
      <w:u w:val="single"/>
    </w:rPr>
  </w:style>
  <w:style w:type="character" w:customStyle="1" w:styleId="Funotenzeichen">
    <w:name w:val="Fußnotenzeichen"/>
    <w:basedOn w:val="DefaultParagraphFont"/>
    <w:qFormat/>
    <w:rsid w:val="00B1214D"/>
    <w:rPr>
      <w:vertAlign w:val="superscript"/>
    </w:rPr>
  </w:style>
  <w:style w:type="paragraph" w:styleId="ListParagraph">
    <w:name w:val="List Paragraph"/>
    <w:basedOn w:val="Normal"/>
    <w:uiPriority w:val="34"/>
    <w:qFormat/>
    <w:rsid w:val="003823B5"/>
    <w:pPr>
      <w:ind w:left="720"/>
      <w:contextualSpacing/>
    </w:pPr>
  </w:style>
  <w:style w:type="paragraph" w:styleId="Revision">
    <w:name w:val="Revision"/>
    <w:hidden/>
    <w:uiPriority w:val="99"/>
    <w:semiHidden/>
    <w:rsid w:val="003823B5"/>
    <w:rPr>
      <w:sz w:val="24"/>
      <w:lang w:val="el-GR"/>
    </w:rPr>
  </w:style>
  <w:style w:type="character" w:styleId="FollowedHyperlink">
    <w:name w:val="FollowedHyperlink"/>
    <w:basedOn w:val="DefaultParagraphFont"/>
    <w:rsid w:val="00057E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1198</Words>
  <Characters>7283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SAVVIDOU Viktoria</cp:lastModifiedBy>
  <cp:revision>2</cp:revision>
  <cp:lastPrinted>2004-11-19T15:42:00Z</cp:lastPrinted>
  <dcterms:created xsi:type="dcterms:W3CDTF">2026-01-21T12:14:00Z</dcterms:created>
  <dcterms:modified xsi:type="dcterms:W3CDTF">2026-01-21T12:14:00Z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B10-0489/2025</vt:lpwstr>
  </property>
  <property fmtid="{D5CDD505-2E9C-101B-9397-08002B2CF9AE}" pid="4" name="&lt;Type&gt;">
    <vt:lpwstr>RR</vt:lpwstr>
  </property>
</Properties>
</file>