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6AB7" w14:paraId="6FE1C691" w14:textId="77777777" w:rsidTr="0010095E">
        <w:trPr>
          <w:trHeight w:hRule="exact" w:val="1418"/>
        </w:trPr>
        <w:tc>
          <w:tcPr>
            <w:tcW w:w="6804" w:type="dxa"/>
            <w:shd w:val="clear" w:color="auto" w:fill="auto"/>
            <w:vAlign w:val="center"/>
          </w:tcPr>
          <w:p w14:paraId="17D336BF" w14:textId="77777777" w:rsidR="00751A4A" w:rsidRPr="00AC6AB7" w:rsidRDefault="009A1AA3" w:rsidP="0010095E">
            <w:pPr>
              <w:pStyle w:val="EPName"/>
            </w:pPr>
            <w:r w:rsidRPr="00AC6AB7">
              <w:t>Parlement européen</w:t>
            </w:r>
          </w:p>
          <w:p w14:paraId="1CE7F848" w14:textId="77777777" w:rsidR="00751A4A" w:rsidRPr="00AC6AB7" w:rsidRDefault="005F1B17" w:rsidP="005F1B17">
            <w:pPr>
              <w:pStyle w:val="EPTerm"/>
              <w:rPr>
                <w:rStyle w:val="HideTWBExt"/>
                <w:noProof w:val="0"/>
                <w:vanish w:val="0"/>
                <w:color w:val="auto"/>
              </w:rPr>
            </w:pPr>
            <w:r w:rsidRPr="00AC6AB7">
              <w:t>2024</w:t>
            </w:r>
            <w:r w:rsidR="00817416" w:rsidRPr="00AC6AB7">
              <w:t>-202</w:t>
            </w:r>
            <w:r w:rsidRPr="00AC6AB7">
              <w:t>9</w:t>
            </w:r>
          </w:p>
        </w:tc>
        <w:tc>
          <w:tcPr>
            <w:tcW w:w="2268" w:type="dxa"/>
            <w:shd w:val="clear" w:color="auto" w:fill="auto"/>
          </w:tcPr>
          <w:p w14:paraId="0A2CB328" w14:textId="77777777" w:rsidR="00751A4A" w:rsidRPr="00AC6AB7" w:rsidRDefault="00187494" w:rsidP="0010095E">
            <w:pPr>
              <w:pStyle w:val="EPLogo"/>
            </w:pPr>
            <w:r w:rsidRPr="00AC6AB7">
              <w:rPr>
                <w:noProof/>
                <w:lang w:eastAsia="ja-JP"/>
              </w:rPr>
              <w:drawing>
                <wp:inline distT="0" distB="0" distL="0" distR="0" wp14:anchorId="59572220" wp14:editId="7EC518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8B9BFE" w14:textId="77777777" w:rsidR="00D058B8" w:rsidRPr="00AC6AB7" w:rsidRDefault="00D058B8" w:rsidP="004C5D52">
      <w:pPr>
        <w:pStyle w:val="LineTop"/>
      </w:pPr>
    </w:p>
    <w:p w14:paraId="5DEC27BA" w14:textId="77777777" w:rsidR="00680577" w:rsidRPr="00AC6AB7" w:rsidRDefault="009A1AA3" w:rsidP="00680577">
      <w:pPr>
        <w:pStyle w:val="EPBodyTA1"/>
      </w:pPr>
      <w:r w:rsidRPr="00AC6AB7">
        <w:t>TEXTES ADOPTÉS</w:t>
      </w:r>
    </w:p>
    <w:p w14:paraId="47BCFD36" w14:textId="77777777" w:rsidR="00D058B8" w:rsidRPr="00AC6AB7" w:rsidRDefault="00D058B8" w:rsidP="00D058B8">
      <w:pPr>
        <w:pStyle w:val="LineBottom"/>
      </w:pPr>
    </w:p>
    <w:p w14:paraId="384AD703" w14:textId="3375E0BF" w:rsidR="009A1AA3" w:rsidRPr="00AC6AB7" w:rsidRDefault="009A1AA3" w:rsidP="009A1AA3">
      <w:pPr>
        <w:pStyle w:val="ATHeading1"/>
      </w:pPr>
      <w:bookmarkStart w:id="0" w:name="TANumber"/>
      <w:r w:rsidRPr="00AC6AB7">
        <w:t>P10_TA(2025)0</w:t>
      </w:r>
      <w:r w:rsidR="00F07528">
        <w:t>288</w:t>
      </w:r>
      <w:bookmarkEnd w:id="0"/>
    </w:p>
    <w:p w14:paraId="2A275220" w14:textId="734DD148" w:rsidR="009A1AA3" w:rsidRPr="00AC6AB7" w:rsidRDefault="001F5AF2" w:rsidP="009A1AA3">
      <w:pPr>
        <w:pStyle w:val="ATHeading2"/>
      </w:pPr>
      <w:bookmarkStart w:id="1" w:name="title"/>
      <w:r>
        <w:t>M</w:t>
      </w:r>
      <w:r w:rsidRPr="001F5AF2">
        <w:t>aïs génétiquement modifié DAS1131</w:t>
      </w:r>
      <w:bookmarkEnd w:id="1"/>
    </w:p>
    <w:p w14:paraId="41866CC4" w14:textId="77777777" w:rsidR="009A1AA3" w:rsidRPr="00AC6AB7" w:rsidRDefault="009A1AA3" w:rsidP="009A1AA3">
      <w:pPr>
        <w:rPr>
          <w:i/>
          <w:vanish/>
        </w:rPr>
      </w:pPr>
      <w:r w:rsidRPr="00AC6AB7">
        <w:rPr>
          <w:i/>
        </w:rPr>
        <w:fldChar w:fldCharType="begin"/>
      </w:r>
      <w:r w:rsidRPr="00AC6AB7">
        <w:rPr>
          <w:i/>
        </w:rPr>
        <w:instrText xml:space="preserve"> TC"(</w:instrText>
      </w:r>
      <w:bookmarkStart w:id="2" w:name="DocNumber"/>
      <w:r w:rsidRPr="00AC6AB7">
        <w:rPr>
          <w:i/>
        </w:rPr>
        <w:instrText>B10-0489/2025</w:instrText>
      </w:r>
      <w:bookmarkEnd w:id="2"/>
      <w:r w:rsidRPr="00AC6AB7">
        <w:rPr>
          <w:i/>
        </w:rPr>
        <w:instrText xml:space="preserve">)"\l3 \n&gt; \* MERGEFORMAT </w:instrText>
      </w:r>
      <w:r w:rsidRPr="00AC6AB7">
        <w:rPr>
          <w:i/>
        </w:rPr>
        <w:fldChar w:fldCharType="end"/>
      </w:r>
    </w:p>
    <w:p w14:paraId="5D077E8E" w14:textId="77777777" w:rsidR="009A1AA3" w:rsidRPr="00AC6AB7" w:rsidRDefault="009A1AA3" w:rsidP="009A1AA3">
      <w:pPr>
        <w:rPr>
          <w:vanish/>
        </w:rPr>
      </w:pPr>
      <w:bookmarkStart w:id="3" w:name="PE"/>
      <w:r w:rsidRPr="00AC6AB7">
        <w:rPr>
          <w:vanish/>
        </w:rPr>
        <w:t>PE778.111</w:t>
      </w:r>
      <w:bookmarkEnd w:id="3"/>
    </w:p>
    <w:p w14:paraId="038F083F" w14:textId="3203013F" w:rsidR="009A1AA3" w:rsidRPr="00AC6AB7" w:rsidRDefault="009A1AA3" w:rsidP="009A1AA3">
      <w:pPr>
        <w:pStyle w:val="ATHeading3"/>
      </w:pPr>
      <w:bookmarkStart w:id="4" w:name="Sujet"/>
      <w:r w:rsidRPr="00AC6AB7">
        <w:t xml:space="preserve">Résolution du Parlement européen du </w:t>
      </w:r>
      <w:r w:rsidR="001F5AF2">
        <w:t>25 novembre</w:t>
      </w:r>
      <w:r w:rsidRPr="00AC6AB7">
        <w:t xml:space="preserve"> 2025 sur le projet de décision d’exécution de la Commission autorisant la mise sur le marché de produits contenant du maïs génétiquement modifié DAS1131, consistant en ce maïs ou produits à partir de celui-ci, en application du règlement (CE) nº 1829/2003 du Parlement européen et du Conseil</w:t>
      </w:r>
      <w:bookmarkEnd w:id="4"/>
      <w:r w:rsidRPr="00AC6AB7">
        <w:t xml:space="preserve"> </w:t>
      </w:r>
      <w:bookmarkStart w:id="5" w:name="References"/>
      <w:r w:rsidRPr="00AC6AB7">
        <w:t>(D109630/01 – 2025/2893(RSP))</w:t>
      </w:r>
      <w:bookmarkEnd w:id="5"/>
    </w:p>
    <w:p w14:paraId="2780B9B1" w14:textId="77777777" w:rsidR="004316E1" w:rsidRPr="00AC6AB7" w:rsidRDefault="004316E1" w:rsidP="004316E1">
      <w:pPr>
        <w:pStyle w:val="EPComma"/>
      </w:pPr>
      <w:bookmarkStart w:id="6" w:name="TextBodyBegin"/>
      <w:bookmarkEnd w:id="6"/>
      <w:r w:rsidRPr="00AC6AB7">
        <w:rPr>
          <w:i/>
        </w:rPr>
        <w:t>Le Parlement européen</w:t>
      </w:r>
      <w:r w:rsidRPr="00AC6AB7">
        <w:t>,</w:t>
      </w:r>
    </w:p>
    <w:p w14:paraId="106090A6" w14:textId="77777777" w:rsidR="004316E1" w:rsidRPr="00AC6AB7" w:rsidRDefault="004316E1" w:rsidP="004316E1">
      <w:pPr>
        <w:pStyle w:val="NormalHanging12a"/>
      </w:pPr>
      <w:r w:rsidRPr="00AC6AB7">
        <w:t>–</w:t>
      </w:r>
      <w:r w:rsidRPr="00AC6AB7">
        <w:tab/>
        <w:t>vu le projet de décision d’exécution de la Commission autorisant la mise sur le marché de produits contenant du maïs génétiquement modifié DAS1131 consistant en ce maïs ou produits à partir de celui-ci, en application du règlement (CE) nº 1829/2003 du Parlement européen et du Conseil (D109630/01),</w:t>
      </w:r>
    </w:p>
    <w:p w14:paraId="6399DF82" w14:textId="77777777" w:rsidR="004316E1" w:rsidRPr="00AC6AB7" w:rsidRDefault="004316E1" w:rsidP="004316E1">
      <w:pPr>
        <w:pStyle w:val="NormalHanging12a"/>
      </w:pPr>
      <w:r w:rsidRPr="00AC6AB7">
        <w:t>–</w:t>
      </w:r>
      <w:r w:rsidRPr="00AC6AB7">
        <w:tab/>
        <w:t>vu le règlement (CE) nº 1829/2003 du Parlement européen et du Conseil du 22 septembre 2003 concernant les denrées alimentaires et les aliments pour animaux génétiquement modifiés</w:t>
      </w:r>
      <w:r w:rsidRPr="00AC6AB7">
        <w:rPr>
          <w:rStyle w:val="FootnoteReference"/>
        </w:rPr>
        <w:footnoteReference w:id="1"/>
      </w:r>
      <w:r w:rsidRPr="00AC6AB7">
        <w:t>, et notamment son article 7, paragraphe 3, et son article 19, paragraphe 3,</w:t>
      </w:r>
    </w:p>
    <w:p w14:paraId="531E4D65" w14:textId="48E8CC47" w:rsidR="001F5AF2" w:rsidRPr="00B763A5" w:rsidRDefault="004316E1" w:rsidP="001F5AF2">
      <w:pPr>
        <w:pStyle w:val="NormalHanging12a"/>
      </w:pPr>
      <w:r w:rsidRPr="00AC6AB7">
        <w:t>–</w:t>
      </w:r>
      <w:r w:rsidRPr="00AC6AB7">
        <w:tab/>
        <w:t>vu que le comité permanent des végétaux, des animaux, des denrées alimentaires et des aliments pour animaux, visé à l’article 35 du règlement (CE) nº 1829/2003, a décidé, par vote du 15 septembre 2025, de ne pas rendre d’avis,</w:t>
      </w:r>
      <w:r w:rsidR="001F5AF2">
        <w:t xml:space="preserve"> </w:t>
      </w:r>
      <w:r w:rsidR="007E470F" w:rsidRPr="008152C8">
        <w:t>et le vote du comité d'appel</w:t>
      </w:r>
      <w:r w:rsidR="007E470F">
        <w:t xml:space="preserve">, </w:t>
      </w:r>
      <w:r w:rsidR="001F5AF2" w:rsidRPr="008152C8">
        <w:t>le 21 octobre 2025, au cours duquel, là encore, aucun avis n'a été rendu,</w:t>
      </w:r>
    </w:p>
    <w:p w14:paraId="735D7922" w14:textId="77777777" w:rsidR="004316E1" w:rsidRPr="00AC6AB7" w:rsidRDefault="004316E1" w:rsidP="004316E1">
      <w:pPr>
        <w:pStyle w:val="NormalHanging12a"/>
        <w:widowControl/>
        <w:rPr>
          <w:szCs w:val="24"/>
        </w:rPr>
      </w:pPr>
      <w:r w:rsidRPr="00AC6AB7">
        <w:t>–</w:t>
      </w:r>
      <w:r w:rsidRPr="00AC6AB7">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bookmarkStart w:id="7" w:name="_Hlk210662860"/>
      <w:r w:rsidRPr="00AC6AB7">
        <w:rPr>
          <w:rStyle w:val="FootnoteReference"/>
          <w:szCs w:val="24"/>
        </w:rPr>
        <w:footnoteReference w:id="2"/>
      </w:r>
      <w:bookmarkEnd w:id="7"/>
      <w:r w:rsidRPr="00AC6AB7">
        <w:t>,</w:t>
      </w:r>
    </w:p>
    <w:p w14:paraId="63FD12F2" w14:textId="77777777" w:rsidR="004316E1" w:rsidRPr="00AC6AB7" w:rsidRDefault="004316E1" w:rsidP="004316E1">
      <w:pPr>
        <w:pStyle w:val="NormalHanging12a"/>
        <w:widowControl/>
      </w:pPr>
      <w:bookmarkStart w:id="9" w:name="_Hlk210663128"/>
      <w:r w:rsidRPr="00AC6AB7">
        <w:lastRenderedPageBreak/>
        <w:t>–</w:t>
      </w:r>
      <w:r w:rsidRPr="00AC6AB7">
        <w:tab/>
        <w:t>vu l’avis adopté par l’Autorité européenne de sécurité des aliments (EFSA) le 5 février 2025 et publié le 19 mars 2025</w:t>
      </w:r>
      <w:r w:rsidRPr="00AC6AB7">
        <w:rPr>
          <w:rStyle w:val="FootnoteReference"/>
          <w:szCs w:val="24"/>
        </w:rPr>
        <w:footnoteReference w:id="3"/>
      </w:r>
      <w:r w:rsidRPr="00AC6AB7">
        <w:t>,</w:t>
      </w:r>
    </w:p>
    <w:bookmarkEnd w:id="9"/>
    <w:p w14:paraId="7ECCC905" w14:textId="77777777" w:rsidR="004316E1" w:rsidRPr="00AC6AB7" w:rsidRDefault="004316E1" w:rsidP="004316E1">
      <w:pPr>
        <w:pStyle w:val="NormalHanging12a"/>
      </w:pPr>
      <w:r w:rsidRPr="00AC6AB7">
        <w:t xml:space="preserve">– </w:t>
      </w:r>
      <w:r w:rsidRPr="00AC6AB7">
        <w:tab/>
        <w:t>vu ses résolutions précédentes s’opposant à l’autorisation d’organismes génétiquement modifiés (ci-après «OGM»)</w:t>
      </w:r>
      <w:r w:rsidRPr="00AC6AB7">
        <w:rPr>
          <w:rStyle w:val="FootnoteReference"/>
        </w:rPr>
        <w:footnoteReference w:id="4"/>
      </w:r>
      <w:r w:rsidRPr="00AC6AB7">
        <w:t>,</w:t>
      </w:r>
    </w:p>
    <w:p w14:paraId="1148AF5E" w14:textId="77777777" w:rsidR="004316E1" w:rsidRPr="00AC6AB7" w:rsidRDefault="004316E1" w:rsidP="004316E1">
      <w:pPr>
        <w:pStyle w:val="NormalHanging12a"/>
      </w:pPr>
      <w:r w:rsidRPr="00AC6AB7">
        <w:lastRenderedPageBreak/>
        <w:t>–</w:t>
      </w:r>
      <w:r w:rsidRPr="00AC6AB7">
        <w:tab/>
        <w:t>vu l’article 115, paragraphes 2 et 3, de son règlement intérieur,</w:t>
      </w:r>
    </w:p>
    <w:p w14:paraId="2C7C6804" w14:textId="77777777" w:rsidR="004316E1" w:rsidRPr="00AC6AB7" w:rsidRDefault="004316E1" w:rsidP="004316E1">
      <w:pPr>
        <w:pStyle w:val="NormalHanging12a"/>
      </w:pPr>
      <w:r w:rsidRPr="00AC6AB7">
        <w:t>–</w:t>
      </w:r>
      <w:r w:rsidRPr="00AC6AB7">
        <w:tab/>
        <w:t>vu la proposition de résolution de la commission de l’environnement, du climat et de la sécurité alimentaire,</w:t>
      </w:r>
    </w:p>
    <w:p w14:paraId="3BAF2424" w14:textId="77777777" w:rsidR="004316E1" w:rsidRPr="00AC6AB7" w:rsidRDefault="004316E1" w:rsidP="004316E1">
      <w:pPr>
        <w:spacing w:after="240"/>
        <w:ind w:left="567" w:hanging="567"/>
      </w:pPr>
      <w:r w:rsidRPr="00AC6AB7">
        <w:t>A.</w:t>
      </w:r>
      <w:r w:rsidRPr="00AC6AB7">
        <w:tab/>
        <w:t xml:space="preserve">considérant que le 17 juin 2022, la société </w:t>
      </w:r>
      <w:proofErr w:type="spellStart"/>
      <w:r w:rsidRPr="00AC6AB7">
        <w:t>Corteva</w:t>
      </w:r>
      <w:proofErr w:type="spellEnd"/>
      <w:r w:rsidRPr="00AC6AB7">
        <w:t xml:space="preserve"> </w:t>
      </w:r>
      <w:proofErr w:type="spellStart"/>
      <w:r w:rsidRPr="00AC6AB7">
        <w:t>Agriscience</w:t>
      </w:r>
      <w:proofErr w:type="spellEnd"/>
      <w:r w:rsidRPr="00AC6AB7">
        <w:t xml:space="preserve"> </w:t>
      </w:r>
      <w:proofErr w:type="spellStart"/>
      <w:r w:rsidRPr="00AC6AB7">
        <w:t>Belgium</w:t>
      </w:r>
      <w:proofErr w:type="spellEnd"/>
      <w:r w:rsidRPr="00AC6AB7">
        <w:t xml:space="preserve"> B.V., établie en Belgique, agissant au nom de </w:t>
      </w:r>
      <w:proofErr w:type="spellStart"/>
      <w:r w:rsidRPr="00AC6AB7">
        <w:t>Corteva</w:t>
      </w:r>
      <w:proofErr w:type="spellEnd"/>
      <w:r w:rsidRPr="00AC6AB7">
        <w:t xml:space="preserve"> </w:t>
      </w:r>
      <w:proofErr w:type="spellStart"/>
      <w:r w:rsidRPr="00AC6AB7">
        <w:t>Agriscience</w:t>
      </w:r>
      <w:proofErr w:type="spellEnd"/>
      <w:r w:rsidRPr="00AC6AB7">
        <w:t xml:space="preserve"> LLC, établie aux États-Unis, a soumis à l’autorité nationale compétente des Pays-Bas, conformément aux articles 5 et 17 du règlement (CE) nº 1829/2003, une demande de mise sur le marché de denrées alimentaires, d’ingrédients alimentaires et d’aliments pour animaux contenant du maïs génétiquement modifié DAS1131 (ci-après le «maïs génétiquement modifié») consistant en ce maïs ou produits à partir de celui-ci (ci-après la «demande»); que la demande concernait aussi la mise sur le marché de produits contenant du maïs génétiquement modifié ou consistant en ce maïs et destinés à des usages autres que l’alimentation humaine et animale, à l’exception de la culture;</w:t>
      </w:r>
    </w:p>
    <w:p w14:paraId="490A45E1" w14:textId="77777777" w:rsidR="004316E1" w:rsidRPr="00AC6AB7" w:rsidRDefault="004316E1" w:rsidP="004316E1">
      <w:pPr>
        <w:spacing w:after="240"/>
        <w:ind w:left="567" w:hanging="567"/>
      </w:pPr>
      <w:r w:rsidRPr="00AC6AB7">
        <w:t>B.</w:t>
      </w:r>
      <w:r w:rsidRPr="00AC6AB7">
        <w:tab/>
        <w:t>considérant que le maïs génétiquement modifié produit la protéine Cry1Da2 pour une résistance contre certains lépidoptères nuisibles ainsi que la protéine DGT-28 EPSPS pour une tolérance accrue à l’herbicide glyphosate;</w:t>
      </w:r>
    </w:p>
    <w:p w14:paraId="2A27A98C" w14:textId="77777777" w:rsidR="004316E1" w:rsidRPr="00AC6AB7" w:rsidRDefault="004316E1" w:rsidP="004316E1">
      <w:pPr>
        <w:spacing w:after="240"/>
        <w:ind w:left="567" w:hanging="567"/>
      </w:pPr>
      <w:bookmarkStart w:id="10" w:name="_Hlk210306900"/>
      <w:r w:rsidRPr="00AC6AB7">
        <w:t>C.</w:t>
      </w:r>
      <w:r w:rsidRPr="00AC6AB7">
        <w:tab/>
        <w:t xml:space="preserve">considérant que des questions se posent encore sur le caractère carcinogène du </w:t>
      </w:r>
      <w:r w:rsidRPr="00AC6AB7">
        <w:lastRenderedPageBreak/>
        <w:t>glyphosate; que l’EFSA a conclu en novembre 2015 que le glyphosate n’était probablement pas carcinogène, et que l’Agence européenne des produits chimiques a conclu en mars 2017 que rien ne justifiait de le classifier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carcinogénicité du glyphosate</w:t>
      </w:r>
      <w:r w:rsidRPr="00AC6AB7">
        <w:rPr>
          <w:rStyle w:val="FootnoteReference"/>
        </w:rPr>
        <w:footnoteReference w:id="5"/>
      </w:r>
      <w:r w:rsidRPr="00AC6AB7">
        <w:t>;</w:t>
      </w:r>
    </w:p>
    <w:bookmarkEnd w:id="10"/>
    <w:p w14:paraId="4EA02D69" w14:textId="77777777" w:rsidR="004316E1" w:rsidRPr="00AC6AB7" w:rsidRDefault="004316E1" w:rsidP="004316E1">
      <w:pPr>
        <w:spacing w:after="240"/>
        <w:ind w:left="567" w:hanging="567"/>
      </w:pPr>
      <w:r w:rsidRPr="00AC6AB7">
        <w:t>D.</w:t>
      </w:r>
      <w:r w:rsidRPr="00AC6AB7">
        <w:tab/>
        <w:t>considérant que l’EFSA a rendu un avis favorable le5 février 2025, concluant que le maïs génétiquement modifié est aussi sûr que son produit conventionnel de référence; que cet avis n’a tenu aucun compte de plusieurs effets environnementaux, socio-économiques et cumulés plus larges, dont l’EFSA estime qu’ils ne relèvent pas de sa compétence;</w:t>
      </w:r>
    </w:p>
    <w:p w14:paraId="71FAEEE8" w14:textId="77777777" w:rsidR="004316E1" w:rsidRPr="00AC6AB7" w:rsidRDefault="004316E1" w:rsidP="004316E1">
      <w:pPr>
        <w:spacing w:after="240"/>
        <w:ind w:left="567" w:hanging="567"/>
      </w:pPr>
      <w:r w:rsidRPr="00AC6AB7">
        <w:t>E.</w:t>
      </w:r>
      <w:r w:rsidRPr="00AC6AB7">
        <w:tab/>
        <w:t>considérant que l’évaluation des risques réalisée par l’EFSA ne s’appuie sur aucune étude toxicologique à long terme ni analyse détaillée des effets cumulés et combinés, dont les interactions potentielles avec les résidus de pesticides couramment utilisés dans la culture du maïs;</w:t>
      </w:r>
    </w:p>
    <w:p w14:paraId="42AC2B59" w14:textId="77777777" w:rsidR="004316E1" w:rsidRPr="00AC6AB7" w:rsidRDefault="004316E1" w:rsidP="004316E1">
      <w:pPr>
        <w:spacing w:after="240"/>
        <w:ind w:left="567" w:hanging="567"/>
      </w:pPr>
      <w:r w:rsidRPr="00AC6AB7">
        <w:t>F.</w:t>
      </w:r>
      <w:r w:rsidRPr="00AC6AB7">
        <w:tab/>
        <w:t>considérant que les essais en plein champ à l’appui de la demande ont été menés dans des conditions géographiques et climatiques limitées qui ne sont pas représentatives de toute la diversité des régions productrices de maïs, notamment de celles qui sont fortement touchées par des facteurs de stress liés au changement climatique;</w:t>
      </w:r>
    </w:p>
    <w:p w14:paraId="6207D2EA" w14:textId="77777777" w:rsidR="004316E1" w:rsidRPr="00AC6AB7" w:rsidRDefault="004316E1" w:rsidP="004316E1">
      <w:pPr>
        <w:spacing w:after="240"/>
        <w:ind w:left="567" w:hanging="567"/>
      </w:pPr>
      <w:r w:rsidRPr="00AC6AB7">
        <w:t>G.</w:t>
      </w:r>
      <w:r w:rsidRPr="00AC6AB7">
        <w:tab/>
        <w:t>considérant que les garanties d’indépendance du suivi et de la surveillance des effets néfastes potentiels sur la biodiversité, la santé des sols, les pollinisateurs et les organismes non ciblés restent insuffisantes;</w:t>
      </w:r>
    </w:p>
    <w:p w14:paraId="61335630" w14:textId="77777777" w:rsidR="004316E1" w:rsidRPr="00AC6AB7" w:rsidRDefault="004316E1" w:rsidP="004316E1">
      <w:pPr>
        <w:spacing w:after="240"/>
        <w:ind w:left="567" w:hanging="567"/>
      </w:pPr>
      <w:r w:rsidRPr="00AC6AB7">
        <w:t>H.</w:t>
      </w:r>
      <w:r w:rsidRPr="00AC6AB7">
        <w:tab/>
        <w:t>considérant qu’aucune étude validée par la communauté scientifique sur la toxicité ou le mode d’action de la protéine Cry1Da2 n’est disponible à ce jour;</w:t>
      </w:r>
    </w:p>
    <w:p w14:paraId="097E60F5" w14:textId="77777777" w:rsidR="004316E1" w:rsidRPr="00AC6AB7" w:rsidRDefault="004316E1" w:rsidP="004316E1">
      <w:pPr>
        <w:spacing w:after="240"/>
        <w:ind w:left="567" w:hanging="567"/>
      </w:pPr>
      <w:r w:rsidRPr="00AC6AB7">
        <w:t>I.</w:t>
      </w:r>
      <w:r w:rsidRPr="00AC6AB7">
        <w:tab/>
        <w:t>considérant que le principe de précaution, consacré par l’article 191 du traité sur le fonctionnement de l’Union européenne, devrait s’appliquer en cas d’incertitude scientifique;</w:t>
      </w:r>
    </w:p>
    <w:p w14:paraId="505A5199" w14:textId="77777777" w:rsidR="004316E1" w:rsidRPr="00AC6AB7" w:rsidRDefault="004316E1" w:rsidP="004316E1">
      <w:pPr>
        <w:spacing w:after="240"/>
        <w:ind w:left="567" w:hanging="567"/>
      </w:pPr>
      <w:r w:rsidRPr="00AC6AB7">
        <w:t>J.</w:t>
      </w:r>
      <w:r w:rsidRPr="00AC6AB7">
        <w:tab/>
        <w:t>considérant que le règlement (CE) nº 1829/2003 exige que les denrées alimentaires et les aliments pour animaux génétiquement modifiés n’aient pas d’effets négatifs sur la santé humaine, la santé animale ou l’environnement,</w:t>
      </w:r>
    </w:p>
    <w:p w14:paraId="33F93612" w14:textId="77777777" w:rsidR="004316E1" w:rsidRPr="00AC6AB7" w:rsidRDefault="004316E1" w:rsidP="004316E1">
      <w:pPr>
        <w:spacing w:after="240"/>
        <w:ind w:left="567" w:hanging="567"/>
      </w:pPr>
      <w:r w:rsidRPr="00AC6AB7">
        <w:t>K.</w:t>
      </w:r>
      <w:r w:rsidRPr="00AC6AB7">
        <w:tab/>
        <w:t>considérant que le projet de décision d’exécution de la Commission autorise les importations dans l’Union de produits non conformes aux normes observées par les agriculteurs de l’Union, ce qui placerait ces derniers dans une situation de désavantage concurrentiel;</w:t>
      </w:r>
    </w:p>
    <w:p w14:paraId="7A9C220F" w14:textId="77777777" w:rsidR="004316E1" w:rsidRPr="00AC6AB7" w:rsidRDefault="004316E1" w:rsidP="004316E1">
      <w:pPr>
        <w:spacing w:after="240"/>
        <w:ind w:left="567" w:hanging="567"/>
      </w:pPr>
      <w:r w:rsidRPr="00AC6AB7">
        <w:t>L.</w:t>
      </w:r>
      <w:r w:rsidRPr="00AC6AB7">
        <w:tab/>
        <w:t xml:space="preserve">considérant que, dans la perspective de remédier au déficit démocratique persistant, le </w:t>
      </w:r>
      <w:r w:rsidRPr="00AC6AB7">
        <w:lastRenderedPageBreak/>
        <w:t>Parlement s’est opposé de manière répétée à ce que la Commission autorise des OGM en l’absence de majorité qualifiée parmi les États membres au sein du comité permanent des végétaux, des animaux, des denrées alimentaires et des aliments pour animaux ou du comité d’appel;</w:t>
      </w:r>
    </w:p>
    <w:p w14:paraId="52D38B44" w14:textId="77777777" w:rsidR="004316E1" w:rsidRPr="00AC6AB7" w:rsidRDefault="004316E1" w:rsidP="004316E1">
      <w:pPr>
        <w:spacing w:after="240"/>
        <w:ind w:left="567" w:hanging="567"/>
      </w:pPr>
      <w:r w:rsidRPr="00AC6AB7">
        <w:t>M.</w:t>
      </w:r>
      <w:r w:rsidRPr="00AC6AB7">
        <w:tab/>
        <w:t>considérant que l’approche «Une seule santé» exige de tenir compte de l’interdépendance entre la santé humaine, animale, végétale et environnementale lors de l’évaluation de la durabilité et de la sécurité à long terme des OGM;</w:t>
      </w:r>
    </w:p>
    <w:p w14:paraId="1892863F" w14:textId="77777777" w:rsidR="004316E1" w:rsidRPr="00AC6AB7" w:rsidRDefault="004316E1" w:rsidP="004316E1">
      <w:pPr>
        <w:tabs>
          <w:tab w:val="left" w:pos="0"/>
        </w:tabs>
        <w:spacing w:after="240"/>
        <w:ind w:left="357" w:hanging="357"/>
      </w:pPr>
      <w:r w:rsidRPr="00AC6AB7">
        <w:t>1.</w:t>
      </w:r>
      <w:r w:rsidRPr="00AC6AB7">
        <w:tab/>
        <w:t>considère que le projet de décision d’exécution de la Commission excède les compétences d’exécution prévues dans le règlement (CE) nº 1829/2003;</w:t>
      </w:r>
    </w:p>
    <w:p w14:paraId="4834F0DC" w14:textId="77777777" w:rsidR="004316E1" w:rsidRPr="00AC6AB7" w:rsidRDefault="004316E1" w:rsidP="004316E1">
      <w:pPr>
        <w:tabs>
          <w:tab w:val="left" w:pos="0"/>
        </w:tabs>
        <w:spacing w:after="240"/>
        <w:ind w:left="357" w:hanging="357"/>
      </w:pPr>
      <w:r w:rsidRPr="00AC6AB7">
        <w:t>2.</w:t>
      </w:r>
      <w:r w:rsidRPr="00AC6AB7">
        <w:tab/>
        <w:t>estime que le projet de décision d’exécution de la Commission n’est pas conforme au droit de l’Union, en ce qu’il est incompatible avec l’objectif du règlement (CE) nº 1829/2003, qui est, conformément aux principes généraux prévus dans le règlement (CE) nº 178/2002 du Parlement européen et du Conseil</w:t>
      </w:r>
      <w:r w:rsidRPr="00AC6AB7">
        <w:rPr>
          <w:rStyle w:val="FootnoteReference"/>
        </w:rPr>
        <w:footnoteReference w:id="6"/>
      </w:r>
      <w:r w:rsidRPr="00AC6AB7">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3208F6D3" w14:textId="77777777" w:rsidR="004316E1" w:rsidRPr="00AC6AB7" w:rsidRDefault="004316E1" w:rsidP="004316E1">
      <w:pPr>
        <w:tabs>
          <w:tab w:val="left" w:pos="0"/>
        </w:tabs>
        <w:spacing w:after="240"/>
        <w:ind w:left="357" w:hanging="357"/>
      </w:pPr>
      <w:r w:rsidRPr="00AC6AB7">
        <w:t>3.</w:t>
      </w:r>
      <w:r w:rsidRPr="00AC6AB7">
        <w:tab/>
        <w:t>demande à la Commission de retirer son projet de décision d’exécution;</w:t>
      </w:r>
    </w:p>
    <w:p w14:paraId="1CF1BA65" w14:textId="77777777" w:rsidR="004316E1" w:rsidRPr="00AC6AB7" w:rsidRDefault="004316E1" w:rsidP="004316E1">
      <w:pPr>
        <w:tabs>
          <w:tab w:val="left" w:pos="0"/>
        </w:tabs>
        <w:spacing w:after="240"/>
        <w:ind w:left="357" w:hanging="357"/>
      </w:pPr>
      <w:r w:rsidRPr="00AC6AB7">
        <w:t>4.</w:t>
      </w:r>
      <w:r w:rsidRPr="00AC6AB7">
        <w:tab/>
        <w:t>invite la Commission à ne pas autoriser le maïs génétiquement modifié en raison de l’absence de preuves suffisantes quant à son incidence à long terme sur la biodiversité, la sécurité alimentaire et les moyens de subsistance des agriculteurs, conformément à l’approche «Une seule santé»;</w:t>
      </w:r>
    </w:p>
    <w:p w14:paraId="008881F2" w14:textId="77777777" w:rsidR="004316E1" w:rsidRPr="00AC6AB7" w:rsidRDefault="004316E1" w:rsidP="004316E1">
      <w:pPr>
        <w:tabs>
          <w:tab w:val="left" w:pos="0"/>
        </w:tabs>
        <w:spacing w:after="240"/>
        <w:ind w:left="357" w:hanging="357"/>
      </w:pPr>
      <w:bookmarkStart w:id="11" w:name="_Hlk210900300"/>
      <w:r w:rsidRPr="00AC6AB7">
        <w:t>5.</w:t>
      </w:r>
      <w:r w:rsidRPr="00AC6AB7">
        <w:tab/>
        <w:t>invite la Commission à présenter sans délai une proposition législative visant à réformer la procédure décisionnelle relative aux OGM afin de répondre aux objections récurrentes du Parlement et à l’absence de majorité qualifiée parmi les États membres;</w:t>
      </w:r>
      <w:bookmarkEnd w:id="11"/>
    </w:p>
    <w:p w14:paraId="0FEDDECF" w14:textId="77777777" w:rsidR="004316E1" w:rsidRPr="00AC6AB7" w:rsidRDefault="004316E1" w:rsidP="004316E1">
      <w:pPr>
        <w:tabs>
          <w:tab w:val="left" w:pos="0"/>
        </w:tabs>
        <w:spacing w:after="240"/>
        <w:ind w:left="357" w:hanging="357"/>
      </w:pPr>
      <w:bookmarkStart w:id="12" w:name="_Hlk210900241"/>
      <w:r w:rsidRPr="00AC6AB7">
        <w:t>6.</w:t>
      </w:r>
      <w:r w:rsidRPr="00AC6AB7">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w:t>
      </w:r>
    </w:p>
    <w:bookmarkEnd w:id="12"/>
    <w:p w14:paraId="0C2D218B" w14:textId="05809908" w:rsidR="00E365E1" w:rsidRPr="00AC6AB7" w:rsidRDefault="004316E1" w:rsidP="00F07528">
      <w:pPr>
        <w:tabs>
          <w:tab w:val="left" w:pos="0"/>
        </w:tabs>
        <w:spacing w:after="240"/>
        <w:ind w:left="357" w:hanging="357"/>
      </w:pPr>
      <w:r w:rsidRPr="00AC6AB7">
        <w:t>7.</w:t>
      </w:r>
      <w:r w:rsidRPr="00AC6AB7">
        <w:tab/>
        <w:t>charge sa Présidente de transmettre la présente résolution au Conseil et à la Commission ainsi qu’aux gouvernements et aux parlements des États membres.</w:t>
      </w:r>
    </w:p>
    <w:sectPr w:rsidR="00E365E1" w:rsidRPr="00AC6AB7" w:rsidSect="00AC6A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E6149" w14:textId="77777777" w:rsidR="009A1AA3" w:rsidRPr="00AC6AB7" w:rsidRDefault="009A1AA3">
      <w:r w:rsidRPr="00AC6AB7">
        <w:separator/>
      </w:r>
    </w:p>
  </w:endnote>
  <w:endnote w:type="continuationSeparator" w:id="0">
    <w:p w14:paraId="1633A162" w14:textId="77777777" w:rsidR="009A1AA3" w:rsidRPr="00AC6AB7" w:rsidRDefault="009A1AA3">
      <w:r w:rsidRPr="00AC6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E816" w14:textId="77777777" w:rsidR="00064002" w:rsidRPr="00AC6A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5B135" w14:textId="77777777" w:rsidR="00064002" w:rsidRPr="00AC6A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C2CEB" w14:textId="77777777" w:rsidR="00064002" w:rsidRPr="00AC6A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F7B8" w14:textId="77777777" w:rsidR="009A1AA3" w:rsidRPr="00AC6AB7" w:rsidRDefault="009A1AA3">
      <w:r w:rsidRPr="00AC6AB7">
        <w:separator/>
      </w:r>
    </w:p>
  </w:footnote>
  <w:footnote w:type="continuationSeparator" w:id="0">
    <w:p w14:paraId="43F93FC4" w14:textId="77777777" w:rsidR="009A1AA3" w:rsidRPr="00AC6AB7" w:rsidRDefault="009A1AA3">
      <w:r w:rsidRPr="00AC6AB7">
        <w:continuationSeparator/>
      </w:r>
    </w:p>
  </w:footnote>
  <w:footnote w:id="1">
    <w:p w14:paraId="29005EE3" w14:textId="11E1A6FE" w:rsidR="004316E1" w:rsidRPr="001F5AF2" w:rsidRDefault="004316E1" w:rsidP="00AC6AB7">
      <w:pPr>
        <w:pStyle w:val="FootnoteText"/>
        <w:ind w:left="567" w:hanging="567"/>
        <w:rPr>
          <w:sz w:val="24"/>
          <w:lang w:val="da-DK"/>
        </w:rPr>
      </w:pPr>
      <w:r w:rsidRPr="00AC6AB7">
        <w:rPr>
          <w:rStyle w:val="Funotenzeichen"/>
          <w:sz w:val="24"/>
        </w:rPr>
        <w:footnoteRef/>
      </w:r>
      <w:r w:rsidR="00AC6AB7" w:rsidRPr="001F5AF2">
        <w:rPr>
          <w:sz w:val="24"/>
          <w:lang w:val="da-DK"/>
        </w:rPr>
        <w:t xml:space="preserve"> </w:t>
      </w:r>
      <w:r w:rsidR="00AC6AB7" w:rsidRPr="001F5AF2">
        <w:rPr>
          <w:sz w:val="24"/>
          <w:lang w:val="da-DK"/>
        </w:rPr>
        <w:tab/>
      </w:r>
      <w:r w:rsidRPr="001F5AF2">
        <w:rPr>
          <w:sz w:val="24"/>
          <w:lang w:val="da-DK"/>
        </w:rPr>
        <w:t>JO L 268 du 18.10.2003, p. 1., ELI: </w:t>
      </w:r>
      <w:hyperlink r:id="rId1" w:tooltip="donne accès à ce document par l’intermédiaire des identifiants URI et ELI." w:history="1">
        <w:r w:rsidRPr="001F5AF2">
          <w:rPr>
            <w:rStyle w:val="Hyperlink"/>
            <w:sz w:val="24"/>
            <w:lang w:val="da-DK"/>
          </w:rPr>
          <w:t>http://data.europa.eu/eli/reg/2003/1829/oj</w:t>
        </w:r>
      </w:hyperlink>
      <w:r w:rsidRPr="001F5AF2">
        <w:rPr>
          <w:rStyle w:val="Hyperlink"/>
          <w:sz w:val="24"/>
          <w:lang w:val="da-DK"/>
        </w:rPr>
        <w:t>;</w:t>
      </w:r>
    </w:p>
  </w:footnote>
  <w:footnote w:id="2">
    <w:p w14:paraId="0E44E0A4" w14:textId="7FD05F79" w:rsidR="004316E1" w:rsidRPr="001F5AF2" w:rsidRDefault="004316E1" w:rsidP="00AC6AB7">
      <w:pPr>
        <w:pStyle w:val="FootnoteText"/>
        <w:ind w:left="567" w:hanging="567"/>
        <w:rPr>
          <w:sz w:val="24"/>
          <w:lang w:val="fi-FI"/>
        </w:rPr>
      </w:pPr>
      <w:r w:rsidRPr="00AC6AB7">
        <w:rPr>
          <w:rStyle w:val="FootnoteReference"/>
          <w:sz w:val="24"/>
        </w:rPr>
        <w:footnoteRef/>
      </w:r>
      <w:bookmarkStart w:id="8" w:name="_Hlk210663104"/>
      <w:r w:rsidR="00AC6AB7" w:rsidRPr="001F5AF2">
        <w:rPr>
          <w:sz w:val="24"/>
          <w:lang w:val="fi-FI"/>
        </w:rPr>
        <w:t xml:space="preserve"> </w:t>
      </w:r>
      <w:r w:rsidR="00AC6AB7" w:rsidRPr="001F5AF2">
        <w:rPr>
          <w:sz w:val="24"/>
          <w:lang w:val="fi-FI"/>
        </w:rPr>
        <w:tab/>
      </w:r>
      <w:r w:rsidRPr="001F5AF2">
        <w:rPr>
          <w:sz w:val="24"/>
          <w:lang w:val="fi-FI"/>
        </w:rPr>
        <w:t xml:space="preserve">JO L 55 du 28.2.2011, p. 13, ELI: </w:t>
      </w:r>
      <w:hyperlink r:id="rId2" w:history="1">
        <w:r w:rsidRPr="001F5AF2">
          <w:rPr>
            <w:rStyle w:val="Hyperlink"/>
            <w:sz w:val="24"/>
            <w:lang w:val="fi-FI"/>
          </w:rPr>
          <w:t>http://data.europa.eu/eli/reg/2011/182/oj</w:t>
        </w:r>
      </w:hyperlink>
      <w:r w:rsidRPr="001F5AF2">
        <w:rPr>
          <w:sz w:val="24"/>
          <w:lang w:val="fi-FI"/>
        </w:rPr>
        <w:t>;</w:t>
      </w:r>
      <w:bookmarkEnd w:id="8"/>
    </w:p>
  </w:footnote>
  <w:footnote w:id="3">
    <w:p w14:paraId="036AB392" w14:textId="7F6B400C" w:rsidR="004316E1" w:rsidRPr="00AC6AB7" w:rsidRDefault="004316E1" w:rsidP="00AC6AB7">
      <w:pPr>
        <w:pStyle w:val="FootnoteText"/>
        <w:ind w:left="567" w:hanging="567"/>
        <w:rPr>
          <w:sz w:val="24"/>
        </w:rPr>
      </w:pPr>
      <w:r w:rsidRPr="00AC6AB7">
        <w:rPr>
          <w:rStyle w:val="Funotenzeichen"/>
          <w:sz w:val="24"/>
        </w:rPr>
        <w:footnoteRef/>
      </w:r>
      <w:r w:rsidR="00AC6AB7" w:rsidRPr="00AC6AB7">
        <w:rPr>
          <w:sz w:val="24"/>
        </w:rPr>
        <w:t xml:space="preserve"> </w:t>
      </w:r>
      <w:r w:rsidR="00AC6AB7" w:rsidRPr="00AC6AB7">
        <w:rPr>
          <w:sz w:val="24"/>
        </w:rPr>
        <w:tab/>
      </w:r>
      <w:r w:rsidRPr="00AC6AB7">
        <w:rPr>
          <w:sz w:val="24"/>
        </w:rPr>
        <w:t>Avis scientifique du groupe scientifique de l’EFSA sur les organismes génétiquement modifiés intitulé «</w:t>
      </w:r>
      <w:proofErr w:type="spellStart"/>
      <w:r w:rsidRPr="00AC6AB7">
        <w:rPr>
          <w:sz w:val="24"/>
        </w:rPr>
        <w:t>Assessment</w:t>
      </w:r>
      <w:proofErr w:type="spellEnd"/>
      <w:r w:rsidRPr="00AC6AB7">
        <w:rPr>
          <w:sz w:val="24"/>
        </w:rPr>
        <w:t xml:space="preserve"> of </w:t>
      </w:r>
      <w:proofErr w:type="spellStart"/>
      <w:r w:rsidRPr="00AC6AB7">
        <w:rPr>
          <w:sz w:val="24"/>
        </w:rPr>
        <w:t>genetically</w:t>
      </w:r>
      <w:proofErr w:type="spellEnd"/>
      <w:r w:rsidRPr="00AC6AB7">
        <w:rPr>
          <w:sz w:val="24"/>
        </w:rPr>
        <w:t xml:space="preserve"> </w:t>
      </w:r>
      <w:proofErr w:type="spellStart"/>
      <w:r w:rsidRPr="00AC6AB7">
        <w:rPr>
          <w:sz w:val="24"/>
        </w:rPr>
        <w:t>modified</w:t>
      </w:r>
      <w:proofErr w:type="spellEnd"/>
      <w:r w:rsidRPr="00AC6AB7">
        <w:rPr>
          <w:sz w:val="24"/>
        </w:rPr>
        <w:t xml:space="preserve"> </w:t>
      </w:r>
      <w:proofErr w:type="spellStart"/>
      <w:r w:rsidRPr="00AC6AB7">
        <w:rPr>
          <w:sz w:val="24"/>
        </w:rPr>
        <w:t>maize</w:t>
      </w:r>
      <w:proofErr w:type="spellEnd"/>
      <w:r w:rsidRPr="00AC6AB7">
        <w:rPr>
          <w:sz w:val="24"/>
        </w:rPr>
        <w:t xml:space="preserve"> DAS1131 (application GMFF-2021-1530)», EFSA Journal 2025;23(3):9282; </w:t>
      </w:r>
      <w:hyperlink r:id="rId3" w:history="1">
        <w:r w:rsidRPr="00AC6AB7">
          <w:rPr>
            <w:rStyle w:val="Hyperlink"/>
            <w:sz w:val="24"/>
          </w:rPr>
          <w:t>https://doi.org/10.2903/j.efsa.2025.9282</w:t>
        </w:r>
      </w:hyperlink>
      <w:r w:rsidRPr="00AC6AB7">
        <w:rPr>
          <w:sz w:val="24"/>
        </w:rPr>
        <w:t xml:space="preserve">. </w:t>
      </w:r>
    </w:p>
  </w:footnote>
  <w:footnote w:id="4">
    <w:p w14:paraId="2F77A029" w14:textId="77AA225B" w:rsidR="004316E1" w:rsidRPr="00AC6AB7" w:rsidRDefault="004316E1" w:rsidP="00AC6AB7">
      <w:pPr>
        <w:pStyle w:val="FootnoteText"/>
        <w:ind w:left="567" w:hanging="567"/>
        <w:rPr>
          <w:color w:val="000000" w:themeColor="text1"/>
          <w:sz w:val="24"/>
          <w:vertAlign w:val="superscript"/>
        </w:rPr>
      </w:pPr>
      <w:r w:rsidRPr="00AC6AB7">
        <w:rPr>
          <w:rStyle w:val="FootnoteReference"/>
          <w:sz w:val="24"/>
        </w:rPr>
        <w:footnoteRef/>
      </w:r>
      <w:r w:rsidR="00AC6AB7" w:rsidRPr="00AC6AB7">
        <w:rPr>
          <w:sz w:val="24"/>
        </w:rPr>
        <w:t xml:space="preserve"> </w:t>
      </w:r>
      <w:r w:rsidR="00AC6AB7" w:rsidRPr="00AC6AB7">
        <w:rPr>
          <w:sz w:val="24"/>
        </w:rPr>
        <w:tab/>
      </w:r>
      <w:r w:rsidRPr="00AC6AB7">
        <w:rPr>
          <w:sz w:val="24"/>
        </w:rPr>
        <w:t>Le Parlement a adopté 36 résolutions par lesquelles il s’opposait à l’autorisation d’OGM au cours de sa huitième législature, et 38 au cours de sa neuvième législature.</w:t>
      </w:r>
      <w:r w:rsidRPr="00AC6AB7">
        <w:rPr>
          <w:color w:val="000000" w:themeColor="text1"/>
          <w:sz w:val="24"/>
        </w:rPr>
        <w:t xml:space="preserve"> En outre, depuis le début de la dixième législature, il a adopté les résolutions suivantes:</w:t>
      </w:r>
    </w:p>
    <w:p w14:paraId="1B48209C" w14:textId="54F4E5BC"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4316E1" w:rsidRPr="00AC6AB7">
          <w:rPr>
            <w:rStyle w:val="Hyperlink"/>
            <w:sz w:val="24"/>
          </w:rPr>
          <w:t>http://data.europa.eu/eli/C/2025/1797/oj</w:t>
        </w:r>
      </w:hyperlink>
      <w:r w:rsidR="004316E1" w:rsidRPr="00AC6AB7">
        <w:rPr>
          <w:color w:val="000000" w:themeColor="text1"/>
          <w:sz w:val="24"/>
        </w:rPr>
        <w:t>);</w:t>
      </w:r>
    </w:p>
    <w:p w14:paraId="3917C0BC" w14:textId="521E2DB2"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4316E1" w:rsidRPr="00AC6AB7">
          <w:rPr>
            <w:rStyle w:val="Hyperlink"/>
            <w:sz w:val="24"/>
          </w:rPr>
          <w:t>http://data.europa.eu/eli/C/2025/1798/oj</w:t>
        </w:r>
      </w:hyperlink>
      <w:r w:rsidR="004316E1" w:rsidRPr="00AC6AB7">
        <w:rPr>
          <w:color w:val="000000" w:themeColor="text1"/>
          <w:sz w:val="24"/>
        </w:rPr>
        <w:t>);</w:t>
      </w:r>
    </w:p>
    <w:p w14:paraId="5F49D1C0" w14:textId="6ACBDBAE"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6" w:history="1">
        <w:r w:rsidR="004316E1" w:rsidRPr="00AC6AB7">
          <w:rPr>
            <w:rStyle w:val="Hyperlink"/>
            <w:sz w:val="24"/>
          </w:rPr>
          <w:t>http://data.europa.eu/eli/C/2025/1799/oj</w:t>
        </w:r>
      </w:hyperlink>
      <w:r w:rsidR="004316E1" w:rsidRPr="00AC6AB7">
        <w:rPr>
          <w:color w:val="000000" w:themeColor="text1"/>
          <w:sz w:val="24"/>
        </w:rPr>
        <w:t>);</w:t>
      </w:r>
    </w:p>
    <w:p w14:paraId="2E008A58" w14:textId="29B79022"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4316E1" w:rsidRPr="00AC6AB7">
          <w:rPr>
            <w:rStyle w:val="Hyperlink"/>
            <w:sz w:val="24"/>
          </w:rPr>
          <w:t>http://data.europa.eu/eli/C/2025/1800/oj</w:t>
        </w:r>
      </w:hyperlink>
      <w:r w:rsidR="004316E1" w:rsidRPr="00AC6AB7">
        <w:rPr>
          <w:color w:val="000000" w:themeColor="text1"/>
          <w:sz w:val="24"/>
        </w:rPr>
        <w:t>);</w:t>
      </w:r>
    </w:p>
    <w:p w14:paraId="65C81268" w14:textId="02212DD0"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ELI: </w:t>
      </w:r>
      <w:hyperlink r:id="rId8" w:history="1">
        <w:r w:rsidR="004316E1" w:rsidRPr="00AC6AB7">
          <w:rPr>
            <w:rStyle w:val="Hyperlink"/>
            <w:sz w:val="24"/>
          </w:rPr>
          <w:t>http://data.europa.eu/eli/C/2025/1801/oj</w:t>
        </w:r>
      </w:hyperlink>
      <w:r w:rsidR="004316E1" w:rsidRPr="00AC6AB7">
        <w:rPr>
          <w:color w:val="000000" w:themeColor="text1"/>
          <w:sz w:val="24"/>
        </w:rPr>
        <w:t>);</w:t>
      </w:r>
    </w:p>
    <w:p w14:paraId="477701B6" w14:textId="4DE746A6"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coton ou produits à partir de celui-ci, en application du règlement (CE) nº 1829/2003 du Parlement européen et du Conseil (JO C, C/2025/1802, 4.4.2025, ELI: </w:t>
      </w:r>
      <w:hyperlink r:id="rId9" w:history="1">
        <w:r w:rsidR="004316E1" w:rsidRPr="00AC6AB7">
          <w:rPr>
            <w:rStyle w:val="Hyperlink"/>
            <w:sz w:val="24"/>
          </w:rPr>
          <w:t>http://data.europa.eu/eli/C/2025/1802/oj</w:t>
        </w:r>
      </w:hyperlink>
      <w:r w:rsidR="004316E1" w:rsidRPr="00AC6AB7">
        <w:rPr>
          <w:color w:val="000000" w:themeColor="text1"/>
          <w:sz w:val="24"/>
        </w:rPr>
        <w:t>);</w:t>
      </w:r>
    </w:p>
    <w:p w14:paraId="3B898C78" w14:textId="3C8E3017"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4316E1" w:rsidRPr="00AC6AB7">
          <w:rPr>
            <w:rStyle w:val="Hyperlink"/>
            <w:sz w:val="24"/>
          </w:rPr>
          <w:t>http://data.europa.eu/eli/C/2025/1803/oj</w:t>
        </w:r>
      </w:hyperlink>
      <w:r w:rsidR="004316E1" w:rsidRPr="00AC6AB7">
        <w:rPr>
          <w:color w:val="000000" w:themeColor="text1"/>
          <w:sz w:val="24"/>
        </w:rPr>
        <w:t>);</w:t>
      </w:r>
    </w:p>
    <w:p w14:paraId="26DE99E8" w14:textId="35D7AE69" w:rsidR="004316E1" w:rsidRPr="00AC6AB7" w:rsidRDefault="00AC6AB7" w:rsidP="00AC6AB7">
      <w:pPr>
        <w:pStyle w:val="FootnoteText"/>
        <w:ind w:left="567" w:hanging="567"/>
        <w:rPr>
          <w:color w:val="000000" w:themeColor="text1"/>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4316E1" w:rsidRPr="00AC6AB7">
          <w:rPr>
            <w:rStyle w:val="Hyperlink"/>
            <w:sz w:val="24"/>
          </w:rPr>
          <w:t>http://data.europa.eu/eli/C/2025/1804/oj</w:t>
        </w:r>
      </w:hyperlink>
      <w:r w:rsidR="004316E1" w:rsidRPr="00AC6AB7">
        <w:rPr>
          <w:color w:val="000000" w:themeColor="text1"/>
          <w:sz w:val="24"/>
        </w:rPr>
        <w:t>);</w:t>
      </w:r>
    </w:p>
    <w:p w14:paraId="44C3299B" w14:textId="2E4AB3A2" w:rsidR="004316E1" w:rsidRPr="00AC6AB7" w:rsidRDefault="00AC6AB7" w:rsidP="00AC6AB7">
      <w:pPr>
        <w:pStyle w:val="FootnoteText"/>
        <w:ind w:left="567" w:hanging="567"/>
        <w:rPr>
          <w:sz w:val="24"/>
          <w:vertAlign w:val="superscript"/>
        </w:rPr>
      </w:pPr>
      <w:r w:rsidRPr="00AC6AB7">
        <w:rPr>
          <w:color w:val="000000" w:themeColor="text1"/>
          <w:sz w:val="24"/>
        </w:rPr>
        <w:t xml:space="preserve"> </w:t>
      </w:r>
      <w:r w:rsidRPr="00AC6AB7">
        <w:rPr>
          <w:color w:val="000000" w:themeColor="text1"/>
          <w:sz w:val="24"/>
        </w:rPr>
        <w:tab/>
      </w:r>
      <w:r w:rsidR="004316E1" w:rsidRPr="00AC6AB7">
        <w:rPr>
          <w:color w:val="000000" w:themeColor="text1"/>
          <w:sz w:val="24"/>
        </w:rPr>
        <w:t>–</w:t>
      </w:r>
      <w:r w:rsidR="004316E1" w:rsidRPr="00AC6AB7">
        <w:rPr>
          <w:color w:val="000000" w:themeColor="text1"/>
          <w:sz w:val="24"/>
        </w:rPr>
        <w:tab/>
      </w:r>
      <w:r w:rsidR="004316E1" w:rsidRPr="00AC6AB7">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2" w:tooltip="donne accès à ce document par l’intermédiaire des identifiants URI et ELI." w:history="1">
        <w:r w:rsidR="004316E1" w:rsidRPr="00AC6AB7">
          <w:rPr>
            <w:rStyle w:val="Hyperlink"/>
            <w:sz w:val="24"/>
          </w:rPr>
          <w:t>http://data.europa.eu/eli/C/2025/2246/oj</w:t>
        </w:r>
      </w:hyperlink>
      <w:r w:rsidR="004316E1" w:rsidRPr="00AC6AB7">
        <w:rPr>
          <w:sz w:val="24"/>
        </w:rPr>
        <w:t>);</w:t>
      </w:r>
    </w:p>
    <w:p w14:paraId="0E1FEE5C" w14:textId="02DA1E41" w:rsidR="004316E1" w:rsidRPr="00AC6AB7" w:rsidRDefault="00AC6AB7" w:rsidP="00AC6AB7">
      <w:pPr>
        <w:pStyle w:val="FootnoteText"/>
        <w:ind w:left="567" w:hanging="567"/>
        <w:rPr>
          <w:sz w:val="24"/>
          <w:vertAlign w:val="superscript"/>
        </w:rPr>
      </w:pPr>
      <w:r w:rsidRPr="00AC6AB7">
        <w:rPr>
          <w:sz w:val="24"/>
        </w:rPr>
        <w:t xml:space="preserve"> </w:t>
      </w:r>
      <w:r w:rsidRPr="00AC6AB7">
        <w:rPr>
          <w:sz w:val="24"/>
        </w:rPr>
        <w:tab/>
      </w:r>
      <w:r w:rsidR="004316E1" w:rsidRPr="00AC6AB7">
        <w:rPr>
          <w:sz w:val="24"/>
        </w:rPr>
        <w:t>–</w:t>
      </w:r>
      <w:r w:rsidR="004316E1" w:rsidRPr="00AC6AB7">
        <w:rPr>
          <w:sz w:val="24"/>
        </w:rPr>
        <w:tab/>
        <w:t xml:space="preserve">résolution du Parlement européen du 12 février 2025 sur le projet de décision d’exécution de la Commission autorisant la mise sur le marché de produits contenant du maïs génétiquement modifié MON 95275, consistant en ce maïs ou produits à partir de celui-ci, en application du règlement (CE) nº 1829/2003 du Parlement européen et du Conseil (JO C, C/2025/2247, 29.4.2025, ELI: </w:t>
      </w:r>
      <w:hyperlink r:id="rId13" w:tooltip="donne accès à ce document par l’intermédiaire des identifiants URI et ELI." w:history="1">
        <w:r w:rsidR="004316E1" w:rsidRPr="00AC6AB7">
          <w:rPr>
            <w:rStyle w:val="Hyperlink"/>
            <w:sz w:val="24"/>
          </w:rPr>
          <w:t>http://data.europa.eu/eli/C/2025/2247/oj</w:t>
        </w:r>
      </w:hyperlink>
      <w:r w:rsidR="004316E1" w:rsidRPr="00AC6AB7">
        <w:rPr>
          <w:sz w:val="24"/>
        </w:rPr>
        <w:t>);</w:t>
      </w:r>
    </w:p>
    <w:p w14:paraId="7A080B19" w14:textId="3C9B8D5D" w:rsidR="004316E1" w:rsidRPr="00AC6AB7" w:rsidRDefault="00AC6AB7" w:rsidP="00AC6AB7">
      <w:pPr>
        <w:pStyle w:val="FootnoteText"/>
        <w:ind w:left="567" w:hanging="567"/>
        <w:rPr>
          <w:sz w:val="24"/>
          <w:vertAlign w:val="superscript"/>
        </w:rPr>
      </w:pPr>
      <w:r w:rsidRPr="00AC6AB7">
        <w:rPr>
          <w:sz w:val="24"/>
        </w:rPr>
        <w:t xml:space="preserve"> </w:t>
      </w:r>
      <w:r w:rsidRPr="00AC6AB7">
        <w:rPr>
          <w:sz w:val="24"/>
        </w:rPr>
        <w:tab/>
      </w:r>
      <w:r w:rsidR="004316E1" w:rsidRPr="00AC6AB7">
        <w:rPr>
          <w:sz w:val="24"/>
        </w:rPr>
        <w:t>–</w:t>
      </w:r>
      <w:r w:rsidR="004316E1" w:rsidRPr="00AC6AB7">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(P10_</w:t>
      </w:r>
      <w:proofErr w:type="gramStart"/>
      <w:r w:rsidR="004316E1" w:rsidRPr="00AC6AB7">
        <w:rPr>
          <w:sz w:val="24"/>
        </w:rPr>
        <w:t>TA(</w:t>
      </w:r>
      <w:proofErr w:type="gramEnd"/>
      <w:r w:rsidR="004316E1" w:rsidRPr="00AC6AB7">
        <w:rPr>
          <w:sz w:val="24"/>
        </w:rPr>
        <w:t>2025)0106).</w:t>
      </w:r>
    </w:p>
    <w:p w14:paraId="219EA975" w14:textId="6DD2459F" w:rsidR="004316E1" w:rsidRPr="00AC6AB7" w:rsidRDefault="00AC6AB7" w:rsidP="00AC6AB7">
      <w:pPr>
        <w:pStyle w:val="FootnoteText"/>
        <w:ind w:left="567" w:hanging="567"/>
        <w:rPr>
          <w:sz w:val="24"/>
        </w:rPr>
      </w:pPr>
      <w:r w:rsidRPr="00AC6AB7">
        <w:rPr>
          <w:sz w:val="24"/>
        </w:rPr>
        <w:t xml:space="preserve"> </w:t>
      </w:r>
      <w:r w:rsidRPr="00AC6AB7">
        <w:rPr>
          <w:sz w:val="24"/>
        </w:rPr>
        <w:tab/>
      </w:r>
      <w:r w:rsidR="004316E1" w:rsidRPr="00AC6AB7">
        <w:rPr>
          <w:sz w:val="24"/>
        </w:rPr>
        <w:t>–</w:t>
      </w:r>
      <w:r w:rsidR="004316E1" w:rsidRPr="00AC6AB7">
        <w:rPr>
          <w:sz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conformément au règlement (CE) nº 1829/2003 du Parlement européen et du Conseil (P10_TA(2025)0222).</w:t>
      </w:r>
    </w:p>
  </w:footnote>
  <w:footnote w:id="5">
    <w:p w14:paraId="5ED7AC38" w14:textId="301BBCC6" w:rsidR="004316E1" w:rsidRPr="00AC6AB7" w:rsidRDefault="004316E1" w:rsidP="00AC6AB7">
      <w:pPr>
        <w:pStyle w:val="FootnoteText"/>
        <w:ind w:left="567" w:hanging="567"/>
        <w:rPr>
          <w:sz w:val="24"/>
        </w:rPr>
      </w:pPr>
      <w:r w:rsidRPr="00AC6AB7">
        <w:rPr>
          <w:rStyle w:val="FootnoteReference"/>
          <w:sz w:val="24"/>
        </w:rPr>
        <w:footnoteRef/>
      </w:r>
      <w:r w:rsidR="00AC6AB7" w:rsidRPr="00AC6AB7">
        <w:rPr>
          <w:sz w:val="24"/>
        </w:rPr>
        <w:t xml:space="preserve"> </w:t>
      </w:r>
      <w:r w:rsidR="00AC6AB7" w:rsidRPr="00AC6AB7">
        <w:rPr>
          <w:sz w:val="24"/>
        </w:rPr>
        <w:tab/>
      </w:r>
      <w:r w:rsidRPr="00AC6AB7">
        <w:rPr>
          <w:sz w:val="24"/>
        </w:rPr>
        <w:t>Voir par exemple:</w:t>
      </w:r>
      <w:r w:rsidRPr="00AC6AB7">
        <w:rPr>
          <w:sz w:val="24"/>
        </w:rPr>
        <w:br/>
      </w:r>
      <w:hyperlink r:id="rId14" w:history="1">
        <w:r w:rsidRPr="00AC6AB7">
          <w:rPr>
            <w:rStyle w:val="Hyperlink"/>
            <w:sz w:val="24"/>
          </w:rPr>
          <w:t>https://www.sciencedirect.com/science/article/pii/S1383574218300887</w:t>
        </w:r>
      </w:hyperlink>
      <w:r w:rsidRPr="00AC6AB7">
        <w:rPr>
          <w:sz w:val="24"/>
        </w:rPr>
        <w:t>,</w:t>
      </w:r>
      <w:r w:rsidRPr="00AC6AB7">
        <w:rPr>
          <w:sz w:val="24"/>
        </w:rPr>
        <w:br/>
      </w:r>
      <w:hyperlink r:id="rId15" w:history="1">
        <w:r w:rsidRPr="00AC6AB7">
          <w:rPr>
            <w:rStyle w:val="Hyperlink"/>
            <w:sz w:val="24"/>
          </w:rPr>
          <w:t>https://academic.oup.com/ije/advance-article/doi/10.1093/ije/dyz017/5382278</w:t>
        </w:r>
      </w:hyperlink>
      <w:r w:rsidRPr="00AC6AB7">
        <w:rPr>
          <w:sz w:val="24"/>
        </w:rPr>
        <w:t>,</w:t>
      </w:r>
      <w:r w:rsidRPr="00AC6AB7">
        <w:rPr>
          <w:sz w:val="24"/>
        </w:rPr>
        <w:br/>
      </w:r>
      <w:hyperlink r:id="rId16" w:history="1">
        <w:r w:rsidRPr="00AC6AB7">
          <w:rPr>
            <w:rStyle w:val="Hyperlink"/>
            <w:sz w:val="24"/>
          </w:rPr>
          <w:t>https://journals.plos.org/plosone/article?id=10.1371/journal.pone.0219610</w:t>
        </w:r>
      </w:hyperlink>
      <w:r w:rsidRPr="00AC6AB7">
        <w:rPr>
          <w:sz w:val="24"/>
        </w:rPr>
        <w:t xml:space="preserve"> et</w:t>
      </w:r>
      <w:r w:rsidRPr="00AC6AB7">
        <w:rPr>
          <w:sz w:val="24"/>
        </w:rPr>
        <w:br/>
      </w:r>
      <w:hyperlink r:id="rId17" w:history="1">
        <w:r w:rsidRPr="00AC6AB7">
          <w:rPr>
            <w:rStyle w:val="Hyperlink"/>
            <w:sz w:val="24"/>
          </w:rPr>
          <w:t>https://www.ncbi.nlm.nih.gov/pmc/articles/PMC6612199/</w:t>
        </w:r>
      </w:hyperlink>
      <w:r w:rsidRPr="00AC6AB7">
        <w:rPr>
          <w:sz w:val="24"/>
        </w:rPr>
        <w:t>.</w:t>
      </w:r>
    </w:p>
  </w:footnote>
  <w:footnote w:id="6">
    <w:p w14:paraId="12F6BB76" w14:textId="1B9DA5E0" w:rsidR="004316E1" w:rsidRPr="00AC6AB7" w:rsidRDefault="004316E1" w:rsidP="00AC6AB7">
      <w:pPr>
        <w:pStyle w:val="FootnoteText"/>
        <w:ind w:left="567" w:hanging="567"/>
        <w:rPr>
          <w:sz w:val="24"/>
        </w:rPr>
      </w:pPr>
      <w:r w:rsidRPr="00AC6AB7">
        <w:rPr>
          <w:rStyle w:val="FootnoteReference"/>
          <w:sz w:val="24"/>
        </w:rPr>
        <w:footnoteRef/>
      </w:r>
      <w:r w:rsidR="00AC6AB7" w:rsidRPr="00AC6AB7">
        <w:rPr>
          <w:sz w:val="24"/>
        </w:rPr>
        <w:t xml:space="preserve"> </w:t>
      </w:r>
      <w:r w:rsidR="00AC6AB7" w:rsidRPr="00AC6AB7">
        <w:rPr>
          <w:sz w:val="24"/>
        </w:rPr>
        <w:tab/>
      </w:r>
      <w:r w:rsidRPr="00AC6AB7">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w:t>
      </w:r>
      <w:r w:rsidR="00E16A23">
        <w:rPr>
          <w:sz w:val="24"/>
        </w:rPr>
        <w:t xml:space="preserve"> du</w:t>
      </w:r>
      <w:r w:rsidRPr="00AC6AB7">
        <w:rPr>
          <w:sz w:val="24"/>
        </w:rPr>
        <w:t xml:space="preserve"> 1.2.2002, p. 1, ELI: </w:t>
      </w:r>
      <w:hyperlink r:id="rId18" w:tgtFrame="Gives%20access%20to%20this%20document%20through%20its%20ELI%20URI." w:history="1">
        <w:r w:rsidRPr="00AC6AB7">
          <w:rPr>
            <w:rStyle w:val="Hyperlink"/>
            <w:sz w:val="24"/>
          </w:rPr>
          <w:t>http://data.europa.eu/eli/reg/2002/178/oj</w:t>
        </w:r>
      </w:hyperlink>
      <w:r w:rsidRPr="00AC6AB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057C" w14:textId="77777777" w:rsidR="00064002" w:rsidRPr="00AC6A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801F" w14:textId="77777777" w:rsidR="00064002" w:rsidRPr="00AC6A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9FE2D" w14:textId="77777777" w:rsidR="00064002" w:rsidRPr="00AC6A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8979988">
    <w:abstractNumId w:val="9"/>
  </w:num>
  <w:num w:numId="2" w16cid:durableId="1087506465">
    <w:abstractNumId w:val="9"/>
  </w:num>
  <w:num w:numId="3" w16cid:durableId="1009332758">
    <w:abstractNumId w:val="7"/>
  </w:num>
  <w:num w:numId="4" w16cid:durableId="467745122">
    <w:abstractNumId w:val="7"/>
  </w:num>
  <w:num w:numId="5" w16cid:durableId="1698967981">
    <w:abstractNumId w:val="6"/>
  </w:num>
  <w:num w:numId="6" w16cid:durableId="2141220926">
    <w:abstractNumId w:val="6"/>
  </w:num>
  <w:num w:numId="7" w16cid:durableId="1435974456">
    <w:abstractNumId w:val="5"/>
  </w:num>
  <w:num w:numId="8" w16cid:durableId="1399745468">
    <w:abstractNumId w:val="5"/>
  </w:num>
  <w:num w:numId="9" w16cid:durableId="1890874981">
    <w:abstractNumId w:val="4"/>
  </w:num>
  <w:num w:numId="10" w16cid:durableId="1838154545">
    <w:abstractNumId w:val="4"/>
  </w:num>
  <w:num w:numId="11" w16cid:durableId="1751270040">
    <w:abstractNumId w:val="8"/>
  </w:num>
  <w:num w:numId="12" w16cid:durableId="427166770">
    <w:abstractNumId w:val="8"/>
  </w:num>
  <w:num w:numId="13" w16cid:durableId="764305678">
    <w:abstractNumId w:val="3"/>
  </w:num>
  <w:num w:numId="14" w16cid:durableId="819423166">
    <w:abstractNumId w:val="3"/>
  </w:num>
  <w:num w:numId="15" w16cid:durableId="28728094">
    <w:abstractNumId w:val="2"/>
  </w:num>
  <w:num w:numId="16" w16cid:durableId="1978025843">
    <w:abstractNumId w:val="2"/>
  </w:num>
  <w:num w:numId="17" w16cid:durableId="2098406769">
    <w:abstractNumId w:val="1"/>
  </w:num>
  <w:num w:numId="18" w16cid:durableId="1363357638">
    <w:abstractNumId w:val="1"/>
  </w:num>
  <w:num w:numId="19" w16cid:durableId="136454814">
    <w:abstractNumId w:val="0"/>
  </w:num>
  <w:num w:numId="20" w16cid:durableId="1801338356">
    <w:abstractNumId w:val="0"/>
  </w:num>
  <w:num w:numId="21" w16cid:durableId="1474525411">
    <w:abstractNumId w:val="9"/>
  </w:num>
  <w:num w:numId="22" w16cid:durableId="137965268">
    <w:abstractNumId w:val="7"/>
  </w:num>
  <w:num w:numId="23" w16cid:durableId="443840316">
    <w:abstractNumId w:val="6"/>
  </w:num>
  <w:num w:numId="24" w16cid:durableId="266546224">
    <w:abstractNumId w:val="5"/>
  </w:num>
  <w:num w:numId="25" w16cid:durableId="607009102">
    <w:abstractNumId w:val="4"/>
  </w:num>
  <w:num w:numId="26" w16cid:durableId="19740889">
    <w:abstractNumId w:val="8"/>
  </w:num>
  <w:num w:numId="27" w16cid:durableId="1953511023">
    <w:abstractNumId w:val="3"/>
  </w:num>
  <w:num w:numId="28" w16cid:durableId="125857655">
    <w:abstractNumId w:val="2"/>
  </w:num>
  <w:num w:numId="29" w16cid:durableId="1923176215">
    <w:abstractNumId w:val="1"/>
  </w:num>
  <w:num w:numId="30" w16cid:durableId="1690520637">
    <w:abstractNumId w:val="0"/>
  </w:num>
  <w:num w:numId="31" w16cid:durableId="1830124628">
    <w:abstractNumId w:val="9"/>
  </w:num>
  <w:num w:numId="32" w16cid:durableId="921523808">
    <w:abstractNumId w:val="7"/>
  </w:num>
  <w:num w:numId="33" w16cid:durableId="468011630">
    <w:abstractNumId w:val="6"/>
  </w:num>
  <w:num w:numId="34" w16cid:durableId="1180125936">
    <w:abstractNumId w:val="5"/>
  </w:num>
  <w:num w:numId="35" w16cid:durableId="1334333411">
    <w:abstractNumId w:val="4"/>
  </w:num>
  <w:num w:numId="36" w16cid:durableId="1736392439">
    <w:abstractNumId w:val="8"/>
  </w:num>
  <w:num w:numId="37" w16cid:durableId="262543032">
    <w:abstractNumId w:val="3"/>
  </w:num>
  <w:num w:numId="38" w16cid:durableId="822163366">
    <w:abstractNumId w:val="2"/>
  </w:num>
  <w:num w:numId="39" w16cid:durableId="792137758">
    <w:abstractNumId w:val="1"/>
  </w:num>
  <w:num w:numId="40" w16cid:durableId="1081022733">
    <w:abstractNumId w:val="0"/>
  </w:num>
  <w:num w:numId="41" w16cid:durableId="171647400">
    <w:abstractNumId w:val="10"/>
  </w:num>
  <w:num w:numId="42" w16cid:durableId="1247760475">
    <w:abstractNumId w:val="10"/>
  </w:num>
  <w:num w:numId="43" w16cid:durableId="1525358962">
    <w:abstractNumId w:val="10"/>
  </w:num>
  <w:num w:numId="44" w16cid:durableId="1269966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FR"/>
    <w:docVar w:name="dvnumam" w:val="0"/>
    <w:docVar w:name="dvpe" w:val="778.111"/>
    <w:docVar w:name="dvtitre" w:val="Résolution législative du Parlement européen du ... 2025 sur le projet de décision d’exécution de la Commission autorisant la mise sur le marché de produits contenant du maïs génétiquement modifié DAS1131, consistant en ce maïs ou produits à partir de celui-ci, en application du règlement (CE) nº 1829/2003 du Parlement européen et du Conseil(D109630/01 – 2025/2893(RSP))"/>
  </w:docVars>
  <w:rsids>
    <w:rsidRoot w:val="009A1AA3"/>
    <w:rsid w:val="00002272"/>
    <w:rsid w:val="00027B7A"/>
    <w:rsid w:val="00064002"/>
    <w:rsid w:val="000677B9"/>
    <w:rsid w:val="000831BA"/>
    <w:rsid w:val="000876CD"/>
    <w:rsid w:val="000A42CC"/>
    <w:rsid w:val="000E7DD9"/>
    <w:rsid w:val="0010095E"/>
    <w:rsid w:val="00125B37"/>
    <w:rsid w:val="00187494"/>
    <w:rsid w:val="001F32AE"/>
    <w:rsid w:val="001F5AF2"/>
    <w:rsid w:val="002767FF"/>
    <w:rsid w:val="002B18FE"/>
    <w:rsid w:val="002B5493"/>
    <w:rsid w:val="002F3E9A"/>
    <w:rsid w:val="00343214"/>
    <w:rsid w:val="00361C00"/>
    <w:rsid w:val="00395FA1"/>
    <w:rsid w:val="003E15D4"/>
    <w:rsid w:val="003F2031"/>
    <w:rsid w:val="00411CCE"/>
    <w:rsid w:val="0041666E"/>
    <w:rsid w:val="00421060"/>
    <w:rsid w:val="004316E1"/>
    <w:rsid w:val="00471C19"/>
    <w:rsid w:val="004867E3"/>
    <w:rsid w:val="00494A28"/>
    <w:rsid w:val="004C0004"/>
    <w:rsid w:val="004C5D52"/>
    <w:rsid w:val="0050519A"/>
    <w:rsid w:val="005072A1"/>
    <w:rsid w:val="00514517"/>
    <w:rsid w:val="00545827"/>
    <w:rsid w:val="00560270"/>
    <w:rsid w:val="005B631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70F"/>
    <w:rsid w:val="00800511"/>
    <w:rsid w:val="00817416"/>
    <w:rsid w:val="00842779"/>
    <w:rsid w:val="008527A5"/>
    <w:rsid w:val="00865F67"/>
    <w:rsid w:val="00881A7B"/>
    <w:rsid w:val="008840E5"/>
    <w:rsid w:val="00887B3E"/>
    <w:rsid w:val="008C2AC6"/>
    <w:rsid w:val="00930C23"/>
    <w:rsid w:val="0093193B"/>
    <w:rsid w:val="009509D8"/>
    <w:rsid w:val="00950B64"/>
    <w:rsid w:val="00981893"/>
    <w:rsid w:val="009A1AA3"/>
    <w:rsid w:val="00A1687D"/>
    <w:rsid w:val="00A43E52"/>
    <w:rsid w:val="00A4678D"/>
    <w:rsid w:val="00A778C7"/>
    <w:rsid w:val="00AB441E"/>
    <w:rsid w:val="00AB6293"/>
    <w:rsid w:val="00AC6AB7"/>
    <w:rsid w:val="00AE0928"/>
    <w:rsid w:val="00AF3B82"/>
    <w:rsid w:val="00B12E95"/>
    <w:rsid w:val="00B22876"/>
    <w:rsid w:val="00B558F0"/>
    <w:rsid w:val="00BD48FE"/>
    <w:rsid w:val="00BD7BD8"/>
    <w:rsid w:val="00BE0686"/>
    <w:rsid w:val="00BE6ADC"/>
    <w:rsid w:val="00C05BFE"/>
    <w:rsid w:val="00C23CD4"/>
    <w:rsid w:val="00C61C0C"/>
    <w:rsid w:val="00C941CB"/>
    <w:rsid w:val="00CC2357"/>
    <w:rsid w:val="00CF071A"/>
    <w:rsid w:val="00D058B8"/>
    <w:rsid w:val="00D56C11"/>
    <w:rsid w:val="00D834A0"/>
    <w:rsid w:val="00D872DF"/>
    <w:rsid w:val="00D91E21"/>
    <w:rsid w:val="00DA7FCD"/>
    <w:rsid w:val="00E16A23"/>
    <w:rsid w:val="00E365E1"/>
    <w:rsid w:val="00E820A4"/>
    <w:rsid w:val="00EB006A"/>
    <w:rsid w:val="00EB4772"/>
    <w:rsid w:val="00ED169E"/>
    <w:rsid w:val="00ED4235"/>
    <w:rsid w:val="00F04346"/>
    <w:rsid w:val="00F07528"/>
    <w:rsid w:val="00F075DC"/>
    <w:rsid w:val="00F149E9"/>
    <w:rsid w:val="00F448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3C5D1"/>
  <w15:chartTrackingRefBased/>
  <w15:docId w15:val="{24E9CA41-4720-4F84-9EE4-0DA099F9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4316E1"/>
    <w:pPr>
      <w:spacing w:before="480" w:after="240"/>
    </w:pPr>
  </w:style>
  <w:style w:type="paragraph" w:customStyle="1" w:styleId="NormalBold12a">
    <w:name w:val="NormalBold12a"/>
    <w:basedOn w:val="Normal"/>
    <w:qFormat/>
    <w:rsid w:val="004316E1"/>
    <w:pPr>
      <w:spacing w:after="240"/>
    </w:pPr>
    <w:rPr>
      <w:b/>
    </w:rPr>
  </w:style>
  <w:style w:type="paragraph" w:customStyle="1" w:styleId="NormalHanging12a">
    <w:name w:val="NormalHanging12a"/>
    <w:basedOn w:val="Normal"/>
    <w:qFormat/>
    <w:rsid w:val="004316E1"/>
    <w:pPr>
      <w:spacing w:after="240"/>
      <w:ind w:left="567" w:hanging="567"/>
    </w:pPr>
  </w:style>
  <w:style w:type="character" w:styleId="Hyperlink">
    <w:name w:val="Hyperlink"/>
    <w:basedOn w:val="DefaultParagraphFont"/>
    <w:uiPriority w:val="99"/>
    <w:rsid w:val="004316E1"/>
    <w:rPr>
      <w:color w:val="0563C1" w:themeColor="hyperlink"/>
      <w:u w:val="single"/>
    </w:rPr>
  </w:style>
  <w:style w:type="character" w:customStyle="1" w:styleId="Funotenzeichen">
    <w:name w:val="Fußnotenzeichen"/>
    <w:basedOn w:val="DefaultParagraphFont"/>
    <w:qFormat/>
    <w:rsid w:val="004316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1267</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2026-01-21T15:56:00Z</dcterms:created>
  <dcterms:modified xsi:type="dcterms:W3CDTF">2026-01-21T15:56:00Z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B10-0489/2025</vt:lpwstr>
  </property>
  <property fmtid="{D5CDD505-2E9C-101B-9397-08002B2CF9AE}" pid="4" name="&lt;Type&gt;">
    <vt:lpwstr>RR</vt:lpwstr>
  </property>
</Properties>
</file>