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213F" w14:paraId="3AAA2689" w14:textId="77777777" w:rsidTr="0010095E">
        <w:trPr>
          <w:trHeight w:hRule="exact" w:val="1418"/>
        </w:trPr>
        <w:tc>
          <w:tcPr>
            <w:tcW w:w="6804" w:type="dxa"/>
            <w:shd w:val="clear" w:color="auto" w:fill="auto"/>
            <w:vAlign w:val="center"/>
          </w:tcPr>
          <w:p w14:paraId="0E816271" w14:textId="77777777" w:rsidR="00751A4A" w:rsidRPr="00B1213F" w:rsidRDefault="00E4590A" w:rsidP="0010095E">
            <w:pPr>
              <w:pStyle w:val="EPName"/>
            </w:pPr>
            <w:r w:rsidRPr="00B1213F">
              <w:t>Europos Parlamentas</w:t>
            </w:r>
          </w:p>
          <w:p w14:paraId="14AA4F43" w14:textId="77777777" w:rsidR="00751A4A" w:rsidRPr="00B1213F" w:rsidRDefault="005F1B17" w:rsidP="005F1B17">
            <w:pPr>
              <w:pStyle w:val="EPTerm"/>
              <w:rPr>
                <w:rStyle w:val="HideTWBExt"/>
                <w:noProof w:val="0"/>
                <w:vanish w:val="0"/>
                <w:color w:val="auto"/>
              </w:rPr>
            </w:pPr>
            <w:r w:rsidRPr="00B1213F">
              <w:t>2024</w:t>
            </w:r>
            <w:r w:rsidR="00817416" w:rsidRPr="00B1213F">
              <w:t>-202</w:t>
            </w:r>
            <w:r w:rsidRPr="00B1213F">
              <w:t>9</w:t>
            </w:r>
          </w:p>
        </w:tc>
        <w:tc>
          <w:tcPr>
            <w:tcW w:w="2268" w:type="dxa"/>
            <w:shd w:val="clear" w:color="auto" w:fill="auto"/>
          </w:tcPr>
          <w:p w14:paraId="64AF7862" w14:textId="77777777" w:rsidR="00751A4A" w:rsidRPr="00B1213F" w:rsidRDefault="00187494" w:rsidP="0010095E">
            <w:pPr>
              <w:pStyle w:val="EPLogo"/>
            </w:pPr>
            <w:r w:rsidRPr="00B1213F">
              <w:rPr>
                <w:noProof/>
                <w:lang w:eastAsia="ja-JP"/>
              </w:rPr>
              <w:drawing>
                <wp:inline distT="0" distB="0" distL="0" distR="0" wp14:anchorId="4D36D5BB" wp14:editId="4BB23E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9534EE" w14:textId="77777777" w:rsidR="00D058B8" w:rsidRPr="00B1213F" w:rsidRDefault="00D058B8" w:rsidP="004C5D52">
      <w:pPr>
        <w:pStyle w:val="LineTop"/>
      </w:pPr>
    </w:p>
    <w:p w14:paraId="731C5C29" w14:textId="77777777" w:rsidR="00680577" w:rsidRPr="00B1213F" w:rsidRDefault="00E4590A" w:rsidP="00680577">
      <w:pPr>
        <w:pStyle w:val="EPBodyTA1"/>
      </w:pPr>
      <w:r w:rsidRPr="00B1213F">
        <w:t>PRIIMTI TEKSTAI</w:t>
      </w:r>
    </w:p>
    <w:p w14:paraId="22087899" w14:textId="77777777" w:rsidR="00D058B8" w:rsidRPr="00B1213F" w:rsidRDefault="00D058B8" w:rsidP="00D058B8">
      <w:pPr>
        <w:pStyle w:val="LineBottom"/>
      </w:pPr>
    </w:p>
    <w:p w14:paraId="3A07480B" w14:textId="4EA4E7DC" w:rsidR="00E4590A" w:rsidRPr="00B1213F" w:rsidRDefault="00E4590A" w:rsidP="00E4590A">
      <w:pPr>
        <w:pStyle w:val="ATHeading1"/>
      </w:pPr>
      <w:bookmarkStart w:id="0" w:name="TANumber"/>
      <w:r w:rsidRPr="00B1213F">
        <w:t>P10_TA(2025)0</w:t>
      </w:r>
      <w:r w:rsidR="00AA1E08">
        <w:t>288</w:t>
      </w:r>
      <w:bookmarkEnd w:id="0"/>
    </w:p>
    <w:p w14:paraId="4463AC42" w14:textId="368FE4F1" w:rsidR="00E4590A" w:rsidRPr="00B1213F" w:rsidRDefault="00063D5E" w:rsidP="00063D5E">
      <w:pPr>
        <w:pStyle w:val="ATHeading2"/>
      </w:pPr>
      <w:bookmarkStart w:id="1" w:name="title"/>
      <w:r>
        <w:t>G</w:t>
      </w:r>
      <w:proofErr w:type="spellStart"/>
      <w:r w:rsidRPr="00063D5E">
        <w:rPr>
          <w:lang w:val="en-GB"/>
        </w:rPr>
        <w:t>eneti</w:t>
      </w:r>
      <w:r w:rsidRPr="00063D5E">
        <w:rPr>
          <w:rFonts w:hint="eastAsia"/>
          <w:lang w:val="en-GB"/>
        </w:rPr>
        <w:t>š</w:t>
      </w:r>
      <w:r w:rsidRPr="00063D5E">
        <w:rPr>
          <w:lang w:val="en-GB"/>
        </w:rPr>
        <w:t>kai</w:t>
      </w:r>
      <w:proofErr w:type="spellEnd"/>
      <w:r>
        <w:rPr>
          <w:lang w:val="en-GB"/>
        </w:rPr>
        <w:t xml:space="preserve"> </w:t>
      </w:r>
      <w:r>
        <w:t>modifikuoti kukurūzai DAS1131</w:t>
      </w:r>
      <w:bookmarkEnd w:id="1"/>
    </w:p>
    <w:p w14:paraId="3ED426C9" w14:textId="77777777" w:rsidR="00E4590A" w:rsidRPr="00B1213F" w:rsidRDefault="00E4590A" w:rsidP="00E4590A">
      <w:pPr>
        <w:rPr>
          <w:i/>
          <w:vanish/>
        </w:rPr>
      </w:pPr>
      <w:r w:rsidRPr="00B1213F">
        <w:rPr>
          <w:i/>
        </w:rPr>
        <w:fldChar w:fldCharType="begin"/>
      </w:r>
      <w:r w:rsidRPr="00B1213F">
        <w:rPr>
          <w:i/>
        </w:rPr>
        <w:instrText xml:space="preserve"> TC"(</w:instrText>
      </w:r>
      <w:bookmarkStart w:id="2" w:name="DocNumber"/>
      <w:r w:rsidRPr="00B1213F">
        <w:rPr>
          <w:i/>
        </w:rPr>
        <w:instrText>B10-0489/2025</w:instrText>
      </w:r>
      <w:bookmarkEnd w:id="2"/>
      <w:r w:rsidRPr="00B1213F">
        <w:rPr>
          <w:i/>
        </w:rPr>
        <w:instrText xml:space="preserve">)"\l3 \n&gt; \* MERGEFORMAT </w:instrText>
      </w:r>
      <w:r w:rsidRPr="00B1213F">
        <w:rPr>
          <w:i/>
        </w:rPr>
        <w:fldChar w:fldCharType="end"/>
      </w:r>
    </w:p>
    <w:p w14:paraId="6BE0B972" w14:textId="77777777" w:rsidR="00E4590A" w:rsidRPr="00B1213F" w:rsidRDefault="00E4590A" w:rsidP="00E4590A">
      <w:pPr>
        <w:rPr>
          <w:vanish/>
        </w:rPr>
      </w:pPr>
      <w:bookmarkStart w:id="3" w:name="PE"/>
      <w:r w:rsidRPr="00B1213F">
        <w:rPr>
          <w:vanish/>
        </w:rPr>
        <w:t>PE778.111</w:t>
      </w:r>
      <w:bookmarkEnd w:id="3"/>
    </w:p>
    <w:p w14:paraId="0B091142" w14:textId="6B14C31C" w:rsidR="00E4590A" w:rsidRPr="00B1213F" w:rsidRDefault="004C2D0B" w:rsidP="004C2D0B">
      <w:pPr>
        <w:pStyle w:val="ATHeading3"/>
      </w:pPr>
      <w:bookmarkStart w:id="4" w:name="Sujet"/>
      <w:r>
        <w:t xml:space="preserve">2025 m. lapkričio </w:t>
      </w:r>
      <w:r w:rsidR="00063D5E">
        <w:t xml:space="preserve">25 </w:t>
      </w:r>
      <w:r>
        <w:t xml:space="preserve">d. </w:t>
      </w:r>
      <w:r w:rsidR="00E4590A" w:rsidRPr="00B1213F">
        <w:t>Europos Parlamento rezoliucija dėl Komisijos įgyvendinimo sprendimo, kuriuo pagal Europos Parlamento ir Tarybos reglamentą (EB) Nr. 1829/2003 leidžiama pateikti rinkai produktus, kurių sudėtyje yra genetiškai modifikuotų kukurūzų DAS1131, kurie iš jų sudaryti arba kurie iš jų pagaminti, projekto</w:t>
      </w:r>
      <w:bookmarkEnd w:id="4"/>
      <w:r w:rsidR="00E4590A" w:rsidRPr="00B1213F">
        <w:t xml:space="preserve"> </w:t>
      </w:r>
      <w:bookmarkStart w:id="5" w:name="References"/>
      <w:r w:rsidR="00E4590A" w:rsidRPr="00B1213F">
        <w:t>(D109630/01 – 2025/2893(RSP))</w:t>
      </w:r>
      <w:bookmarkEnd w:id="5"/>
    </w:p>
    <w:p w14:paraId="08A9BD8A" w14:textId="77777777" w:rsidR="00B001C7" w:rsidRPr="00B1213F" w:rsidRDefault="00B001C7" w:rsidP="00B001C7">
      <w:pPr>
        <w:pStyle w:val="EPComma"/>
      </w:pPr>
      <w:bookmarkStart w:id="6" w:name="TextBodyBegin"/>
      <w:bookmarkEnd w:id="6"/>
      <w:r w:rsidRPr="00B1213F">
        <w:rPr>
          <w:i/>
        </w:rPr>
        <w:t>Europos Parlamentas</w:t>
      </w:r>
      <w:r w:rsidRPr="00B1213F">
        <w:t>,</w:t>
      </w:r>
    </w:p>
    <w:p w14:paraId="72D91CAA" w14:textId="77777777" w:rsidR="00B001C7" w:rsidRPr="00B1213F" w:rsidRDefault="00B001C7" w:rsidP="004C2D0B">
      <w:pPr>
        <w:pStyle w:val="NormalHanging12a"/>
      </w:pPr>
      <w:r w:rsidRPr="00B1213F">
        <w:t>–</w:t>
      </w:r>
      <w:r w:rsidRPr="00B1213F">
        <w:tab/>
        <w:t>atsižvelgdamas į Komisijos įgyvendinimo sprendimo, kuriuo pagal Europos Parlamento ir Tarybos reglamentą (EB) Nr. 1829/2003 leidžiama pateikti rinkai produktus, kurių sudėtyje yra genetiškai modifikuotų kukurūzų DAS1131, kurie iš jų sudaryti arba kurie iš jų pagaminti, projektą (D109630/01),</w:t>
      </w:r>
    </w:p>
    <w:p w14:paraId="0E2D952E" w14:textId="77777777" w:rsidR="00B001C7" w:rsidRPr="00B1213F" w:rsidRDefault="00B001C7" w:rsidP="004C2D0B">
      <w:pPr>
        <w:pStyle w:val="NormalHanging12a"/>
      </w:pPr>
      <w:r w:rsidRPr="00B1213F">
        <w:t>–</w:t>
      </w:r>
      <w:r w:rsidRPr="00B1213F">
        <w:tab/>
        <w:t>atsižvelgdamas į 2003 m. rugsėjo 22 d. Europos Parlamento ir Tarybos reglamentą (EB) Nr. 1829/2003 dėl genetiškai modifikuoto maisto ir pašarų</w:t>
      </w:r>
      <w:r w:rsidRPr="00B1213F">
        <w:rPr>
          <w:rStyle w:val="FootnoteReference"/>
        </w:rPr>
        <w:footnoteReference w:id="1"/>
      </w:r>
      <w:r w:rsidRPr="00B1213F">
        <w:t>, ypač į jo 7 straipsnio 3 dalį ir 19 straipsnio 3 dalį,</w:t>
      </w:r>
    </w:p>
    <w:p w14:paraId="05C0BD16" w14:textId="7E1A7EB3" w:rsidR="00B001C7" w:rsidRPr="00B1213F" w:rsidRDefault="00B001C7" w:rsidP="004C2D0B">
      <w:pPr>
        <w:pStyle w:val="NormalHanging12a"/>
      </w:pPr>
      <w:r w:rsidRPr="00B1213F">
        <w:t>–</w:t>
      </w:r>
      <w:r w:rsidRPr="00B1213F">
        <w:tab/>
        <w:t>atsižvelgdamas į tai, kad Reglamento (EB) Nr. 1829/2003 35 straipsnyje nurodytas Augalų, gyvūnų, maisto ir pašarų nuolatinis komitetas per 2025 m. rugsėjo 15 d. vykusį balsavimą nusprendė nuomonės neteikti,</w:t>
      </w:r>
      <w:r w:rsidR="00063D5E">
        <w:t xml:space="preserve"> </w:t>
      </w:r>
      <w:r w:rsidR="00D821C9" w:rsidRPr="00CF682D">
        <w:t xml:space="preserve">ir į tai, kad Apeliacinis komitetas </w:t>
      </w:r>
      <w:r w:rsidR="00D821C9">
        <w:t xml:space="preserve">per </w:t>
      </w:r>
      <w:r w:rsidR="00D821C9" w:rsidRPr="00CF682D">
        <w:t xml:space="preserve">2025 m. spalio 21 d. </w:t>
      </w:r>
      <w:r w:rsidR="00D821C9">
        <w:t xml:space="preserve">vykusį </w:t>
      </w:r>
      <w:r w:rsidR="00D821C9" w:rsidRPr="00CF682D">
        <w:t>balsavim</w:t>
      </w:r>
      <w:r w:rsidR="00D821C9">
        <w:t>ą</w:t>
      </w:r>
      <w:r w:rsidR="00D821C9" w:rsidRPr="00CF682D">
        <w:t xml:space="preserve"> taip pat nusprendė nuomonės neteikti</w:t>
      </w:r>
      <w:r w:rsidR="00063D5E">
        <w:t xml:space="preserve">, </w:t>
      </w:r>
    </w:p>
    <w:p w14:paraId="4E22B162" w14:textId="77777777" w:rsidR="00B001C7" w:rsidRPr="00B1213F" w:rsidRDefault="00B001C7" w:rsidP="004C2D0B">
      <w:pPr>
        <w:pStyle w:val="NormalHanging12a"/>
        <w:widowControl/>
        <w:rPr>
          <w:szCs w:val="24"/>
        </w:rPr>
      </w:pPr>
      <w:r w:rsidRPr="00B1213F">
        <w:t>–</w:t>
      </w:r>
      <w:r w:rsidRPr="00B1213F">
        <w:tab/>
        <w:t>atsižvelgdamas į 2011 m. vasario 16 d. Europos Parlamento ir Tarybos reglamento (ES) Nr. 182/2011, kuriuo nustatomos valstybių narių vykdomos Komisijos naudojimosi įgyvendinimo įgaliojimais kontrolės mechanizmų taisyklės ir bendrieji principai</w:t>
      </w:r>
      <w:bookmarkStart w:id="7" w:name="_Hlk210662860"/>
      <w:r w:rsidRPr="00B1213F">
        <w:rPr>
          <w:rStyle w:val="FootnoteReference"/>
          <w:szCs w:val="24"/>
        </w:rPr>
        <w:footnoteReference w:id="2"/>
      </w:r>
      <w:bookmarkEnd w:id="7"/>
      <w:r w:rsidRPr="00B1213F">
        <w:t>, 11 straipsnį,</w:t>
      </w:r>
    </w:p>
    <w:p w14:paraId="23FBE5E1" w14:textId="77777777" w:rsidR="00B001C7" w:rsidRPr="00B1213F" w:rsidRDefault="00B001C7" w:rsidP="004C2D0B">
      <w:pPr>
        <w:pStyle w:val="NormalHanging12a"/>
        <w:widowControl/>
      </w:pPr>
      <w:bookmarkStart w:id="9" w:name="_Hlk210663128"/>
      <w:r w:rsidRPr="00B1213F">
        <w:t>–</w:t>
      </w:r>
      <w:r w:rsidRPr="00B1213F">
        <w:tab/>
        <w:t>atsižvelgdamas į Europos maisto saugos tarnybos (EFSA) 2025 m. vasario 5 d. priimtą ir 2025 m. kovo 19 d. paskelbtą nuomonę</w:t>
      </w:r>
      <w:r w:rsidRPr="00B1213F">
        <w:rPr>
          <w:rStyle w:val="FootnoteReference"/>
          <w:szCs w:val="24"/>
        </w:rPr>
        <w:footnoteReference w:id="3"/>
      </w:r>
      <w:r w:rsidRPr="00B1213F">
        <w:t>,</w:t>
      </w:r>
    </w:p>
    <w:bookmarkEnd w:id="9"/>
    <w:p w14:paraId="11AEA416" w14:textId="77777777" w:rsidR="00B001C7" w:rsidRPr="00B1213F" w:rsidRDefault="00B001C7" w:rsidP="004C2D0B">
      <w:pPr>
        <w:pStyle w:val="NormalHanging12a"/>
      </w:pPr>
      <w:r w:rsidRPr="00B1213F">
        <w:t xml:space="preserve">– </w:t>
      </w:r>
      <w:r w:rsidRPr="00B1213F">
        <w:tab/>
        <w:t xml:space="preserve">atsižvelgdamas į ankstesnes savo rezoliucijas, kuriomis prieštaraujama leidimui naudoti </w:t>
      </w:r>
      <w:r w:rsidRPr="00B1213F">
        <w:lastRenderedPageBreak/>
        <w:t>genetiškai modifikuotus organizmus (GMO)</w:t>
      </w:r>
      <w:r w:rsidRPr="00B1213F">
        <w:rPr>
          <w:rStyle w:val="FootnoteReference"/>
        </w:rPr>
        <w:footnoteReference w:id="4"/>
      </w:r>
      <w:r w:rsidRPr="00B1213F">
        <w:t>,</w:t>
      </w:r>
    </w:p>
    <w:p w14:paraId="73D98E12" w14:textId="77777777" w:rsidR="00B001C7" w:rsidRPr="00B1213F" w:rsidRDefault="00B001C7" w:rsidP="004C2D0B">
      <w:pPr>
        <w:pStyle w:val="NormalHanging12a"/>
      </w:pPr>
      <w:r w:rsidRPr="00B1213F">
        <w:lastRenderedPageBreak/>
        <w:t>–</w:t>
      </w:r>
      <w:r w:rsidRPr="00B1213F">
        <w:tab/>
        <w:t>atsižvelgdamas į Darbo tvarkos taisyklių 115 straipsnio 2 ir 3 dalis,</w:t>
      </w:r>
    </w:p>
    <w:p w14:paraId="7C2C3D93" w14:textId="77777777" w:rsidR="00B001C7" w:rsidRPr="00B1213F" w:rsidRDefault="00B001C7" w:rsidP="004C2D0B">
      <w:pPr>
        <w:pStyle w:val="NormalHanging12a"/>
      </w:pPr>
      <w:r w:rsidRPr="00B1213F">
        <w:t>–</w:t>
      </w:r>
      <w:r w:rsidRPr="00B1213F">
        <w:tab/>
        <w:t>atsižvelgdamas į Aplinkos, klimato ir maisto saugos komiteto pasiūlymą dėl rezoliucijos,</w:t>
      </w:r>
    </w:p>
    <w:p w14:paraId="4843261D" w14:textId="77777777" w:rsidR="00B001C7" w:rsidRPr="00B1213F" w:rsidRDefault="00B001C7" w:rsidP="004C2D0B">
      <w:pPr>
        <w:spacing w:after="240"/>
        <w:ind w:left="567" w:hanging="567"/>
      </w:pPr>
      <w:r w:rsidRPr="00B1213F">
        <w:t>A.</w:t>
      </w:r>
      <w:r w:rsidRPr="00B1213F">
        <w:tab/>
        <w:t>kadangi 2022 m. birželio 17 d. Belgijoje įsisteigusi bendrovė „</w:t>
      </w:r>
      <w:proofErr w:type="spellStart"/>
      <w:r w:rsidRPr="00B1213F">
        <w:t>Corteva</w:t>
      </w:r>
      <w:proofErr w:type="spellEnd"/>
      <w:r w:rsidRPr="00B1213F">
        <w:t xml:space="preserve"> </w:t>
      </w:r>
      <w:proofErr w:type="spellStart"/>
      <w:r w:rsidRPr="00B1213F">
        <w:t>Agriscience</w:t>
      </w:r>
      <w:proofErr w:type="spellEnd"/>
      <w:r w:rsidRPr="00B1213F">
        <w:t xml:space="preserve"> </w:t>
      </w:r>
      <w:proofErr w:type="spellStart"/>
      <w:r w:rsidRPr="00B1213F">
        <w:t>Belgium</w:t>
      </w:r>
      <w:proofErr w:type="spellEnd"/>
      <w:r w:rsidRPr="00B1213F">
        <w:t xml:space="preserve"> B.V.“ Jungtinėse Amerikos Valstijose įsisteigusios bendrovės „</w:t>
      </w:r>
      <w:proofErr w:type="spellStart"/>
      <w:r w:rsidRPr="00B1213F">
        <w:t>Corteva</w:t>
      </w:r>
      <w:proofErr w:type="spellEnd"/>
      <w:r w:rsidRPr="00B1213F">
        <w:t xml:space="preserve"> </w:t>
      </w:r>
      <w:proofErr w:type="spellStart"/>
      <w:r w:rsidRPr="00B1213F">
        <w:t>Agriscience</w:t>
      </w:r>
      <w:proofErr w:type="spellEnd"/>
      <w:r w:rsidRPr="00B1213F">
        <w:t xml:space="preserve"> LLC“ vardu pagal Reglamento (EB) Nr. 1829/2003 5 ir 17 straipsnius </w:t>
      </w:r>
      <w:r w:rsidRPr="00B1213F">
        <w:rPr>
          <w:snapToGrid w:val="0"/>
        </w:rPr>
        <w:t>Nyderlandų nacionalinei kompetentingai institucijai</w:t>
      </w:r>
      <w:r w:rsidRPr="00B1213F">
        <w:t xml:space="preserve"> pateikė paraišką dėl maisto produktų, maisto sudedamųjų dalių ir pašarų, kurių sudėtyje yra genetiškai modifikuotų kukurūzų DAS1131 (toliau – genetiškai modifikuoti kukurūzai), kurie iš jų sudaryti arba kurie iš jų pagaminti, pateikimo rinkai (toliau – paraiška); kadangi paraiška taip pat apėmė produktų, kurių sudėtyje yra genetiškai modifikuotų kukurūzų arba kurie iš jų sudaryti, naudojimą kitais tikslais nei maistui ir pašarams, išskyrus auginimą;</w:t>
      </w:r>
    </w:p>
    <w:p w14:paraId="531A0E29" w14:textId="77777777" w:rsidR="00B001C7" w:rsidRPr="00B1213F" w:rsidRDefault="00B001C7" w:rsidP="004C2D0B">
      <w:pPr>
        <w:spacing w:after="240"/>
        <w:ind w:left="567" w:hanging="567"/>
      </w:pPr>
      <w:r w:rsidRPr="00B1213F">
        <w:t>B.</w:t>
      </w:r>
      <w:r w:rsidRPr="00B1213F">
        <w:tab/>
        <w:t xml:space="preserve">kadangi genetiškai modifikuoti kukurūzai gamina Cry1Da2 baltymą, kuris suteikia atsparumą tam tikriems </w:t>
      </w:r>
      <w:proofErr w:type="spellStart"/>
      <w:r w:rsidRPr="00B1213F">
        <w:rPr>
          <w:i/>
        </w:rPr>
        <w:t>lepidoptera</w:t>
      </w:r>
      <w:proofErr w:type="spellEnd"/>
      <w:r w:rsidRPr="00B1213F">
        <w:t xml:space="preserve"> vabzdžiams kenkėjams, ir DGT-28 EPSPS baltymą, kuris didina atsparumą </w:t>
      </w:r>
      <w:proofErr w:type="spellStart"/>
      <w:r w:rsidRPr="00B1213F">
        <w:t>glifosato</w:t>
      </w:r>
      <w:proofErr w:type="spellEnd"/>
      <w:r w:rsidRPr="00B1213F">
        <w:t xml:space="preserve"> herbicidui;</w:t>
      </w:r>
    </w:p>
    <w:p w14:paraId="299E1CC1" w14:textId="77777777" w:rsidR="00B001C7" w:rsidRPr="00B1213F" w:rsidRDefault="00B001C7" w:rsidP="004C2D0B">
      <w:pPr>
        <w:spacing w:after="240"/>
        <w:ind w:left="567" w:hanging="567"/>
      </w:pPr>
      <w:bookmarkStart w:id="10" w:name="_Hlk210306900"/>
      <w:r w:rsidRPr="00B1213F">
        <w:t>C.</w:t>
      </w:r>
      <w:r w:rsidRPr="00B1213F">
        <w:tab/>
        <w:t xml:space="preserve">kadangi tebėra neatsakyta į klausimus dėl </w:t>
      </w:r>
      <w:proofErr w:type="spellStart"/>
      <w:r w:rsidRPr="00B1213F">
        <w:t>glifosato</w:t>
      </w:r>
      <w:proofErr w:type="spellEnd"/>
      <w:r w:rsidRPr="00B1213F">
        <w:t xml:space="preserve"> </w:t>
      </w:r>
      <w:proofErr w:type="spellStart"/>
      <w:r w:rsidRPr="00B1213F">
        <w:t>kancerogeniškumo</w:t>
      </w:r>
      <w:proofErr w:type="spellEnd"/>
      <w:r w:rsidRPr="00B1213F">
        <w:t xml:space="preserve">; kadangi 2015 m. lapkričio mėn. EFSA pateikė išvadą, kad </w:t>
      </w:r>
      <w:proofErr w:type="spellStart"/>
      <w:r w:rsidRPr="00B1213F">
        <w:t>glifosatas</w:t>
      </w:r>
      <w:proofErr w:type="spellEnd"/>
      <w:r w:rsidRPr="00B1213F">
        <w:t xml:space="preserve"> tikriausiai nėra </w:t>
      </w:r>
      <w:proofErr w:type="spellStart"/>
      <w:r w:rsidRPr="00B1213F">
        <w:t>kancerogeniškas</w:t>
      </w:r>
      <w:proofErr w:type="spellEnd"/>
      <w:r w:rsidRPr="00B1213F">
        <w:t xml:space="preserve">, o Europos cheminių medžiagų agentūra 2017 m. kovo mėn. pateikė išvadą, kad nėra pagrindo jo priskirti prie jokios pavojingų medžiagų kategorijos; kadangi 2015 m. Tarptautinė vėžio tyrimų agentūra – specializuota Pasaulio sveikatos organizacijos </w:t>
      </w:r>
      <w:r w:rsidRPr="00B1213F">
        <w:lastRenderedPageBreak/>
        <w:t xml:space="preserve">vėžio agentūra – priešingai, </w:t>
      </w:r>
      <w:proofErr w:type="spellStart"/>
      <w:r w:rsidRPr="00B1213F">
        <w:t>glifosatą</w:t>
      </w:r>
      <w:proofErr w:type="spellEnd"/>
      <w:r w:rsidRPr="00B1213F">
        <w:t xml:space="preserve"> priskyrė prie galbūt kancerogeninį poveikį žmonėms turinčių medžiagų; kadangi keletu naujausių recenzuojamų mokslinių tyrimų patvirtinamas </w:t>
      </w:r>
      <w:proofErr w:type="spellStart"/>
      <w:r w:rsidRPr="00B1213F">
        <w:t>glifosato</w:t>
      </w:r>
      <w:proofErr w:type="spellEnd"/>
      <w:r w:rsidRPr="00B1213F">
        <w:t xml:space="preserve"> kancerogeninis potencialas</w:t>
      </w:r>
      <w:r w:rsidRPr="00B1213F">
        <w:rPr>
          <w:rStyle w:val="FootnoteReference"/>
        </w:rPr>
        <w:footnoteReference w:id="5"/>
      </w:r>
      <w:r w:rsidRPr="00B1213F">
        <w:t>;</w:t>
      </w:r>
    </w:p>
    <w:bookmarkEnd w:id="10"/>
    <w:p w14:paraId="31C1D422" w14:textId="77777777" w:rsidR="00B001C7" w:rsidRPr="00B1213F" w:rsidRDefault="00B001C7" w:rsidP="004C2D0B">
      <w:pPr>
        <w:spacing w:after="240"/>
        <w:ind w:left="567" w:hanging="567"/>
      </w:pPr>
      <w:r w:rsidRPr="00B1213F">
        <w:t>D.</w:t>
      </w:r>
      <w:r w:rsidRPr="00B1213F">
        <w:tab/>
        <w:t>kadangi 2025 m. vasario 5 d. EFSA pateikė palankią nuomonę, kurioje padarė išvadą, kad genetiškai modifikuoti kukurūzai yra tokie pat saugūs kaip jų tradicinis atitikmuo; kadangi toje nuomonėje nebuvo aptarti keli platesnio pobūdžio aplinkos, socialinio ir ekonominio bei kumuliacinio poveikio klausimai, kurie, EFSA nuomone, nepriklauso jos kompetencijos sričiai;</w:t>
      </w:r>
    </w:p>
    <w:p w14:paraId="73F3E2C8" w14:textId="77777777" w:rsidR="00B001C7" w:rsidRPr="00B1213F" w:rsidRDefault="00B001C7" w:rsidP="004C2D0B">
      <w:pPr>
        <w:spacing w:after="240"/>
        <w:ind w:left="567" w:hanging="567"/>
      </w:pPr>
      <w:r w:rsidRPr="00B1213F">
        <w:t>E.</w:t>
      </w:r>
      <w:r w:rsidRPr="00B1213F">
        <w:tab/>
        <w:t xml:space="preserve">kadangi į EFSA atliktą rizikos vertinimą nebuvo įtraukti ilgalaikiai </w:t>
      </w:r>
      <w:proofErr w:type="spellStart"/>
      <w:r w:rsidRPr="00B1213F">
        <w:t>toksikologiniai</w:t>
      </w:r>
      <w:proofErr w:type="spellEnd"/>
      <w:r w:rsidRPr="00B1213F">
        <w:t xml:space="preserve"> tyrimai ar išsami kumuliacinio ir </w:t>
      </w:r>
      <w:proofErr w:type="spellStart"/>
      <w:r w:rsidRPr="00B1213F">
        <w:t>kombinatorinio</w:t>
      </w:r>
      <w:proofErr w:type="spellEnd"/>
      <w:r w:rsidRPr="00B1213F">
        <w:t xml:space="preserve"> poveikio analizė, įskaitant galimas sąveikas su pesticidų, dažnai naudojamų auginant kukurūzus, liekanomis;</w:t>
      </w:r>
    </w:p>
    <w:p w14:paraId="6E5008F7" w14:textId="77777777" w:rsidR="00B001C7" w:rsidRPr="00B1213F" w:rsidRDefault="00B001C7" w:rsidP="004C2D0B">
      <w:pPr>
        <w:spacing w:after="240"/>
        <w:ind w:left="567" w:hanging="567"/>
      </w:pPr>
      <w:r w:rsidRPr="00B1213F">
        <w:t>F.</w:t>
      </w:r>
      <w:r w:rsidRPr="00B1213F">
        <w:tab/>
        <w:t>kadangi lauko tyrimai, kuriais grindžiama paraiška, buvo atlikti ribotomis geografinėmis ir klimato sąlygomis, kurios neatspindi visos kukurūzų auginimo regionų, įskaitant tuos, kuriuos stipriai veikia su klimato kaita susiję streso veiksniai, įvairovės;</w:t>
      </w:r>
    </w:p>
    <w:p w14:paraId="0F74E4BE" w14:textId="77777777" w:rsidR="00B001C7" w:rsidRPr="00B1213F" w:rsidRDefault="00B001C7" w:rsidP="004C2D0B">
      <w:pPr>
        <w:spacing w:after="240"/>
        <w:ind w:left="567" w:hanging="567"/>
      </w:pPr>
      <w:r w:rsidRPr="00B1213F">
        <w:t>G.</w:t>
      </w:r>
      <w:r w:rsidRPr="00B1213F">
        <w:tab/>
        <w:t>kadangi nepriklausoma galimo neigiamo poveikio biologinei įvairovei, dirvožemio būklei, apdulkintojams ir netiksliniams organizmams stebėsena ir priežiūra tebėra nepakankamai užtikrinta;</w:t>
      </w:r>
    </w:p>
    <w:p w14:paraId="12780DFD" w14:textId="77777777" w:rsidR="00B001C7" w:rsidRPr="00B1213F" w:rsidRDefault="00B001C7" w:rsidP="004C2D0B">
      <w:pPr>
        <w:spacing w:after="240"/>
        <w:ind w:left="567" w:hanging="567"/>
      </w:pPr>
      <w:r w:rsidRPr="00B1213F">
        <w:t>H.</w:t>
      </w:r>
      <w:r w:rsidRPr="00B1213F">
        <w:tab/>
        <w:t>kadangi iki šiol nėra atlikta jokių recenzuojamų tyrimų dėl Cry1Da2 baltymo toksiškumo ar veikimo būdo;</w:t>
      </w:r>
    </w:p>
    <w:p w14:paraId="22BD68E5" w14:textId="77777777" w:rsidR="00B001C7" w:rsidRPr="00B1213F" w:rsidRDefault="00B001C7" w:rsidP="004C2D0B">
      <w:pPr>
        <w:spacing w:after="240"/>
        <w:ind w:left="567" w:hanging="567"/>
      </w:pPr>
      <w:r w:rsidRPr="00B1213F">
        <w:t>I.</w:t>
      </w:r>
      <w:r w:rsidRPr="00B1213F">
        <w:tab/>
        <w:t>kadangi esant moksliniam netikrumui turėtų būti taikomas Sutarties dėl Europos Sąjungos veikimo 191 straipsnyje įtvirtintas atsargumo principas;</w:t>
      </w:r>
    </w:p>
    <w:p w14:paraId="576DE5B1" w14:textId="77777777" w:rsidR="00B001C7" w:rsidRPr="00B1213F" w:rsidRDefault="00B001C7" w:rsidP="004C2D0B">
      <w:pPr>
        <w:spacing w:after="240"/>
        <w:ind w:left="567" w:hanging="567"/>
      </w:pPr>
      <w:r w:rsidRPr="00B1213F">
        <w:t>J.</w:t>
      </w:r>
      <w:r w:rsidRPr="00B1213F">
        <w:tab/>
        <w:t>kadangi Reglamente (EB) Nr. 1829/2003 reikalaujama užtikrinti, kad genetiškai modifikuoti maisto produktai ir pašarai neturėtų neigiamo poveikio žmonių sveikatai, gyvūnų sveikatai ar aplinkai;</w:t>
      </w:r>
    </w:p>
    <w:p w14:paraId="2E11A299" w14:textId="77777777" w:rsidR="00B001C7" w:rsidRPr="00B1213F" w:rsidRDefault="00B001C7" w:rsidP="004C2D0B">
      <w:pPr>
        <w:spacing w:after="240"/>
        <w:ind w:left="567" w:hanging="567"/>
      </w:pPr>
      <w:r w:rsidRPr="00B1213F">
        <w:t>K.</w:t>
      </w:r>
      <w:r w:rsidRPr="00B1213F">
        <w:tab/>
        <w:t>kadangi priėmus Komisijos įgyvendinimo sprendimo projektą būtų leidžiama į Sąjungą importuoti produktus, kurie neatitinka standartų, kurių laikosi Sąjungos ūkininkai, dėl to jie atsidurtų nepalankioje konkurencinėje padėtyje;</w:t>
      </w:r>
    </w:p>
    <w:p w14:paraId="7597A59D" w14:textId="77777777" w:rsidR="00B001C7" w:rsidRPr="00B1213F" w:rsidRDefault="00B001C7" w:rsidP="004C2D0B">
      <w:pPr>
        <w:spacing w:after="240"/>
        <w:ind w:left="567" w:hanging="567"/>
      </w:pPr>
      <w:r w:rsidRPr="00B1213F">
        <w:t>L.</w:t>
      </w:r>
      <w:r w:rsidRPr="00B1213F">
        <w:tab/>
        <w:t>kadangi Parlamentas ne kartą pabrėžė, kad Komisija neturėtų leisti naudoti GMO tais atvejais, kai valstybės narės Augalų, gyvūnų, maisto ir pašarų nuolatinio komiteto arba Apeliacinio komiteto posėdžiuose nesusitaria kvalifikuota balsų dauguma, kad būtų išspręstas nuolatinės demokratijos stokos klausimas;</w:t>
      </w:r>
    </w:p>
    <w:p w14:paraId="55B976AA" w14:textId="77777777" w:rsidR="00B001C7" w:rsidRPr="00B1213F" w:rsidRDefault="00B001C7" w:rsidP="004C2D0B">
      <w:pPr>
        <w:spacing w:after="240"/>
        <w:ind w:left="567" w:hanging="567"/>
      </w:pPr>
      <w:r w:rsidRPr="00B1213F">
        <w:t>M.</w:t>
      </w:r>
      <w:r w:rsidRPr="00B1213F">
        <w:tab/>
        <w:t>kadangi, vadovaujantis bendros sveikatos koncepcija, vertinant GMO ilgalaikį tvarumą ir saugą būtina atsižvelgti į žmonių, gyvūnų, augalų ir aplinkos sveikatos tarpusavio priklausomybę;</w:t>
      </w:r>
    </w:p>
    <w:p w14:paraId="470A30B3" w14:textId="77777777" w:rsidR="00B001C7" w:rsidRPr="00B1213F" w:rsidRDefault="00B001C7" w:rsidP="004C2D0B">
      <w:pPr>
        <w:tabs>
          <w:tab w:val="left" w:pos="0"/>
        </w:tabs>
        <w:spacing w:after="240"/>
        <w:ind w:left="567" w:hanging="567"/>
      </w:pPr>
      <w:r w:rsidRPr="00B1213F">
        <w:t>1.</w:t>
      </w:r>
      <w:r w:rsidRPr="00B1213F">
        <w:tab/>
        <w:t xml:space="preserve">mano, kad Komisijos įgyvendinimo sprendimo projektas viršija Reglamente (EB) </w:t>
      </w:r>
      <w:r w:rsidRPr="00B1213F">
        <w:lastRenderedPageBreak/>
        <w:t>Nr. 1829/2003 numatytus įgyvendinimo įgaliojimus;</w:t>
      </w:r>
    </w:p>
    <w:p w14:paraId="6CFB0DCE" w14:textId="77777777" w:rsidR="00B001C7" w:rsidRPr="00B1213F" w:rsidRDefault="00B001C7" w:rsidP="004C2D0B">
      <w:pPr>
        <w:tabs>
          <w:tab w:val="left" w:pos="0"/>
        </w:tabs>
        <w:spacing w:after="240"/>
        <w:ind w:left="567" w:hanging="567"/>
      </w:pPr>
      <w:r w:rsidRPr="00B1213F">
        <w:t>2.</w:t>
      </w:r>
      <w:r w:rsidRPr="00B1213F">
        <w:tab/>
        <w:t>mano, kad Komisijos įgyvendinimo sprendimo projektas neatitinka Sąjungos teisės, nes jis nesuderinamas su Reglamento (EB) Nr. 1829/2003 tikslu, pagal kurį, remiantis Europos Parlamento ir Tarybos reglamentu (EB) Nr. 178/2002</w:t>
      </w:r>
      <w:r w:rsidRPr="00B1213F">
        <w:rPr>
          <w:rStyle w:val="FootnoteReference"/>
        </w:rPr>
        <w:footnoteReference w:id="6"/>
      </w:r>
      <w:r w:rsidRPr="00B1213F">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14:paraId="764D7C50" w14:textId="77777777" w:rsidR="00B001C7" w:rsidRPr="00B1213F" w:rsidRDefault="00B001C7" w:rsidP="004C2D0B">
      <w:pPr>
        <w:tabs>
          <w:tab w:val="left" w:pos="0"/>
        </w:tabs>
        <w:spacing w:after="240"/>
        <w:ind w:left="567" w:hanging="567"/>
      </w:pPr>
      <w:r w:rsidRPr="00B1213F">
        <w:t>3.</w:t>
      </w:r>
      <w:r w:rsidRPr="00B1213F">
        <w:tab/>
        <w:t>prašo Komisijos atsiimti savo įgyvendinimo sprendimo projektą;</w:t>
      </w:r>
    </w:p>
    <w:p w14:paraId="15A6F93C" w14:textId="77777777" w:rsidR="00B001C7" w:rsidRPr="00B1213F" w:rsidRDefault="00B001C7" w:rsidP="004C2D0B">
      <w:pPr>
        <w:tabs>
          <w:tab w:val="left" w:pos="0"/>
        </w:tabs>
        <w:spacing w:after="240"/>
        <w:ind w:left="567" w:hanging="567"/>
      </w:pPr>
      <w:r w:rsidRPr="00B1213F">
        <w:t>4.</w:t>
      </w:r>
      <w:r w:rsidRPr="00B1213F">
        <w:tab/>
        <w:t>ragina Komisiją, vadovaujantis bendros sveikatos koncepcija, neleisti naudoti genetiškai modifikuotų kukurūzų, nes nėra pakankamai įrodymų apie jų ilgalaikį poveikį biologinei įvairovei, maisto saugai ir ūkininkų pragyvenimui;</w:t>
      </w:r>
    </w:p>
    <w:p w14:paraId="41B42320" w14:textId="77777777" w:rsidR="00B001C7" w:rsidRPr="00B1213F" w:rsidRDefault="00B001C7" w:rsidP="004C2D0B">
      <w:pPr>
        <w:tabs>
          <w:tab w:val="left" w:pos="0"/>
        </w:tabs>
        <w:spacing w:after="240"/>
        <w:ind w:left="567" w:hanging="567"/>
      </w:pPr>
      <w:bookmarkStart w:id="11" w:name="_Hlk210900300"/>
      <w:r w:rsidRPr="00B1213F">
        <w:t>5.</w:t>
      </w:r>
      <w:r w:rsidRPr="00B1213F">
        <w:tab/>
        <w:t>ragina Komisiją nedelsiant pateikti pasiūlymą dėl teisėkūros procedūra priimamo akto dėl sprendimų priėmimo procedūros GMO srityje reformos, siekiant atsižvelgti į nuolatinius Parlamento prieštaravimus ir trūkstamą kvalifikuotos daugumos paramą tarp valstybių narių</w:t>
      </w:r>
      <w:bookmarkEnd w:id="11"/>
      <w:r w:rsidRPr="00B1213F">
        <w:t>;</w:t>
      </w:r>
    </w:p>
    <w:p w14:paraId="36B46289" w14:textId="77777777" w:rsidR="00B001C7" w:rsidRPr="00B1213F" w:rsidRDefault="00B001C7" w:rsidP="004C2D0B">
      <w:pPr>
        <w:tabs>
          <w:tab w:val="left" w:pos="0"/>
        </w:tabs>
        <w:spacing w:after="240"/>
        <w:ind w:left="567" w:hanging="567"/>
      </w:pPr>
      <w:bookmarkStart w:id="12" w:name="_Hlk210900241"/>
      <w:r w:rsidRPr="00B1213F">
        <w:t>6.</w:t>
      </w:r>
      <w:r w:rsidRPr="00B1213F">
        <w:tab/>
        <w:t>primygtinai ragina Komisiją atsižvelgti į Sąjungos įsipareigojimus pagal tarptautinius susitarimus, pvz., Paryžiaus klimato susitarimą, Jungtinių Tautų (JT) biologinės įvairovės konvenciją ir JT darnaus vystymosi tikslus;</w:t>
      </w:r>
    </w:p>
    <w:bookmarkEnd w:id="12"/>
    <w:p w14:paraId="5828FF26" w14:textId="5D0F41A6" w:rsidR="00E365E1" w:rsidRPr="00B1213F" w:rsidRDefault="00B001C7" w:rsidP="004C2D0B">
      <w:pPr>
        <w:tabs>
          <w:tab w:val="left" w:pos="0"/>
        </w:tabs>
        <w:spacing w:after="240"/>
        <w:ind w:left="567" w:hanging="567"/>
      </w:pPr>
      <w:r w:rsidRPr="00B1213F">
        <w:t>7.</w:t>
      </w:r>
      <w:r w:rsidRPr="00B1213F">
        <w:tab/>
        <w:t>paveda Pirmininkei perduoti šią rezoliuciją Tarybai ir Komisijai bei valstybių narių vyriausybėms ir parlamentams.</w:t>
      </w:r>
    </w:p>
    <w:sectPr w:rsidR="00E365E1" w:rsidRPr="00B1213F" w:rsidSect="00B1213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0614D" w14:textId="77777777" w:rsidR="00E4590A" w:rsidRPr="00B1213F" w:rsidRDefault="00E4590A">
      <w:r w:rsidRPr="00B1213F">
        <w:separator/>
      </w:r>
    </w:p>
  </w:endnote>
  <w:endnote w:type="continuationSeparator" w:id="0">
    <w:p w14:paraId="637742C7" w14:textId="77777777" w:rsidR="00E4590A" w:rsidRPr="00B1213F" w:rsidRDefault="00E4590A">
      <w:r w:rsidRPr="00B12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86B49" w14:textId="77777777" w:rsidR="00E4590A" w:rsidRPr="00B1213F" w:rsidRDefault="00E4590A">
      <w:r w:rsidRPr="00B1213F">
        <w:separator/>
      </w:r>
    </w:p>
  </w:footnote>
  <w:footnote w:type="continuationSeparator" w:id="0">
    <w:p w14:paraId="7DB42374" w14:textId="77777777" w:rsidR="00E4590A" w:rsidRPr="00B1213F" w:rsidRDefault="00E4590A">
      <w:r w:rsidRPr="00B1213F">
        <w:continuationSeparator/>
      </w:r>
    </w:p>
  </w:footnote>
  <w:footnote w:id="1">
    <w:p w14:paraId="660BD1BD" w14:textId="4D907C68" w:rsidR="00B001C7" w:rsidRPr="00B1213F" w:rsidRDefault="00B001C7" w:rsidP="00B1213F">
      <w:pPr>
        <w:pStyle w:val="FootnoteText"/>
        <w:ind w:left="567" w:hanging="567"/>
        <w:rPr>
          <w:sz w:val="24"/>
          <w:lang w:val="lt-LT"/>
        </w:rPr>
      </w:pPr>
      <w:r w:rsidRPr="00B1213F">
        <w:rPr>
          <w:rStyle w:val="Funotenzeichen"/>
          <w:sz w:val="24"/>
          <w:lang w:val="lt-LT"/>
        </w:rPr>
        <w:footnoteRef/>
      </w:r>
      <w:r w:rsidR="00B1213F" w:rsidRPr="00B1213F">
        <w:rPr>
          <w:sz w:val="24"/>
          <w:lang w:val="lt-LT"/>
        </w:rPr>
        <w:t xml:space="preserve"> </w:t>
      </w:r>
      <w:r w:rsidR="00B1213F" w:rsidRPr="00B1213F">
        <w:rPr>
          <w:sz w:val="24"/>
          <w:lang w:val="lt-LT"/>
        </w:rPr>
        <w:tab/>
      </w:r>
      <w:r w:rsidRPr="00B1213F">
        <w:rPr>
          <w:sz w:val="24"/>
          <w:lang w:val="lt-LT"/>
        </w:rPr>
        <w:t>OL L 268, 2003 10 18, p. 1, ELI: </w:t>
      </w:r>
      <w:hyperlink r:id="rId1" w:tooltip="Prieiga prie šio dokumento per jo ELI URI." w:history="1">
        <w:r w:rsidRPr="00B1213F">
          <w:rPr>
            <w:rStyle w:val="Hyperlink"/>
            <w:sz w:val="24"/>
            <w:lang w:val="lt-LT"/>
          </w:rPr>
          <w:t>http://data.europa.eu/eli/reg/2003/1829/oj</w:t>
        </w:r>
      </w:hyperlink>
      <w:r w:rsidRPr="00B1213F">
        <w:rPr>
          <w:rStyle w:val="Hyperlink"/>
          <w:sz w:val="24"/>
          <w:lang w:val="lt-LT"/>
        </w:rPr>
        <w:t>.</w:t>
      </w:r>
    </w:p>
  </w:footnote>
  <w:footnote w:id="2">
    <w:p w14:paraId="6E7A1E97" w14:textId="22859124" w:rsidR="00B001C7" w:rsidRPr="00B1213F" w:rsidRDefault="00B001C7" w:rsidP="00B1213F">
      <w:pPr>
        <w:pStyle w:val="FootnoteText"/>
        <w:ind w:left="567" w:hanging="567"/>
        <w:rPr>
          <w:sz w:val="24"/>
          <w:lang w:val="lt-LT"/>
        </w:rPr>
      </w:pPr>
      <w:r w:rsidRPr="00B1213F">
        <w:rPr>
          <w:rStyle w:val="FootnoteReference"/>
          <w:sz w:val="24"/>
          <w:lang w:val="lt-LT"/>
        </w:rPr>
        <w:footnoteRef/>
      </w:r>
      <w:bookmarkStart w:id="8" w:name="_Hlk210663104"/>
      <w:r w:rsidR="00B1213F" w:rsidRPr="00B1213F">
        <w:rPr>
          <w:sz w:val="24"/>
          <w:lang w:val="lt-LT"/>
        </w:rPr>
        <w:t xml:space="preserve"> </w:t>
      </w:r>
      <w:r w:rsidR="00B1213F" w:rsidRPr="00B1213F">
        <w:rPr>
          <w:sz w:val="24"/>
          <w:lang w:val="lt-LT"/>
        </w:rPr>
        <w:tab/>
      </w:r>
      <w:r w:rsidRPr="00B1213F">
        <w:rPr>
          <w:sz w:val="24"/>
          <w:lang w:val="lt-LT"/>
        </w:rPr>
        <w:t xml:space="preserve">OL L 55, 2011 2 28, p. 13, ELI: </w:t>
      </w:r>
      <w:hyperlink r:id="rId2" w:history="1">
        <w:r w:rsidRPr="00B1213F">
          <w:rPr>
            <w:rStyle w:val="Hyperlink"/>
            <w:sz w:val="24"/>
            <w:lang w:val="lt-LT"/>
          </w:rPr>
          <w:t>http://data.europa.eu/eli/reg/2011/182/oj</w:t>
        </w:r>
      </w:hyperlink>
      <w:r w:rsidRPr="00B1213F">
        <w:rPr>
          <w:sz w:val="24"/>
          <w:lang w:val="lt-LT"/>
        </w:rPr>
        <w:t>.</w:t>
      </w:r>
      <w:bookmarkEnd w:id="8"/>
    </w:p>
  </w:footnote>
  <w:footnote w:id="3">
    <w:p w14:paraId="5DF48C60" w14:textId="7F863997" w:rsidR="00B001C7" w:rsidRPr="00B1213F" w:rsidRDefault="00B001C7" w:rsidP="00B1213F">
      <w:pPr>
        <w:pStyle w:val="FootnoteText"/>
        <w:ind w:left="567" w:hanging="567"/>
        <w:rPr>
          <w:sz w:val="24"/>
          <w:lang w:val="lt-LT"/>
        </w:rPr>
      </w:pPr>
      <w:r w:rsidRPr="00B1213F">
        <w:rPr>
          <w:rStyle w:val="Funotenzeichen"/>
          <w:sz w:val="24"/>
          <w:lang w:val="lt-LT"/>
        </w:rPr>
        <w:footnoteRef/>
      </w:r>
      <w:r w:rsidR="00B1213F" w:rsidRPr="00B1213F">
        <w:rPr>
          <w:sz w:val="24"/>
          <w:lang w:val="lt-LT"/>
        </w:rPr>
        <w:t xml:space="preserve"> </w:t>
      </w:r>
      <w:r w:rsidR="00B1213F" w:rsidRPr="00B1213F">
        <w:rPr>
          <w:sz w:val="24"/>
          <w:lang w:val="lt-LT"/>
        </w:rPr>
        <w:tab/>
      </w:r>
      <w:r w:rsidRPr="00B1213F">
        <w:rPr>
          <w:sz w:val="24"/>
          <w:lang w:val="lt-LT"/>
        </w:rPr>
        <w:t>EFSA genetiškai modifikuotų organizmų specialistų grupės mokslinė nuomonė „</w:t>
      </w:r>
      <w:proofErr w:type="spellStart"/>
      <w:r w:rsidRPr="00B1213F">
        <w:rPr>
          <w:sz w:val="24"/>
          <w:lang w:val="lt-LT"/>
        </w:rPr>
        <w:t>Assessment</w:t>
      </w:r>
      <w:proofErr w:type="spellEnd"/>
      <w:r w:rsidRPr="00B1213F">
        <w:rPr>
          <w:sz w:val="24"/>
          <w:lang w:val="lt-LT"/>
        </w:rPr>
        <w:t xml:space="preserve"> </w:t>
      </w:r>
      <w:proofErr w:type="spellStart"/>
      <w:r w:rsidRPr="00B1213F">
        <w:rPr>
          <w:sz w:val="24"/>
          <w:lang w:val="lt-LT"/>
        </w:rPr>
        <w:t>of</w:t>
      </w:r>
      <w:proofErr w:type="spellEnd"/>
      <w:r w:rsidRPr="00B1213F">
        <w:rPr>
          <w:sz w:val="24"/>
          <w:lang w:val="lt-LT"/>
        </w:rPr>
        <w:t xml:space="preserve"> </w:t>
      </w:r>
      <w:proofErr w:type="spellStart"/>
      <w:r w:rsidRPr="00B1213F">
        <w:rPr>
          <w:sz w:val="24"/>
          <w:lang w:val="lt-LT"/>
        </w:rPr>
        <w:t>genetically</w:t>
      </w:r>
      <w:proofErr w:type="spellEnd"/>
      <w:r w:rsidRPr="00B1213F">
        <w:rPr>
          <w:sz w:val="24"/>
          <w:lang w:val="lt-LT"/>
        </w:rPr>
        <w:t xml:space="preserve"> </w:t>
      </w:r>
      <w:proofErr w:type="spellStart"/>
      <w:r w:rsidRPr="00B1213F">
        <w:rPr>
          <w:sz w:val="24"/>
          <w:lang w:val="lt-LT"/>
        </w:rPr>
        <w:t>modified</w:t>
      </w:r>
      <w:proofErr w:type="spellEnd"/>
      <w:r w:rsidRPr="00B1213F">
        <w:rPr>
          <w:sz w:val="24"/>
          <w:lang w:val="lt-LT"/>
        </w:rPr>
        <w:t xml:space="preserve"> </w:t>
      </w:r>
      <w:proofErr w:type="spellStart"/>
      <w:r w:rsidRPr="00B1213F">
        <w:rPr>
          <w:sz w:val="24"/>
          <w:lang w:val="lt-LT"/>
        </w:rPr>
        <w:t>maize</w:t>
      </w:r>
      <w:proofErr w:type="spellEnd"/>
      <w:r w:rsidRPr="00B1213F">
        <w:rPr>
          <w:sz w:val="24"/>
          <w:lang w:val="lt-LT"/>
        </w:rPr>
        <w:t xml:space="preserve"> DAS1131 (</w:t>
      </w:r>
      <w:proofErr w:type="spellStart"/>
      <w:r w:rsidRPr="00B1213F">
        <w:rPr>
          <w:sz w:val="24"/>
          <w:lang w:val="lt-LT"/>
        </w:rPr>
        <w:t>application</w:t>
      </w:r>
      <w:proofErr w:type="spellEnd"/>
      <w:r w:rsidRPr="00B1213F">
        <w:rPr>
          <w:sz w:val="24"/>
          <w:lang w:val="lt-LT"/>
        </w:rPr>
        <w:t xml:space="preserve"> GMFF-2021-1530)“, </w:t>
      </w:r>
      <w:r w:rsidRPr="00B1213F">
        <w:rPr>
          <w:i/>
          <w:sz w:val="24"/>
          <w:lang w:val="lt-LT"/>
        </w:rPr>
        <w:t xml:space="preserve">EFSA </w:t>
      </w:r>
      <w:proofErr w:type="spellStart"/>
      <w:r w:rsidRPr="00B1213F">
        <w:rPr>
          <w:i/>
          <w:sz w:val="24"/>
          <w:lang w:val="lt-LT"/>
        </w:rPr>
        <w:t>Journal</w:t>
      </w:r>
      <w:proofErr w:type="spellEnd"/>
      <w:r w:rsidRPr="00B1213F">
        <w:rPr>
          <w:sz w:val="24"/>
          <w:lang w:val="lt-LT"/>
        </w:rPr>
        <w:t xml:space="preserve">, 2025;23(3):9282; </w:t>
      </w:r>
      <w:hyperlink r:id="rId3" w:history="1">
        <w:r w:rsidRPr="00B1213F">
          <w:rPr>
            <w:rStyle w:val="Hyperlink"/>
            <w:sz w:val="24"/>
            <w:lang w:val="lt-LT"/>
          </w:rPr>
          <w:t>https://doi.org/10.2903/j.efsa.2025.9282</w:t>
        </w:r>
      </w:hyperlink>
      <w:r w:rsidRPr="00B1213F">
        <w:rPr>
          <w:sz w:val="24"/>
          <w:lang w:val="lt-LT"/>
        </w:rPr>
        <w:t xml:space="preserve">. </w:t>
      </w:r>
    </w:p>
  </w:footnote>
  <w:footnote w:id="4">
    <w:p w14:paraId="09BA3318" w14:textId="7DE84650" w:rsidR="00B001C7" w:rsidRPr="00B1213F" w:rsidRDefault="00B001C7" w:rsidP="00B1213F">
      <w:pPr>
        <w:pStyle w:val="FootnoteText"/>
        <w:ind w:left="567" w:hanging="567"/>
        <w:rPr>
          <w:color w:val="000000" w:themeColor="text1"/>
          <w:sz w:val="24"/>
          <w:vertAlign w:val="superscript"/>
          <w:lang w:val="lt-LT"/>
        </w:rPr>
      </w:pPr>
      <w:r w:rsidRPr="00B1213F">
        <w:rPr>
          <w:rStyle w:val="FootnoteReference"/>
          <w:sz w:val="24"/>
          <w:lang w:val="lt-LT"/>
        </w:rPr>
        <w:footnoteRef/>
      </w:r>
      <w:r w:rsidR="00B1213F" w:rsidRPr="00B1213F">
        <w:rPr>
          <w:color w:val="000000" w:themeColor="text1"/>
          <w:sz w:val="24"/>
          <w:lang w:val="lt-LT"/>
        </w:rPr>
        <w:t xml:space="preserve"> </w:t>
      </w:r>
      <w:r w:rsidR="00B1213F" w:rsidRPr="00B1213F">
        <w:rPr>
          <w:color w:val="000000" w:themeColor="text1"/>
          <w:sz w:val="24"/>
          <w:lang w:val="lt-LT"/>
        </w:rPr>
        <w:tab/>
      </w:r>
      <w:r w:rsidRPr="00B1213F">
        <w:rPr>
          <w:color w:val="000000" w:themeColor="text1"/>
          <w:sz w:val="24"/>
          <w:lang w:val="lt-LT"/>
        </w:rPr>
        <w:t>Per aštuntąją kadenciją Parlamentas priėmė 36 rezoliucijas, o per devintąją kadenciją – 38 rezoliucijas, kuriose prieštaraujama leidimui naudoti GMO. Be to, per dešimtąją kadenciją Parlamentas priėmė šias rezoliucijas:</w:t>
      </w:r>
    </w:p>
    <w:p w14:paraId="4746C8A1" w14:textId="7E6F59EE" w:rsidR="00B001C7" w:rsidRPr="00B1213F" w:rsidRDefault="00B001C7" w:rsidP="009A44F5">
      <w:pPr>
        <w:pStyle w:val="FootnoteText"/>
        <w:ind w:left="1134" w:hanging="567"/>
        <w:rPr>
          <w:color w:val="000000" w:themeColor="text1"/>
          <w:sz w:val="24"/>
          <w:vertAlign w:val="superscript"/>
          <w:lang w:val="lt-LT"/>
        </w:rPr>
      </w:pPr>
      <w:r w:rsidRPr="00B1213F">
        <w:rPr>
          <w:color w:val="000000" w:themeColor="text1"/>
          <w:sz w:val="24"/>
          <w:lang w:val="lt-LT"/>
        </w:rPr>
        <w:t>–</w:t>
      </w:r>
      <w:r w:rsidRPr="00B1213F">
        <w:rPr>
          <w:color w:val="000000" w:themeColor="text1"/>
          <w:sz w:val="24"/>
          <w:lang w:val="lt-LT"/>
        </w:rPr>
        <w:tab/>
        <w:t xml:space="preserve">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4" w:history="1">
        <w:r w:rsidRPr="00B1213F">
          <w:rPr>
            <w:rStyle w:val="Hyperlink"/>
            <w:sz w:val="24"/>
            <w:lang w:val="lt-LT"/>
          </w:rPr>
          <w:t>http://data.europa.eu/eli/C/2025/1797/oj</w:t>
        </w:r>
      </w:hyperlink>
      <w:r w:rsidRPr="00B1213F">
        <w:rPr>
          <w:color w:val="000000" w:themeColor="text1"/>
          <w:sz w:val="24"/>
          <w:lang w:val="lt-LT"/>
        </w:rPr>
        <w:t>);</w:t>
      </w:r>
    </w:p>
    <w:p w14:paraId="018BA913" w14:textId="13AA1188" w:rsidR="00B001C7" w:rsidRPr="00B1213F" w:rsidRDefault="00B001C7" w:rsidP="009A44F5">
      <w:pPr>
        <w:pStyle w:val="FootnoteText"/>
        <w:ind w:left="1134" w:hanging="567"/>
        <w:rPr>
          <w:color w:val="000000" w:themeColor="text1"/>
          <w:sz w:val="24"/>
          <w:vertAlign w:val="superscript"/>
          <w:lang w:val="lt-LT"/>
        </w:rPr>
      </w:pPr>
      <w:r w:rsidRPr="00B1213F">
        <w:rPr>
          <w:color w:val="000000" w:themeColor="text1"/>
          <w:sz w:val="24"/>
          <w:lang w:val="lt-LT"/>
        </w:rPr>
        <w:t>–</w:t>
      </w:r>
      <w:r w:rsidRPr="00B1213F">
        <w:rPr>
          <w:color w:val="000000" w:themeColor="text1"/>
          <w:sz w:val="24"/>
          <w:lang w:val="lt-LT"/>
        </w:rPr>
        <w:tab/>
        <w:t xml:space="preserve">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5" w:history="1">
        <w:r w:rsidRPr="00B1213F">
          <w:rPr>
            <w:rStyle w:val="Hyperlink"/>
            <w:sz w:val="24"/>
            <w:lang w:val="lt-LT"/>
          </w:rPr>
          <w:t>http://data.europa.eu/eli/C/2025/1798/oj</w:t>
        </w:r>
      </w:hyperlink>
      <w:r w:rsidRPr="00B1213F">
        <w:rPr>
          <w:color w:val="000000" w:themeColor="text1"/>
          <w:sz w:val="24"/>
          <w:lang w:val="lt-LT"/>
        </w:rPr>
        <w:t>);</w:t>
      </w:r>
    </w:p>
    <w:p w14:paraId="65E1F68C" w14:textId="66DBA732" w:rsidR="00B001C7" w:rsidRPr="00B1213F" w:rsidRDefault="00B001C7" w:rsidP="009A44F5">
      <w:pPr>
        <w:pStyle w:val="FootnoteText"/>
        <w:ind w:left="1134" w:hanging="567"/>
        <w:rPr>
          <w:color w:val="000000" w:themeColor="text1"/>
          <w:sz w:val="24"/>
          <w:vertAlign w:val="superscript"/>
          <w:lang w:val="lt-LT"/>
        </w:rPr>
      </w:pPr>
      <w:r w:rsidRPr="00B1213F">
        <w:rPr>
          <w:color w:val="000000" w:themeColor="text1"/>
          <w:sz w:val="24"/>
          <w:lang w:val="lt-LT"/>
        </w:rPr>
        <w:t>–</w:t>
      </w:r>
      <w:r w:rsidRPr="00B1213F">
        <w:rPr>
          <w:color w:val="000000" w:themeColor="text1"/>
          <w:sz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w:t>
      </w:r>
      <w:proofErr w:type="spellStart"/>
      <w:r w:rsidRPr="00B1213F">
        <w:rPr>
          <w:color w:val="000000" w:themeColor="text1"/>
          <w:sz w:val="24"/>
          <w:lang w:val="lt-LT"/>
        </w:rPr>
        <w:t>subkombinacijų</w:t>
      </w:r>
      <w:proofErr w:type="spellEnd"/>
      <w:r w:rsidRPr="00B1213F">
        <w:rPr>
          <w:color w:val="000000" w:themeColor="text1"/>
          <w:sz w:val="24"/>
          <w:lang w:val="lt-LT"/>
        </w:rPr>
        <w:t xml:space="preserve">, kurie iš jų sudaryti arba kurie iš jų pagaminti, (OL C, C/2025/1799, 2025 4 4, ELI: </w:t>
      </w:r>
      <w:hyperlink r:id="rId6" w:history="1">
        <w:r w:rsidRPr="00B1213F">
          <w:rPr>
            <w:rStyle w:val="Hyperlink"/>
            <w:sz w:val="24"/>
            <w:lang w:val="lt-LT"/>
          </w:rPr>
          <w:t>http://data.europa.eu/eli/C/2025/1799/oj</w:t>
        </w:r>
      </w:hyperlink>
      <w:r w:rsidRPr="00B1213F">
        <w:rPr>
          <w:color w:val="000000" w:themeColor="text1"/>
          <w:sz w:val="24"/>
          <w:lang w:val="lt-LT"/>
        </w:rPr>
        <w:t>);</w:t>
      </w:r>
    </w:p>
    <w:p w14:paraId="28BC3EFD" w14:textId="0585535C" w:rsidR="00B001C7" w:rsidRPr="00B1213F" w:rsidRDefault="00B001C7" w:rsidP="009A44F5">
      <w:pPr>
        <w:pStyle w:val="FootnoteText"/>
        <w:ind w:left="1134" w:hanging="567"/>
        <w:rPr>
          <w:color w:val="000000" w:themeColor="text1"/>
          <w:sz w:val="24"/>
          <w:vertAlign w:val="superscript"/>
          <w:lang w:val="lt-LT"/>
        </w:rPr>
      </w:pPr>
      <w:r w:rsidRPr="00B1213F">
        <w:rPr>
          <w:color w:val="000000" w:themeColor="text1"/>
          <w:sz w:val="24"/>
          <w:lang w:val="lt-LT"/>
        </w:rPr>
        <w:t>–</w:t>
      </w:r>
      <w:r w:rsidRPr="00B1213F">
        <w:rPr>
          <w:color w:val="000000" w:themeColor="text1"/>
          <w:sz w:val="24"/>
          <w:lang w:val="lt-LT"/>
        </w:rPr>
        <w:tab/>
        <w:t xml:space="preserve">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7" w:history="1">
        <w:r w:rsidRPr="00B1213F">
          <w:rPr>
            <w:rStyle w:val="Hyperlink"/>
            <w:sz w:val="24"/>
            <w:lang w:val="lt-LT"/>
          </w:rPr>
          <w:t>http://data.europa.eu/eli/C/2025/1800/oj</w:t>
        </w:r>
      </w:hyperlink>
      <w:r w:rsidRPr="00B1213F">
        <w:rPr>
          <w:color w:val="000000" w:themeColor="text1"/>
          <w:sz w:val="24"/>
          <w:lang w:val="lt-LT"/>
        </w:rPr>
        <w:t>);</w:t>
      </w:r>
    </w:p>
    <w:p w14:paraId="58C944F4" w14:textId="03483E29" w:rsidR="00B001C7" w:rsidRPr="00B1213F" w:rsidRDefault="00B001C7" w:rsidP="009A44F5">
      <w:pPr>
        <w:pStyle w:val="FootnoteText"/>
        <w:ind w:left="1134" w:hanging="567"/>
        <w:rPr>
          <w:color w:val="000000" w:themeColor="text1"/>
          <w:sz w:val="24"/>
          <w:vertAlign w:val="superscript"/>
          <w:lang w:val="lt-LT"/>
        </w:rPr>
      </w:pPr>
      <w:r w:rsidRPr="00B1213F">
        <w:rPr>
          <w:color w:val="000000" w:themeColor="text1"/>
          <w:sz w:val="24"/>
          <w:lang w:val="lt-LT"/>
        </w:rPr>
        <w:t>–</w:t>
      </w:r>
      <w:r w:rsidRPr="00B1213F">
        <w:rPr>
          <w:color w:val="000000" w:themeColor="text1"/>
          <w:sz w:val="24"/>
          <w:lang w:val="lt-LT"/>
        </w:rPr>
        <w:tab/>
        <w:t xml:space="preserve">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8" w:history="1">
        <w:r w:rsidRPr="00B1213F">
          <w:rPr>
            <w:rStyle w:val="Hyperlink"/>
            <w:sz w:val="24"/>
            <w:lang w:val="lt-LT"/>
          </w:rPr>
          <w:t>http://data.europa.eu/eli/C/2025/1801/oj</w:t>
        </w:r>
      </w:hyperlink>
      <w:r w:rsidRPr="00B1213F">
        <w:rPr>
          <w:color w:val="000000" w:themeColor="text1"/>
          <w:sz w:val="24"/>
          <w:lang w:val="lt-LT"/>
        </w:rPr>
        <w:t>);</w:t>
      </w:r>
    </w:p>
    <w:p w14:paraId="3C6724B3" w14:textId="3C682B0C" w:rsidR="00B001C7" w:rsidRPr="00B1213F" w:rsidRDefault="00B001C7" w:rsidP="009A44F5">
      <w:pPr>
        <w:pStyle w:val="FootnoteText"/>
        <w:ind w:left="1134" w:hanging="567"/>
        <w:rPr>
          <w:color w:val="000000" w:themeColor="text1"/>
          <w:sz w:val="24"/>
          <w:vertAlign w:val="superscript"/>
          <w:lang w:val="lt-LT"/>
        </w:rPr>
      </w:pPr>
      <w:r w:rsidRPr="00B1213F">
        <w:rPr>
          <w:color w:val="000000" w:themeColor="text1"/>
          <w:sz w:val="24"/>
          <w:lang w:val="lt-LT"/>
        </w:rPr>
        <w:t>–</w:t>
      </w:r>
      <w:r w:rsidRPr="00B1213F">
        <w:rPr>
          <w:color w:val="000000" w:themeColor="text1"/>
          <w:sz w:val="24"/>
          <w:lang w:val="lt-LT"/>
        </w:rPr>
        <w:tab/>
        <w:t xml:space="preserve">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9" w:history="1">
        <w:r w:rsidRPr="00B1213F">
          <w:rPr>
            <w:rStyle w:val="Hyperlink"/>
            <w:sz w:val="24"/>
            <w:lang w:val="lt-LT"/>
          </w:rPr>
          <w:t>http://data.europa.eu/eli/C/2025/1802/oj</w:t>
        </w:r>
      </w:hyperlink>
      <w:r w:rsidRPr="00B1213F">
        <w:rPr>
          <w:color w:val="000000" w:themeColor="text1"/>
          <w:sz w:val="24"/>
          <w:lang w:val="lt-LT"/>
        </w:rPr>
        <w:t>);</w:t>
      </w:r>
    </w:p>
    <w:p w14:paraId="5BF7BB9F" w14:textId="5F8996B9" w:rsidR="00B001C7" w:rsidRPr="00B1213F" w:rsidRDefault="00B001C7" w:rsidP="009A44F5">
      <w:pPr>
        <w:pStyle w:val="FootnoteText"/>
        <w:ind w:left="1134" w:hanging="567"/>
        <w:rPr>
          <w:color w:val="000000" w:themeColor="text1"/>
          <w:sz w:val="24"/>
          <w:vertAlign w:val="superscript"/>
          <w:lang w:val="lt-LT"/>
        </w:rPr>
      </w:pPr>
      <w:r w:rsidRPr="00B1213F">
        <w:rPr>
          <w:color w:val="000000" w:themeColor="text1"/>
          <w:sz w:val="24"/>
          <w:lang w:val="lt-LT"/>
        </w:rPr>
        <w:t>–</w:t>
      </w:r>
      <w:r w:rsidRPr="00B1213F">
        <w:rPr>
          <w:color w:val="000000" w:themeColor="text1"/>
          <w:sz w:val="24"/>
          <w:lang w:val="lt-LT"/>
        </w:rPr>
        <w:tab/>
        <w:t xml:space="preserve">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10" w:history="1">
        <w:r w:rsidRPr="00B1213F">
          <w:rPr>
            <w:rStyle w:val="Hyperlink"/>
            <w:sz w:val="24"/>
            <w:lang w:val="lt-LT"/>
          </w:rPr>
          <w:t>http://data.europa.eu/eli/C/2025/1803/oj</w:t>
        </w:r>
      </w:hyperlink>
      <w:r w:rsidRPr="00B1213F">
        <w:rPr>
          <w:color w:val="000000" w:themeColor="text1"/>
          <w:sz w:val="24"/>
          <w:lang w:val="lt-LT"/>
        </w:rPr>
        <w:t>);</w:t>
      </w:r>
    </w:p>
    <w:p w14:paraId="49E59F5F" w14:textId="4E1C2183" w:rsidR="00B001C7" w:rsidRPr="00B1213F" w:rsidRDefault="00B001C7" w:rsidP="009A44F5">
      <w:pPr>
        <w:pStyle w:val="FootnoteText"/>
        <w:ind w:left="1134" w:hanging="567"/>
        <w:rPr>
          <w:color w:val="000000" w:themeColor="text1"/>
          <w:sz w:val="24"/>
          <w:vertAlign w:val="superscript"/>
          <w:lang w:val="lt-LT"/>
        </w:rPr>
      </w:pPr>
      <w:r w:rsidRPr="00B1213F">
        <w:rPr>
          <w:color w:val="000000" w:themeColor="text1"/>
          <w:sz w:val="24"/>
          <w:lang w:val="lt-LT"/>
        </w:rPr>
        <w:t>–</w:t>
      </w:r>
      <w:r w:rsidRPr="00B1213F">
        <w:rPr>
          <w:color w:val="000000" w:themeColor="text1"/>
          <w:sz w:val="24"/>
          <w:lang w:val="lt-LT"/>
        </w:rPr>
        <w:tab/>
        <w:t xml:space="preserve">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1" w:history="1">
        <w:r w:rsidRPr="00B1213F">
          <w:rPr>
            <w:rStyle w:val="Hyperlink"/>
            <w:sz w:val="24"/>
            <w:lang w:val="lt-LT"/>
          </w:rPr>
          <w:t>http://data.europa.eu/eli/C/2025/1804/oj</w:t>
        </w:r>
      </w:hyperlink>
      <w:r w:rsidRPr="00B1213F">
        <w:rPr>
          <w:color w:val="000000" w:themeColor="text1"/>
          <w:sz w:val="24"/>
          <w:lang w:val="lt-LT"/>
        </w:rPr>
        <w:t>);</w:t>
      </w:r>
    </w:p>
    <w:p w14:paraId="091FECD6" w14:textId="55309FF7" w:rsidR="00B001C7" w:rsidRPr="00B1213F" w:rsidRDefault="00B001C7" w:rsidP="009A44F5">
      <w:pPr>
        <w:pStyle w:val="FootnoteText"/>
        <w:ind w:left="1134" w:hanging="567"/>
        <w:rPr>
          <w:sz w:val="24"/>
          <w:vertAlign w:val="superscript"/>
          <w:lang w:val="lt-LT"/>
        </w:rPr>
      </w:pPr>
      <w:r w:rsidRPr="00B1213F">
        <w:rPr>
          <w:color w:val="000000" w:themeColor="text1"/>
          <w:sz w:val="24"/>
          <w:lang w:val="lt-LT"/>
        </w:rPr>
        <w:t>–</w:t>
      </w:r>
      <w:r w:rsidRPr="00B1213F">
        <w:rPr>
          <w:color w:val="000000" w:themeColor="text1"/>
          <w:sz w:val="24"/>
          <w:lang w:val="lt-LT"/>
        </w:rPr>
        <w:tab/>
      </w:r>
      <w:r w:rsidRPr="00B1213F">
        <w:rPr>
          <w:sz w:val="24"/>
          <w:lang w:val="lt-LT"/>
        </w:rPr>
        <w:t xml:space="preserve">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2" w:tooltip="Prieiga prie šio dokumento per jo ELI URI." w:history="1">
        <w:r w:rsidRPr="00B1213F">
          <w:rPr>
            <w:rStyle w:val="Hyperlink"/>
            <w:sz w:val="24"/>
            <w:lang w:val="lt-LT"/>
          </w:rPr>
          <w:t>http://data.europa.eu/eli/C/2025/2246/oj</w:t>
        </w:r>
      </w:hyperlink>
      <w:r w:rsidRPr="00B1213F">
        <w:rPr>
          <w:sz w:val="24"/>
          <w:lang w:val="lt-LT"/>
        </w:rPr>
        <w:t>);</w:t>
      </w:r>
    </w:p>
    <w:p w14:paraId="28CD81BF" w14:textId="283E6CF7" w:rsidR="00B001C7" w:rsidRPr="00B1213F" w:rsidRDefault="00B001C7" w:rsidP="009A44F5">
      <w:pPr>
        <w:pStyle w:val="FootnoteText"/>
        <w:ind w:left="1134" w:hanging="567"/>
        <w:rPr>
          <w:sz w:val="24"/>
          <w:vertAlign w:val="superscript"/>
          <w:lang w:val="lt-LT"/>
        </w:rPr>
      </w:pPr>
      <w:r w:rsidRPr="00B1213F">
        <w:rPr>
          <w:sz w:val="24"/>
          <w:lang w:val="lt-LT"/>
        </w:rPr>
        <w:t>–</w:t>
      </w:r>
      <w:r w:rsidRPr="00B1213F">
        <w:rPr>
          <w:sz w:val="24"/>
          <w:lang w:val="lt-LT"/>
        </w:rPr>
        <w:tab/>
        <w:t xml:space="preserve">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3" w:tooltip="Prieiga prie šio dokumento per jo ELI URI." w:history="1">
        <w:r w:rsidRPr="00B1213F">
          <w:rPr>
            <w:rStyle w:val="Hyperlink"/>
            <w:sz w:val="24"/>
            <w:lang w:val="lt-LT"/>
          </w:rPr>
          <w:t>http://data.europa.eu/eli/C/2025/2247/oj</w:t>
        </w:r>
      </w:hyperlink>
      <w:r w:rsidRPr="00B1213F">
        <w:rPr>
          <w:sz w:val="24"/>
          <w:lang w:val="lt-LT"/>
        </w:rPr>
        <w:t>);</w:t>
      </w:r>
    </w:p>
    <w:p w14:paraId="6EF7321C" w14:textId="7DE7196B" w:rsidR="00B001C7" w:rsidRPr="00B1213F" w:rsidRDefault="00B001C7" w:rsidP="009A44F5">
      <w:pPr>
        <w:pStyle w:val="FootnoteText"/>
        <w:ind w:left="1134" w:hanging="567"/>
        <w:rPr>
          <w:sz w:val="24"/>
          <w:vertAlign w:val="superscript"/>
          <w:lang w:val="lt-LT"/>
        </w:rPr>
      </w:pPr>
      <w:r w:rsidRPr="00B1213F">
        <w:rPr>
          <w:sz w:val="24"/>
          <w:lang w:val="lt-LT"/>
        </w:rPr>
        <w:t>–</w:t>
      </w:r>
      <w:r w:rsidRPr="00B1213F">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(P10_TA(2025)0106);</w:t>
      </w:r>
    </w:p>
    <w:p w14:paraId="1C4A3F14" w14:textId="25C707F9" w:rsidR="00B001C7" w:rsidRPr="00B1213F" w:rsidRDefault="00B001C7" w:rsidP="009A44F5">
      <w:pPr>
        <w:pStyle w:val="FootnoteText"/>
        <w:ind w:left="1134" w:hanging="567"/>
        <w:rPr>
          <w:sz w:val="24"/>
          <w:lang w:val="lt-LT"/>
        </w:rPr>
      </w:pPr>
      <w:r w:rsidRPr="00B1213F">
        <w:rPr>
          <w:sz w:val="24"/>
          <w:lang w:val="lt-LT"/>
        </w:rPr>
        <w:t>–</w:t>
      </w:r>
      <w:r w:rsidRPr="00B1213F">
        <w:rPr>
          <w:sz w:val="24"/>
          <w:lang w:val="lt-LT"/>
        </w:rPr>
        <w:tab/>
        <w:t>2025 m. spalio 8 d. Europos Parlamento rezoliuciją dėl 2025 m.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(P10_TA(2025)0222).</w:t>
      </w:r>
    </w:p>
  </w:footnote>
  <w:footnote w:id="5">
    <w:p w14:paraId="6762B31C" w14:textId="68AB66F4" w:rsidR="00B001C7" w:rsidRPr="00B1213F" w:rsidRDefault="00B001C7" w:rsidP="00B1213F">
      <w:pPr>
        <w:pStyle w:val="FootnoteText"/>
        <w:ind w:left="567" w:hanging="567"/>
        <w:rPr>
          <w:sz w:val="24"/>
          <w:lang w:val="lt-LT"/>
        </w:rPr>
      </w:pPr>
      <w:r w:rsidRPr="00B1213F">
        <w:rPr>
          <w:rStyle w:val="FootnoteReference"/>
          <w:sz w:val="24"/>
          <w:lang w:val="lt-LT"/>
        </w:rPr>
        <w:footnoteRef/>
      </w:r>
      <w:r w:rsidR="00B1213F" w:rsidRPr="00B1213F">
        <w:rPr>
          <w:sz w:val="24"/>
          <w:lang w:val="lt-LT"/>
        </w:rPr>
        <w:t xml:space="preserve"> </w:t>
      </w:r>
      <w:r w:rsidR="00B1213F" w:rsidRPr="00B1213F">
        <w:rPr>
          <w:sz w:val="24"/>
          <w:lang w:val="lt-LT"/>
        </w:rPr>
        <w:tab/>
      </w:r>
      <w:r w:rsidRPr="00B1213F">
        <w:rPr>
          <w:sz w:val="24"/>
          <w:lang w:val="lt-LT"/>
        </w:rPr>
        <w:t>Žr., pavyzdžiui:</w:t>
      </w:r>
      <w:r w:rsidRPr="00B1213F">
        <w:rPr>
          <w:sz w:val="24"/>
          <w:lang w:val="lt-LT"/>
        </w:rPr>
        <w:br/>
      </w:r>
      <w:hyperlink r:id="rId14" w:history="1">
        <w:r w:rsidRPr="00B1213F">
          <w:rPr>
            <w:rStyle w:val="Hyperlink"/>
            <w:sz w:val="24"/>
            <w:lang w:val="lt-LT"/>
          </w:rPr>
          <w:t>https://www.sciencedirect.com/science/article/pii/S1383574218300887</w:t>
        </w:r>
      </w:hyperlink>
      <w:r w:rsidRPr="00B1213F">
        <w:rPr>
          <w:sz w:val="24"/>
          <w:lang w:val="lt-LT"/>
        </w:rPr>
        <w:t>,</w:t>
      </w:r>
      <w:r w:rsidRPr="00B1213F">
        <w:rPr>
          <w:sz w:val="24"/>
          <w:lang w:val="lt-LT"/>
        </w:rPr>
        <w:br/>
      </w:r>
      <w:hyperlink r:id="rId15" w:history="1">
        <w:r w:rsidRPr="00B1213F">
          <w:rPr>
            <w:rStyle w:val="Hyperlink"/>
            <w:sz w:val="24"/>
            <w:lang w:val="lt-LT"/>
          </w:rPr>
          <w:t>https://academic.oup.com/ije/advance-article/doi/10.1093/ije/dyz017/5382278</w:t>
        </w:r>
      </w:hyperlink>
      <w:r w:rsidRPr="00B1213F">
        <w:rPr>
          <w:sz w:val="24"/>
          <w:lang w:val="lt-LT"/>
        </w:rPr>
        <w:t>,</w:t>
      </w:r>
      <w:r w:rsidRPr="00B1213F">
        <w:rPr>
          <w:sz w:val="24"/>
          <w:lang w:val="lt-LT"/>
        </w:rPr>
        <w:br/>
      </w:r>
      <w:hyperlink r:id="rId16" w:history="1">
        <w:r w:rsidRPr="00B1213F">
          <w:rPr>
            <w:rStyle w:val="Hyperlink"/>
            <w:sz w:val="24"/>
            <w:lang w:val="lt-LT"/>
          </w:rPr>
          <w:t>https://journals.plos.org/plosone/article?id=10.1371/journal.pone.0219610</w:t>
        </w:r>
      </w:hyperlink>
      <w:r w:rsidRPr="00B1213F">
        <w:rPr>
          <w:sz w:val="24"/>
          <w:lang w:val="lt-LT"/>
        </w:rPr>
        <w:t xml:space="preserve"> ir</w:t>
      </w:r>
      <w:r w:rsidRPr="00B1213F">
        <w:rPr>
          <w:sz w:val="24"/>
          <w:lang w:val="lt-LT"/>
        </w:rPr>
        <w:br/>
      </w:r>
      <w:hyperlink r:id="rId17" w:history="1">
        <w:r w:rsidRPr="00B1213F">
          <w:rPr>
            <w:rStyle w:val="Hyperlink"/>
            <w:sz w:val="24"/>
            <w:lang w:val="lt-LT"/>
          </w:rPr>
          <w:t>https://www.ncbi.nlm.nih.gov/pmc/articles/PMC6612199/</w:t>
        </w:r>
      </w:hyperlink>
      <w:r w:rsidRPr="00B1213F">
        <w:rPr>
          <w:sz w:val="24"/>
          <w:lang w:val="lt-LT"/>
        </w:rPr>
        <w:t>.</w:t>
      </w:r>
    </w:p>
  </w:footnote>
  <w:footnote w:id="6">
    <w:p w14:paraId="507E3900" w14:textId="3252E9F7" w:rsidR="00B001C7" w:rsidRPr="00B1213F" w:rsidRDefault="00B001C7" w:rsidP="00B1213F">
      <w:pPr>
        <w:pStyle w:val="FootnoteText"/>
        <w:ind w:left="567" w:hanging="567"/>
        <w:rPr>
          <w:sz w:val="24"/>
          <w:lang w:val="lt-LT"/>
        </w:rPr>
      </w:pPr>
      <w:r w:rsidRPr="00B1213F">
        <w:rPr>
          <w:rStyle w:val="FootnoteReference"/>
          <w:sz w:val="24"/>
          <w:lang w:val="lt-LT"/>
        </w:rPr>
        <w:footnoteRef/>
      </w:r>
      <w:r w:rsidR="00B1213F" w:rsidRPr="00B1213F">
        <w:rPr>
          <w:sz w:val="24"/>
          <w:lang w:val="lt-LT"/>
        </w:rPr>
        <w:t xml:space="preserve"> </w:t>
      </w:r>
      <w:r w:rsidR="00B1213F" w:rsidRPr="00B1213F">
        <w:rPr>
          <w:sz w:val="24"/>
          <w:lang w:val="lt-LT"/>
        </w:rPr>
        <w:tab/>
      </w:r>
      <w:r w:rsidRPr="00B1213F">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18" w:tgtFrame="Gives%20access%20to%20this%20document%20through%20its%20ELI%20URI." w:history="1">
        <w:r w:rsidRPr="00B1213F">
          <w:rPr>
            <w:rStyle w:val="Hyperlink"/>
            <w:sz w:val="24"/>
            <w:lang w:val="lt-LT"/>
          </w:rPr>
          <w:t>http://data.europa.eu/eli/reg/2002/178/oj</w:t>
        </w:r>
      </w:hyperlink>
      <w:r w:rsidRPr="00B1213F">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0193996">
    <w:abstractNumId w:val="9"/>
  </w:num>
  <w:num w:numId="2" w16cid:durableId="1200510672">
    <w:abstractNumId w:val="9"/>
  </w:num>
  <w:num w:numId="3" w16cid:durableId="1728144039">
    <w:abstractNumId w:val="7"/>
  </w:num>
  <w:num w:numId="4" w16cid:durableId="660543149">
    <w:abstractNumId w:val="7"/>
  </w:num>
  <w:num w:numId="5" w16cid:durableId="1195389695">
    <w:abstractNumId w:val="6"/>
  </w:num>
  <w:num w:numId="6" w16cid:durableId="260571440">
    <w:abstractNumId w:val="6"/>
  </w:num>
  <w:num w:numId="7" w16cid:durableId="545796083">
    <w:abstractNumId w:val="5"/>
  </w:num>
  <w:num w:numId="8" w16cid:durableId="795149622">
    <w:abstractNumId w:val="5"/>
  </w:num>
  <w:num w:numId="9" w16cid:durableId="763771291">
    <w:abstractNumId w:val="4"/>
  </w:num>
  <w:num w:numId="10" w16cid:durableId="225648665">
    <w:abstractNumId w:val="4"/>
  </w:num>
  <w:num w:numId="11" w16cid:durableId="1158962436">
    <w:abstractNumId w:val="8"/>
  </w:num>
  <w:num w:numId="12" w16cid:durableId="1696690772">
    <w:abstractNumId w:val="8"/>
  </w:num>
  <w:num w:numId="13" w16cid:durableId="1089547549">
    <w:abstractNumId w:val="3"/>
  </w:num>
  <w:num w:numId="14" w16cid:durableId="975647738">
    <w:abstractNumId w:val="3"/>
  </w:num>
  <w:num w:numId="15" w16cid:durableId="1415860502">
    <w:abstractNumId w:val="2"/>
  </w:num>
  <w:num w:numId="16" w16cid:durableId="1454252066">
    <w:abstractNumId w:val="2"/>
  </w:num>
  <w:num w:numId="17" w16cid:durableId="1740904565">
    <w:abstractNumId w:val="1"/>
  </w:num>
  <w:num w:numId="18" w16cid:durableId="264575986">
    <w:abstractNumId w:val="1"/>
  </w:num>
  <w:num w:numId="19" w16cid:durableId="2044356984">
    <w:abstractNumId w:val="0"/>
  </w:num>
  <w:num w:numId="20" w16cid:durableId="1696230349">
    <w:abstractNumId w:val="0"/>
  </w:num>
  <w:num w:numId="21" w16cid:durableId="396629232">
    <w:abstractNumId w:val="9"/>
  </w:num>
  <w:num w:numId="22" w16cid:durableId="415439822">
    <w:abstractNumId w:val="7"/>
  </w:num>
  <w:num w:numId="23" w16cid:durableId="291637990">
    <w:abstractNumId w:val="6"/>
  </w:num>
  <w:num w:numId="24" w16cid:durableId="794057810">
    <w:abstractNumId w:val="5"/>
  </w:num>
  <w:num w:numId="25" w16cid:durableId="716858931">
    <w:abstractNumId w:val="4"/>
  </w:num>
  <w:num w:numId="26" w16cid:durableId="205215154">
    <w:abstractNumId w:val="8"/>
  </w:num>
  <w:num w:numId="27" w16cid:durableId="1089620085">
    <w:abstractNumId w:val="3"/>
  </w:num>
  <w:num w:numId="28" w16cid:durableId="516163843">
    <w:abstractNumId w:val="2"/>
  </w:num>
  <w:num w:numId="29" w16cid:durableId="84958370">
    <w:abstractNumId w:val="1"/>
  </w:num>
  <w:num w:numId="30" w16cid:durableId="524561030">
    <w:abstractNumId w:val="0"/>
  </w:num>
  <w:num w:numId="31" w16cid:durableId="1287081074">
    <w:abstractNumId w:val="9"/>
  </w:num>
  <w:num w:numId="32" w16cid:durableId="1226910440">
    <w:abstractNumId w:val="7"/>
  </w:num>
  <w:num w:numId="33" w16cid:durableId="1533423492">
    <w:abstractNumId w:val="6"/>
  </w:num>
  <w:num w:numId="34" w16cid:durableId="1406298772">
    <w:abstractNumId w:val="5"/>
  </w:num>
  <w:num w:numId="35" w16cid:durableId="1301301741">
    <w:abstractNumId w:val="4"/>
  </w:num>
  <w:num w:numId="36" w16cid:durableId="584461725">
    <w:abstractNumId w:val="8"/>
  </w:num>
  <w:num w:numId="37" w16cid:durableId="597252551">
    <w:abstractNumId w:val="3"/>
  </w:num>
  <w:num w:numId="38" w16cid:durableId="1419254144">
    <w:abstractNumId w:val="2"/>
  </w:num>
  <w:num w:numId="39" w16cid:durableId="766006546">
    <w:abstractNumId w:val="1"/>
  </w:num>
  <w:num w:numId="40" w16cid:durableId="1250196829">
    <w:abstractNumId w:val="0"/>
  </w:num>
  <w:num w:numId="41" w16cid:durableId="1968000255">
    <w:abstractNumId w:val="10"/>
  </w:num>
  <w:num w:numId="42" w16cid:durableId="356975281">
    <w:abstractNumId w:val="10"/>
  </w:num>
  <w:num w:numId="43" w16cid:durableId="1649430944">
    <w:abstractNumId w:val="10"/>
  </w:num>
  <w:num w:numId="44" w16cid:durableId="5380152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LT"/>
    <w:docVar w:name="dvnumam" w:val="0"/>
    <w:docVar w:name="dvpe" w:val="778.111"/>
    <w:docVar w:name="dvtitre" w:val="Europos Parlamento rezoliucija dėl Komisijos įgyvendinimo sprendimo, kuriuo pagal Europos Parlamento ir Tarybos reglamentą (EB) Nr. 1829/2003 leidžiama pateikti rinkai produktus, kurių sudėtyje yra genetiškai modifikuotų kukurūzų DAS1131, kurie iš jų sudaryti arba kurie iš jų pagaminti, projekto(D109630/01 – 2025/2893(RSP))"/>
  </w:docVars>
  <w:rsids>
    <w:rsidRoot w:val="00E4590A"/>
    <w:rsid w:val="00002272"/>
    <w:rsid w:val="00063D5E"/>
    <w:rsid w:val="00064002"/>
    <w:rsid w:val="00065FB3"/>
    <w:rsid w:val="000677B9"/>
    <w:rsid w:val="000831BA"/>
    <w:rsid w:val="000A42CC"/>
    <w:rsid w:val="000E7DD9"/>
    <w:rsid w:val="0010095E"/>
    <w:rsid w:val="00125B37"/>
    <w:rsid w:val="00187494"/>
    <w:rsid w:val="00187A41"/>
    <w:rsid w:val="001F32AE"/>
    <w:rsid w:val="002767FF"/>
    <w:rsid w:val="002B18FE"/>
    <w:rsid w:val="002B5493"/>
    <w:rsid w:val="00343214"/>
    <w:rsid w:val="00361C00"/>
    <w:rsid w:val="00395FA1"/>
    <w:rsid w:val="003E15D4"/>
    <w:rsid w:val="00411CCE"/>
    <w:rsid w:val="0041666E"/>
    <w:rsid w:val="00421060"/>
    <w:rsid w:val="00471C19"/>
    <w:rsid w:val="00475673"/>
    <w:rsid w:val="004867E3"/>
    <w:rsid w:val="00494A28"/>
    <w:rsid w:val="004C0004"/>
    <w:rsid w:val="004C2D0B"/>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39B"/>
    <w:rsid w:val="008C2AC6"/>
    <w:rsid w:val="00930C23"/>
    <w:rsid w:val="0093193B"/>
    <w:rsid w:val="009509D8"/>
    <w:rsid w:val="00950B64"/>
    <w:rsid w:val="00981893"/>
    <w:rsid w:val="009941CE"/>
    <w:rsid w:val="009A44F5"/>
    <w:rsid w:val="00A1687D"/>
    <w:rsid w:val="00A43E52"/>
    <w:rsid w:val="00A4678D"/>
    <w:rsid w:val="00A778C7"/>
    <w:rsid w:val="00AA1E08"/>
    <w:rsid w:val="00AB441E"/>
    <w:rsid w:val="00AB6293"/>
    <w:rsid w:val="00AE0928"/>
    <w:rsid w:val="00AF3B82"/>
    <w:rsid w:val="00B001C7"/>
    <w:rsid w:val="00B1213F"/>
    <w:rsid w:val="00B12E95"/>
    <w:rsid w:val="00B22876"/>
    <w:rsid w:val="00B558F0"/>
    <w:rsid w:val="00B65833"/>
    <w:rsid w:val="00BD48FE"/>
    <w:rsid w:val="00BD7BD8"/>
    <w:rsid w:val="00BE6ADC"/>
    <w:rsid w:val="00C05BFE"/>
    <w:rsid w:val="00C23CD4"/>
    <w:rsid w:val="00C61C0C"/>
    <w:rsid w:val="00C941CB"/>
    <w:rsid w:val="00CC2357"/>
    <w:rsid w:val="00CF071A"/>
    <w:rsid w:val="00D058B8"/>
    <w:rsid w:val="00D56C11"/>
    <w:rsid w:val="00D821C9"/>
    <w:rsid w:val="00D834A0"/>
    <w:rsid w:val="00D872DF"/>
    <w:rsid w:val="00D91E21"/>
    <w:rsid w:val="00DA7FCD"/>
    <w:rsid w:val="00DD1554"/>
    <w:rsid w:val="00E365E1"/>
    <w:rsid w:val="00E4590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52945"/>
  <w15:chartTrackingRefBased/>
  <w15:docId w15:val="{A317AE72-5B8F-43A0-9B7E-AC9DFF2C1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B001C7"/>
    <w:pPr>
      <w:spacing w:before="480" w:after="240"/>
    </w:pPr>
  </w:style>
  <w:style w:type="paragraph" w:customStyle="1" w:styleId="NormalBold12a">
    <w:name w:val="NormalBold12a"/>
    <w:basedOn w:val="Normal"/>
    <w:qFormat/>
    <w:rsid w:val="00B001C7"/>
    <w:pPr>
      <w:spacing w:after="240"/>
    </w:pPr>
    <w:rPr>
      <w:b/>
    </w:rPr>
  </w:style>
  <w:style w:type="paragraph" w:customStyle="1" w:styleId="NormalHanging12a">
    <w:name w:val="NormalHanging12a"/>
    <w:basedOn w:val="Normal"/>
    <w:qFormat/>
    <w:rsid w:val="00B001C7"/>
    <w:pPr>
      <w:spacing w:after="240"/>
      <w:ind w:left="567" w:hanging="567"/>
    </w:pPr>
  </w:style>
  <w:style w:type="character" w:styleId="Hyperlink">
    <w:name w:val="Hyperlink"/>
    <w:basedOn w:val="DefaultParagraphFont"/>
    <w:uiPriority w:val="99"/>
    <w:rsid w:val="00B001C7"/>
    <w:rPr>
      <w:color w:val="0563C1" w:themeColor="hyperlink"/>
      <w:u w:val="single"/>
    </w:rPr>
  </w:style>
  <w:style w:type="character" w:customStyle="1" w:styleId="Funotenzeichen">
    <w:name w:val="Fußnotenzeichen"/>
    <w:basedOn w:val="DefaultParagraphFont"/>
    <w:qFormat/>
    <w:rsid w:val="00B001C7"/>
    <w:rPr>
      <w:vertAlign w:val="superscript"/>
    </w:rPr>
  </w:style>
  <w:style w:type="paragraph" w:styleId="Revision">
    <w:name w:val="Revision"/>
    <w:hidden/>
    <w:uiPriority w:val="99"/>
    <w:semiHidden/>
    <w:rsid w:val="00063D5E"/>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933</Words>
  <Characters>6532</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2025-11-25T12:27:00Z</dcterms:created>
  <dcterms:modified xsi:type="dcterms:W3CDTF">2025-11-25T12:27:00Z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B10-0489/2025</vt:lpwstr>
  </property>
  <property fmtid="{D5CDD505-2E9C-101B-9397-08002B2CF9AE}" pid="4" name="&lt;Type&gt;">
    <vt:lpwstr>RR</vt:lpwstr>
  </property>
</Properties>
</file>