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73FE" w14:paraId="3D363551" w14:textId="77777777" w:rsidTr="0010095E">
        <w:trPr>
          <w:trHeight w:hRule="exact" w:val="1418"/>
        </w:trPr>
        <w:tc>
          <w:tcPr>
            <w:tcW w:w="6804" w:type="dxa"/>
            <w:shd w:val="clear" w:color="auto" w:fill="auto"/>
            <w:vAlign w:val="center"/>
          </w:tcPr>
          <w:p w14:paraId="0EE8F2A9" w14:textId="77777777" w:rsidR="00751A4A" w:rsidRPr="00C473FE" w:rsidRDefault="00F23C99" w:rsidP="0010095E">
            <w:pPr>
              <w:pStyle w:val="EPName"/>
            </w:pPr>
            <w:r w:rsidRPr="00C473FE">
              <w:t>Eiropas Parlaments</w:t>
            </w:r>
          </w:p>
          <w:p w14:paraId="19B1FFB5" w14:textId="77777777" w:rsidR="00751A4A" w:rsidRPr="00C473FE" w:rsidRDefault="005F1B17" w:rsidP="005F1B17">
            <w:pPr>
              <w:pStyle w:val="EPTerm"/>
              <w:rPr>
                <w:rStyle w:val="HideTWBExt"/>
                <w:noProof w:val="0"/>
                <w:vanish w:val="0"/>
                <w:color w:val="auto"/>
              </w:rPr>
            </w:pPr>
            <w:r w:rsidRPr="00C473FE">
              <w:t>2024</w:t>
            </w:r>
            <w:r w:rsidR="00817416" w:rsidRPr="00C473FE">
              <w:t>-202</w:t>
            </w:r>
            <w:r w:rsidRPr="00C473FE">
              <w:t>9</w:t>
            </w:r>
          </w:p>
        </w:tc>
        <w:tc>
          <w:tcPr>
            <w:tcW w:w="2268" w:type="dxa"/>
            <w:shd w:val="clear" w:color="auto" w:fill="auto"/>
          </w:tcPr>
          <w:p w14:paraId="5CAB9313" w14:textId="77777777" w:rsidR="00751A4A" w:rsidRPr="00C473FE" w:rsidRDefault="00187494" w:rsidP="0010095E">
            <w:pPr>
              <w:pStyle w:val="EPLogo"/>
            </w:pPr>
            <w:r w:rsidRPr="00C473FE">
              <w:rPr>
                <w:noProof/>
                <w:lang w:eastAsia="ja-JP"/>
              </w:rPr>
              <w:drawing>
                <wp:inline distT="0" distB="0" distL="0" distR="0" wp14:anchorId="6CDD87D2" wp14:editId="09B074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A8301A" w14:textId="77777777" w:rsidR="00D058B8" w:rsidRPr="00C473FE" w:rsidRDefault="00D058B8" w:rsidP="004C5D52">
      <w:pPr>
        <w:pStyle w:val="LineTop"/>
      </w:pPr>
    </w:p>
    <w:p w14:paraId="464A40D1" w14:textId="77777777" w:rsidR="00680577" w:rsidRPr="00C473FE" w:rsidRDefault="00F23C99" w:rsidP="00680577">
      <w:pPr>
        <w:pStyle w:val="EPBodyTA1"/>
      </w:pPr>
      <w:r w:rsidRPr="00C473FE">
        <w:t>PIEŅEMTIE TEKSTI</w:t>
      </w:r>
    </w:p>
    <w:p w14:paraId="29A576EE" w14:textId="77777777" w:rsidR="00D058B8" w:rsidRPr="00C473FE" w:rsidRDefault="00D058B8" w:rsidP="00D058B8">
      <w:pPr>
        <w:pStyle w:val="LineBottom"/>
      </w:pPr>
    </w:p>
    <w:p w14:paraId="4BD05C9B" w14:textId="6A01D845" w:rsidR="00F23C99" w:rsidRPr="00C473FE" w:rsidRDefault="00F23C99" w:rsidP="00F23C99">
      <w:pPr>
        <w:pStyle w:val="ATHeading1"/>
      </w:pPr>
      <w:bookmarkStart w:id="0" w:name="TANumber"/>
      <w:r w:rsidRPr="00C473FE">
        <w:t>P10_TA(2025)0</w:t>
      </w:r>
      <w:bookmarkEnd w:id="0"/>
      <w:r w:rsidR="00C473FE" w:rsidRPr="00C473FE">
        <w:t>288</w:t>
      </w:r>
    </w:p>
    <w:p w14:paraId="509024A4" w14:textId="63B087B1" w:rsidR="00F23C99" w:rsidRPr="00C473FE" w:rsidRDefault="00F3518D" w:rsidP="00F23C99">
      <w:pPr>
        <w:pStyle w:val="ATHeading2"/>
      </w:pPr>
      <w:bookmarkStart w:id="1" w:name="title"/>
      <w:r w:rsidRPr="00C473FE">
        <w:t>Ģ</w:t>
      </w:r>
      <w:r w:rsidR="00F23C99" w:rsidRPr="00C473FE">
        <w:t>enētiski modificēta</w:t>
      </w:r>
      <w:r w:rsidRPr="00C473FE">
        <w:t xml:space="preserve"> </w:t>
      </w:r>
      <w:r w:rsidR="00F23C99" w:rsidRPr="00C473FE">
        <w:t>kukurūza DAS1131</w:t>
      </w:r>
      <w:bookmarkEnd w:id="1"/>
    </w:p>
    <w:p w14:paraId="44DA7FB2" w14:textId="77777777" w:rsidR="00F23C99" w:rsidRPr="00C473FE" w:rsidRDefault="00F23C99" w:rsidP="00F23C99">
      <w:pPr>
        <w:rPr>
          <w:i/>
          <w:vanish/>
        </w:rPr>
      </w:pPr>
      <w:r w:rsidRPr="00C473FE">
        <w:rPr>
          <w:i/>
        </w:rPr>
        <w:fldChar w:fldCharType="begin"/>
      </w:r>
      <w:r w:rsidRPr="00C473FE">
        <w:rPr>
          <w:i/>
        </w:rPr>
        <w:instrText xml:space="preserve"> TC"(</w:instrText>
      </w:r>
      <w:bookmarkStart w:id="2" w:name="DocNumber"/>
      <w:r w:rsidRPr="00C473FE">
        <w:rPr>
          <w:i/>
        </w:rPr>
        <w:instrText>B10-0489/2025</w:instrText>
      </w:r>
      <w:bookmarkEnd w:id="2"/>
      <w:r w:rsidRPr="00C473FE">
        <w:rPr>
          <w:i/>
        </w:rPr>
        <w:instrText xml:space="preserve">)"\l3 \n&gt; \* MERGEFORMAT </w:instrText>
      </w:r>
      <w:r w:rsidRPr="00C473FE">
        <w:rPr>
          <w:i/>
        </w:rPr>
        <w:fldChar w:fldCharType="end"/>
      </w:r>
    </w:p>
    <w:p w14:paraId="0D619A85" w14:textId="77777777" w:rsidR="00F23C99" w:rsidRPr="00C473FE" w:rsidRDefault="00F23C99" w:rsidP="00F23C99">
      <w:pPr>
        <w:rPr>
          <w:vanish/>
        </w:rPr>
      </w:pPr>
      <w:bookmarkStart w:id="3" w:name="PE"/>
      <w:r w:rsidRPr="00C473FE">
        <w:rPr>
          <w:vanish/>
        </w:rPr>
        <w:t>PE778.111</w:t>
      </w:r>
      <w:bookmarkEnd w:id="3"/>
    </w:p>
    <w:p w14:paraId="7471A566" w14:textId="08433B9C" w:rsidR="00F23C99" w:rsidRPr="00C473FE" w:rsidRDefault="00F23C99" w:rsidP="00F23C99">
      <w:pPr>
        <w:pStyle w:val="ATHeading3"/>
      </w:pPr>
      <w:bookmarkStart w:id="4" w:name="Sujet"/>
      <w:r w:rsidRPr="00C473FE">
        <w:t xml:space="preserve">Eiropas Parlamenta 2025. gada </w:t>
      </w:r>
      <w:r w:rsidR="00F3518D" w:rsidRPr="00C473FE">
        <w:t>25</w:t>
      </w:r>
      <w:r w:rsidRPr="00C473FE">
        <w:t xml:space="preserve">. </w:t>
      </w:r>
      <w:r w:rsidR="00F3518D" w:rsidRPr="00C473FE">
        <w:t xml:space="preserve">novembra </w:t>
      </w:r>
      <w:r w:rsidRPr="00C473FE">
        <w:t>rezolūcija par projektu Komisijas īstenošanas lēmumam, ar ko atbilstoši Eiropas Parlamenta un Padomes Regulai (EK) Nr. 1829/2003 atļauj laist tirgū produktus, kas satur ģenētiski modificētu kukurūzu DAS1131, sastāv vai ir ražoti no tās</w:t>
      </w:r>
      <w:bookmarkEnd w:id="4"/>
      <w:r w:rsidRPr="00C473FE">
        <w:t xml:space="preserve"> </w:t>
      </w:r>
      <w:bookmarkStart w:id="5" w:name="References"/>
      <w:r w:rsidRPr="00C473FE">
        <w:t>(D109630/01 – 2025/2893(RSP))</w:t>
      </w:r>
      <w:bookmarkEnd w:id="5"/>
    </w:p>
    <w:p w14:paraId="401FAB4F" w14:textId="77777777" w:rsidR="00034C91" w:rsidRPr="00C473FE" w:rsidRDefault="00034C91" w:rsidP="00034C91">
      <w:pPr>
        <w:pStyle w:val="EPComma"/>
      </w:pPr>
      <w:bookmarkStart w:id="6" w:name="TextBodyBegin"/>
      <w:bookmarkEnd w:id="6"/>
      <w:r w:rsidRPr="00C473FE">
        <w:rPr>
          <w:i/>
        </w:rPr>
        <w:t>Eiropas Parlaments</w:t>
      </w:r>
      <w:r w:rsidRPr="00C473FE">
        <w:t>,</w:t>
      </w:r>
    </w:p>
    <w:p w14:paraId="19FBD071" w14:textId="77777777" w:rsidR="00034C91" w:rsidRPr="00C473FE" w:rsidRDefault="00034C91" w:rsidP="00034C91">
      <w:pPr>
        <w:pStyle w:val="NormalHanging12a"/>
      </w:pPr>
      <w:r w:rsidRPr="00C473FE">
        <w:t>–</w:t>
      </w:r>
      <w:r w:rsidRPr="00C473FE">
        <w:tab/>
        <w:t>ņemot vērā projektu Komisijas īstenošanas lēmumam, ar kuru atbilstoši Eiropas Parlamenta un Padomes Regulai (EK) Nr. 1829/2003 atļauj laist tirgū produktus, kas satur ģenētiski modificētu kukurūzu DAS1131, sastāv vai ir ražoti no tās (D109630/01),</w:t>
      </w:r>
    </w:p>
    <w:p w14:paraId="6C783140" w14:textId="77777777" w:rsidR="00034C91" w:rsidRPr="00C473FE" w:rsidRDefault="00034C91" w:rsidP="00034C91">
      <w:pPr>
        <w:pStyle w:val="NormalHanging12a"/>
      </w:pPr>
      <w:r w:rsidRPr="00C473FE">
        <w:t>–</w:t>
      </w:r>
      <w:r w:rsidRPr="00C473FE">
        <w:tab/>
        <w:t>ņemot vērā Eiropas Parlamenta un Padomes 2003. gada 22. septembra Regulu (EK) Nr. 1829/2003 par ģenētiski modificētu pārtiku un barību</w:t>
      </w:r>
      <w:r w:rsidRPr="00C473FE">
        <w:rPr>
          <w:rStyle w:val="FootnoteReference"/>
        </w:rPr>
        <w:footnoteReference w:id="1"/>
      </w:r>
      <w:r w:rsidRPr="00C473FE">
        <w:t xml:space="preserve"> un jo īpaši tās 7. panta 3. punktu un 19. panta 3. punktu,</w:t>
      </w:r>
    </w:p>
    <w:p w14:paraId="5A0658E9" w14:textId="7ACAF990" w:rsidR="00034C91" w:rsidRPr="00C473FE" w:rsidRDefault="00034C91" w:rsidP="00034C91">
      <w:pPr>
        <w:pStyle w:val="NormalHanging12a"/>
      </w:pPr>
      <w:r w:rsidRPr="00C473FE">
        <w:t>–</w:t>
      </w:r>
      <w:r w:rsidRPr="00C473FE">
        <w:tab/>
        <w:t>ņemot vērā Regulas (EK) Nr. 1829/2003 35. pantā minētās Augu, dzīvnieku, pārtikas aprites un dzīvnieku barības pastāvīgās komitejas 2025. gada 15. septembra balsojumu, kura dēļ atzinums netika sniegts,</w:t>
      </w:r>
      <w:r w:rsidR="00F3518D" w:rsidRPr="00C473FE">
        <w:t xml:space="preserve"> un Pārsūdzības komitejas 2025. gada 21. oktobra balsojumu, atkal nesniedzot atzinumu,</w:t>
      </w:r>
    </w:p>
    <w:p w14:paraId="408DDBCE" w14:textId="77777777" w:rsidR="00034C91" w:rsidRPr="00C473FE" w:rsidRDefault="00034C91" w:rsidP="00034C91">
      <w:pPr>
        <w:pStyle w:val="NormalHanging12a"/>
        <w:widowControl/>
        <w:rPr>
          <w:szCs w:val="24"/>
        </w:rPr>
      </w:pPr>
      <w:r w:rsidRPr="00C473FE">
        <w:t>–</w:t>
      </w:r>
      <w:r w:rsidRPr="00C473FE">
        <w:tab/>
        <w:t>ņemot vērā 11. pantu Eiropas Parlamenta un Padomes 2011. gada 16. februāra Regulā (ES) Nr. 182/2011, ar ko nosaka normas un vispārīgus principus par dalībvalstu kontroles mehānismiem, kuri attiecas uz Komisijas īstenošanas pilnvaru izmantošanu</w:t>
      </w:r>
      <w:bookmarkStart w:id="7" w:name="_Hlk210662860"/>
      <w:r w:rsidRPr="00C473FE">
        <w:rPr>
          <w:rStyle w:val="FootnoteReference"/>
          <w:szCs w:val="24"/>
        </w:rPr>
        <w:footnoteReference w:id="2"/>
      </w:r>
      <w:bookmarkEnd w:id="7"/>
      <w:r w:rsidRPr="00C473FE">
        <w:t>,</w:t>
      </w:r>
    </w:p>
    <w:p w14:paraId="1D363CAA" w14:textId="77777777" w:rsidR="00034C91" w:rsidRPr="00C473FE" w:rsidRDefault="00034C91" w:rsidP="00034C91">
      <w:pPr>
        <w:pStyle w:val="NormalHanging12a"/>
        <w:widowControl/>
      </w:pPr>
      <w:bookmarkStart w:id="9" w:name="_Hlk210663128"/>
      <w:r w:rsidRPr="00C473FE">
        <w:t>–</w:t>
      </w:r>
      <w:r w:rsidRPr="00C473FE">
        <w:tab/>
        <w:t>ņemot vērā Eiropas Pārtikas nekaitīguma iestādes (</w:t>
      </w:r>
      <w:r w:rsidRPr="00C473FE">
        <w:rPr>
          <w:i/>
          <w:iCs/>
        </w:rPr>
        <w:t>EFSA</w:t>
      </w:r>
      <w:r w:rsidRPr="00C473FE">
        <w:t>) 2025. gada 5. februārī pieņemto atzinumu, kas publicēts 2025. gada 19. martā</w:t>
      </w:r>
      <w:r w:rsidRPr="00C473FE">
        <w:rPr>
          <w:rStyle w:val="FootnoteReference"/>
          <w:szCs w:val="24"/>
        </w:rPr>
        <w:footnoteReference w:id="3"/>
      </w:r>
      <w:r w:rsidRPr="00C473FE">
        <w:t>,</w:t>
      </w:r>
    </w:p>
    <w:bookmarkEnd w:id="9"/>
    <w:p w14:paraId="44C1FC88" w14:textId="2C9A0D30" w:rsidR="00034C91" w:rsidRPr="00C473FE" w:rsidRDefault="00034C91" w:rsidP="00034C91">
      <w:pPr>
        <w:pStyle w:val="NormalHanging12a"/>
      </w:pPr>
      <w:r w:rsidRPr="00C473FE">
        <w:t>–</w:t>
      </w:r>
      <w:r w:rsidRPr="00C473FE">
        <w:tab/>
        <w:t xml:space="preserve">ņemot vērā Parlamenta iepriekšējās rezolūcijas, kurās iebilsts pret atļauju izmantot </w:t>
      </w:r>
      <w:r w:rsidRPr="00C473FE">
        <w:lastRenderedPageBreak/>
        <w:t>ģenētiski modificētus organismus (ĢMO)</w:t>
      </w:r>
      <w:r w:rsidRPr="00C473FE">
        <w:rPr>
          <w:rStyle w:val="FootnoteReference"/>
        </w:rPr>
        <w:footnoteReference w:id="4"/>
      </w:r>
      <w:r w:rsidRPr="00C473FE">
        <w:t>,</w:t>
      </w:r>
    </w:p>
    <w:p w14:paraId="6101BEC7" w14:textId="77777777" w:rsidR="00034C91" w:rsidRPr="00C473FE" w:rsidRDefault="00034C91" w:rsidP="00034C91">
      <w:pPr>
        <w:pStyle w:val="NormalHanging12a"/>
      </w:pPr>
      <w:r w:rsidRPr="00C473FE">
        <w:lastRenderedPageBreak/>
        <w:t>–</w:t>
      </w:r>
      <w:r w:rsidRPr="00C473FE">
        <w:tab/>
        <w:t>ņemot vērā Reglamenta 115. panta 2. un 3. punktu,</w:t>
      </w:r>
    </w:p>
    <w:p w14:paraId="1B00BC2D" w14:textId="77777777" w:rsidR="00034C91" w:rsidRPr="00C473FE" w:rsidRDefault="00034C91" w:rsidP="00034C91">
      <w:pPr>
        <w:pStyle w:val="NormalHanging12a"/>
      </w:pPr>
      <w:r w:rsidRPr="00C473FE">
        <w:t>–</w:t>
      </w:r>
      <w:r w:rsidRPr="00C473FE">
        <w:tab/>
        <w:t>ņemot vērā Vides, klimata un pārtikas nekaitīguma komitejas rezolūcijas priekšlikumu,</w:t>
      </w:r>
    </w:p>
    <w:p w14:paraId="063FC2B3" w14:textId="0A6CC1A9" w:rsidR="00034C91" w:rsidRPr="00C473FE" w:rsidRDefault="00034C91" w:rsidP="00034C91">
      <w:pPr>
        <w:spacing w:after="240"/>
        <w:ind w:left="567" w:hanging="567"/>
      </w:pPr>
      <w:r w:rsidRPr="00C473FE">
        <w:t>A.</w:t>
      </w:r>
      <w:r w:rsidRPr="00C473FE">
        <w:tab/>
        <w:t>tā kā Beļģijā bāzētais uzņēmums "</w:t>
      </w:r>
      <w:r w:rsidRPr="00C473FE">
        <w:rPr>
          <w:i/>
          <w:iCs/>
        </w:rPr>
        <w:t>Corteva Agriscience Belgium B.V.</w:t>
      </w:r>
      <w:r w:rsidRPr="00C473FE">
        <w:t xml:space="preserve">" Amerikas Savienotajās </w:t>
      </w:r>
      <w:r w:rsidRPr="00C473FE">
        <w:rPr>
          <w:snapToGrid w:val="0"/>
        </w:rPr>
        <w:t>Valstīs</w:t>
      </w:r>
      <w:r w:rsidRPr="00C473FE">
        <w:t xml:space="preserve"> bāzētā uzņēmuma "</w:t>
      </w:r>
      <w:r w:rsidRPr="00C473FE">
        <w:rPr>
          <w:i/>
          <w:iCs/>
        </w:rPr>
        <w:t>Corteva Agriscience LLC</w:t>
      </w:r>
      <w:r w:rsidRPr="00C473FE">
        <w:t xml:space="preserve">" vārdā 2022. gada </w:t>
      </w:r>
      <w:r w:rsidR="0081707E">
        <w:t>1</w:t>
      </w:r>
      <w:r w:rsidRPr="00C473FE">
        <w:t>7. jūnijā Nīderlandes kompetentajai iestādei saskaņā ar Regulas (EK) Nr. 1829/2003 5. un 17. pantu iesniedza pieteikumu, kurā lūgts atļaut laist tirgū tādus pārtikas produktus, pārtikas sastāvdaļas un barību, kas satur ģenētiski modificēto kukurūzu DAS1131 ("ĢM kukurūza"), no tās sastāv vai ir no tās ražoti, ("pieteikums"); tā kā pieteikums attiecas arī uz atļauju laist tirgū produktus, kas satur ĢM kukurūzu vai no tās sastāv, izmantošanai veidos, kas nav pārtika un dzīvnieku barība, izņemot audzēšanu;</w:t>
      </w:r>
    </w:p>
    <w:p w14:paraId="571CF0EB" w14:textId="77777777" w:rsidR="00034C91" w:rsidRPr="00C473FE" w:rsidRDefault="00034C91" w:rsidP="00034C91">
      <w:pPr>
        <w:spacing w:after="240"/>
        <w:ind w:left="567" w:hanging="567"/>
      </w:pPr>
      <w:r w:rsidRPr="00C473FE">
        <w:t>B.</w:t>
      </w:r>
      <w:r w:rsidRPr="00C473FE">
        <w:tab/>
        <w:t xml:space="preserve">tā kā ĢM kukurūza ražo proteīnu Cry1Da2, kas nodrošina rezistenci pret dažiem </w:t>
      </w:r>
      <w:r w:rsidRPr="00C473FE">
        <w:rPr>
          <w:i/>
          <w:iCs/>
        </w:rPr>
        <w:t>Lepidoptera</w:t>
      </w:r>
      <w:r w:rsidRPr="00C473FE">
        <w:t xml:space="preserve"> kaitēkļu kukaiņiem, un DGT-28 EPSPS proteīnu, lai palielinātu toleranci pret glifozāta herbicīdu;</w:t>
      </w:r>
    </w:p>
    <w:p w14:paraId="0C534170" w14:textId="77777777" w:rsidR="00034C91" w:rsidRPr="00C473FE" w:rsidRDefault="00034C91" w:rsidP="00034C91">
      <w:pPr>
        <w:spacing w:after="240"/>
        <w:ind w:left="567" w:hanging="567"/>
      </w:pPr>
      <w:bookmarkStart w:id="10" w:name="_Hlk210306900"/>
      <w:r w:rsidRPr="00C473FE">
        <w:t>C.</w:t>
      </w:r>
      <w:r w:rsidRPr="00C473FE">
        <w:tab/>
        <w:t>tā kā joprojām nav skaidras atbildes par to, vai glifozāts ir kancerogēns; tā kā</w:t>
      </w:r>
      <w:r w:rsidRPr="00C473FE">
        <w:rPr>
          <w:i/>
          <w:iCs/>
        </w:rPr>
        <w:t xml:space="preserve"> EFSA</w:t>
      </w:r>
      <w:r w:rsidRPr="00C473FE">
        <w:t xml:space="preserve"> 2015. gada novembrī secināja, ka glifozāts, visticamāk, nav kancerogēns, un Eiropas Ķimikāliju aģentūra 2017. gada martā secināja, ka nav pamata to šādi klasificēt; tā kā pretēji tam 2015. gadā Starptautiskā Vēža izpētes aģentūra (specializētā Pasaules Veselības organizācijas vēža pētniecības aģentūra) glifozātu klasificēja kā iespējami kancerogēnu cilvēkam; tā kā vairāki neseni zinātniski recenzēti pētījumi apstiprina to, ka glifozāts varētu būt kancerogēns</w:t>
      </w:r>
      <w:r w:rsidRPr="00C473FE">
        <w:rPr>
          <w:rStyle w:val="FootnoteReference"/>
        </w:rPr>
        <w:footnoteReference w:id="5"/>
      </w:r>
      <w:r w:rsidRPr="00C473FE">
        <w:t>;</w:t>
      </w:r>
    </w:p>
    <w:bookmarkEnd w:id="10"/>
    <w:p w14:paraId="710225E6" w14:textId="094E32C9" w:rsidR="00034C91" w:rsidRPr="00C473FE" w:rsidRDefault="00034C91" w:rsidP="00034C91">
      <w:pPr>
        <w:spacing w:after="240"/>
        <w:ind w:left="567" w:hanging="567"/>
      </w:pPr>
      <w:r w:rsidRPr="00C473FE">
        <w:t>D.</w:t>
      </w:r>
      <w:r w:rsidRPr="00C473FE">
        <w:tab/>
        <w:t xml:space="preserve">tā kā </w:t>
      </w:r>
      <w:r w:rsidRPr="00C473FE">
        <w:rPr>
          <w:i/>
          <w:iCs/>
        </w:rPr>
        <w:t>EFSA</w:t>
      </w:r>
      <w:r w:rsidRPr="00C473FE">
        <w:t xml:space="preserve"> 2025. gada 5.</w:t>
      </w:r>
      <w:r w:rsidR="0081707E">
        <w:t> </w:t>
      </w:r>
      <w:r w:rsidRPr="00C473FE">
        <w:t xml:space="preserve">februārī sniedza labvēlīgu atzinumu, secinot, ka ĢM kukurūza ir tikpat droša kā tās tradicionālais aizstājējs; tā kā minētajā atzinumā nav aplūkotas vairākas plašākas vidiskās, sociālekonomiskās un kumulatīvās ietekmes, kuras </w:t>
      </w:r>
      <w:r w:rsidRPr="00C473FE">
        <w:rPr>
          <w:i/>
          <w:iCs/>
        </w:rPr>
        <w:t>EFSA</w:t>
      </w:r>
      <w:r w:rsidRPr="00C473FE">
        <w:t xml:space="preserve"> uzskata par tādām, kas neietilpst tās kompetencē;</w:t>
      </w:r>
    </w:p>
    <w:p w14:paraId="7A74DBF1" w14:textId="77777777" w:rsidR="00034C91" w:rsidRPr="00C473FE" w:rsidRDefault="00034C91" w:rsidP="00034C91">
      <w:pPr>
        <w:spacing w:after="240"/>
        <w:ind w:left="567" w:hanging="567"/>
      </w:pPr>
      <w:r w:rsidRPr="00C473FE">
        <w:t>E.</w:t>
      </w:r>
      <w:r w:rsidRPr="00C473FE">
        <w:tab/>
        <w:t xml:space="preserve">tā kā </w:t>
      </w:r>
      <w:r w:rsidRPr="00C473FE">
        <w:rPr>
          <w:i/>
          <w:iCs/>
        </w:rPr>
        <w:t>EFSA</w:t>
      </w:r>
      <w:r w:rsidRPr="00C473FE">
        <w:t xml:space="preserve"> veiktajā riska novērtējumā netika iekļauti ilgtermiņa toksikoloģiskie pētījumi vai detalizēta kumulatīvās un kombinētās ietekmes analīze, tostarp potenciālā </w:t>
      </w:r>
      <w:r w:rsidRPr="00C473FE">
        <w:lastRenderedPageBreak/>
        <w:t>mijiedarbība ar pesticīdu atliekvielām, ko parasti izmanto kukurūzas audzēšanā;</w:t>
      </w:r>
    </w:p>
    <w:p w14:paraId="7026A243" w14:textId="77777777" w:rsidR="00034C91" w:rsidRPr="00C473FE" w:rsidRDefault="00034C91" w:rsidP="00034C91">
      <w:pPr>
        <w:spacing w:after="240"/>
        <w:ind w:left="567" w:hanging="567"/>
      </w:pPr>
      <w:r w:rsidRPr="00C473FE">
        <w:t>F.</w:t>
      </w:r>
      <w:r w:rsidRPr="00C473FE">
        <w:tab/>
        <w:t>tā kā lauka izmēģinājumi, kas pamato pieteikumu, tika veikti ierobežotos ģeogrāfiskos un klimatiskos apstākļos, kas neatspoguļo visu kukurūzas audzēšanas reģionu daudzveidību, tostarp to reģionu daudzveidību, kurus spēcīgi ietekmē ar klimata pārmaiņām saistīti stresa faktori;</w:t>
      </w:r>
    </w:p>
    <w:p w14:paraId="152BCBF8" w14:textId="77777777" w:rsidR="00034C91" w:rsidRPr="00C473FE" w:rsidRDefault="00034C91" w:rsidP="00034C91">
      <w:pPr>
        <w:spacing w:after="240"/>
        <w:ind w:left="567" w:hanging="567"/>
      </w:pPr>
      <w:r w:rsidRPr="00C473FE">
        <w:t>G.</w:t>
      </w:r>
      <w:r w:rsidRPr="00C473FE">
        <w:tab/>
        <w:t>tā kā joprojām nav pietiekami nodrošināta neatkarīga uzraudzība un novērošana attiecībā uz iespējamo nelabvēlīgo ietekmi uz bioloģisko daudzveidību, augsnes veselību, apputeksnētājiem un nemērķa organismiem;</w:t>
      </w:r>
    </w:p>
    <w:p w14:paraId="4C3CA4A9" w14:textId="77777777" w:rsidR="00034C91" w:rsidRPr="00C473FE" w:rsidRDefault="00034C91" w:rsidP="00034C91">
      <w:pPr>
        <w:spacing w:after="240"/>
        <w:ind w:left="567" w:hanging="567"/>
      </w:pPr>
      <w:r w:rsidRPr="00C473FE">
        <w:t>H.</w:t>
      </w:r>
      <w:r w:rsidRPr="00C473FE">
        <w:tab/>
        <w:t>tā kā līdz šim nav pieejami zinātniski recenzēti pētījumi par Cry1Da2 proteīna toksicitāti vai iedarbības veidu;</w:t>
      </w:r>
    </w:p>
    <w:p w14:paraId="4D85D0BE" w14:textId="77777777" w:rsidR="00034C91" w:rsidRPr="00C473FE" w:rsidRDefault="00034C91" w:rsidP="00034C91">
      <w:pPr>
        <w:spacing w:after="240"/>
        <w:ind w:left="567" w:hanging="567"/>
      </w:pPr>
      <w:r w:rsidRPr="00C473FE">
        <w:t>I.</w:t>
      </w:r>
      <w:r w:rsidRPr="00C473FE">
        <w:tab/>
        <w:t>tā kā zinātniskās nenoteiktības gadījumos būtu jāpiemēro piesardzības princips, kas ir paredzēts Līguma par Eiropas Savienības darbību 191. pantā;</w:t>
      </w:r>
    </w:p>
    <w:p w14:paraId="21A5F1B3" w14:textId="77777777" w:rsidR="00034C91" w:rsidRPr="00C473FE" w:rsidRDefault="00034C91" w:rsidP="00034C91">
      <w:pPr>
        <w:spacing w:after="240"/>
        <w:ind w:left="567" w:hanging="567"/>
      </w:pPr>
      <w:r w:rsidRPr="00C473FE">
        <w:t>J.</w:t>
      </w:r>
      <w:r w:rsidRPr="00C473FE">
        <w:tab/>
        <w:t>tā kā Regulā (EK) Nr. 1829/2003 ir noteikts, ka ĢM pārtika un barība nedrīkst nelabvēlīgi ietekmēt cilvēku veselību, dzīvnieku veselību vai vidi;</w:t>
      </w:r>
    </w:p>
    <w:p w14:paraId="76363059" w14:textId="77777777" w:rsidR="00034C91" w:rsidRPr="00C473FE" w:rsidRDefault="00034C91" w:rsidP="00034C91">
      <w:pPr>
        <w:spacing w:after="240"/>
        <w:ind w:left="567" w:hanging="567"/>
      </w:pPr>
      <w:r w:rsidRPr="00C473FE">
        <w:t>K.</w:t>
      </w:r>
      <w:r w:rsidRPr="00C473FE">
        <w:tab/>
        <w:t>tā kā Komisijas Īstenošanas lēmuma projekta pieņemšana ļautu Savienībā importēt produktus, kas neatbilst Savienības lauksaimnieku ievērotajiem standartiem, un tādējādi radītu viņiem neizdevīgus konkurences apstākļus;</w:t>
      </w:r>
    </w:p>
    <w:p w14:paraId="17E9BBBF" w14:textId="77777777" w:rsidR="00034C91" w:rsidRPr="00C473FE" w:rsidRDefault="00034C91" w:rsidP="00034C91">
      <w:pPr>
        <w:spacing w:after="240"/>
        <w:ind w:left="567" w:hanging="567"/>
      </w:pPr>
      <w:r w:rsidRPr="00C473FE">
        <w:t>L.</w:t>
      </w:r>
      <w:r w:rsidRPr="00C473FE">
        <w:tab/>
        <w:t>tā kā Parlaments ir vairākkārt uzsvēris, ka Komisijai nevajadzētu atļaut ĢMO gadījumos, kad dalībvalstis Augu, dzīvnieku, pārtikas aprites un dzīvnieku barības pastāvīgajā komitejā vai pārsūdzības komitejā nav panākušas kvalificētu balsu vairākumu, lai novērstu pastāvīgo demokrātijas deficītu;</w:t>
      </w:r>
    </w:p>
    <w:p w14:paraId="7CD45A23" w14:textId="77777777" w:rsidR="00034C91" w:rsidRPr="00C473FE" w:rsidRDefault="00034C91" w:rsidP="00034C91">
      <w:pPr>
        <w:spacing w:after="240"/>
        <w:ind w:left="567" w:hanging="567"/>
      </w:pPr>
      <w:r w:rsidRPr="00C473FE">
        <w:t>M.</w:t>
      </w:r>
      <w:r w:rsidRPr="00C473FE">
        <w:tab/>
        <w:t>tā kā saskaņā ar pieeju "Viena veselība" ir jāņem vērā cilvēka, dzīvnieku, augu un vides veselības savstarpējā atkarība, novērtējot ĢMO ilgtermiņa ilgtspēju un drošumu;</w:t>
      </w:r>
    </w:p>
    <w:p w14:paraId="7992E30D" w14:textId="77777777" w:rsidR="00034C91" w:rsidRPr="00C473FE" w:rsidRDefault="00034C91" w:rsidP="00F85D15">
      <w:pPr>
        <w:spacing w:after="240"/>
        <w:ind w:left="567" w:hanging="567"/>
      </w:pPr>
      <w:r w:rsidRPr="00C473FE">
        <w:t>1.</w:t>
      </w:r>
      <w:r w:rsidRPr="00C473FE">
        <w:tab/>
        <w:t>uzskata, ka Komisijas īstenošanas lēmuma projekts pārsniedz Regulā (EK) Nr. 1829/2003 paredzētās īstenošanas pilnvaras;</w:t>
      </w:r>
    </w:p>
    <w:p w14:paraId="131D711F" w14:textId="77777777" w:rsidR="00034C91" w:rsidRPr="00C473FE" w:rsidRDefault="00034C91" w:rsidP="00F85D15">
      <w:pPr>
        <w:spacing w:after="240"/>
        <w:ind w:left="567" w:hanging="567"/>
      </w:pPr>
      <w:r w:rsidRPr="00C473FE">
        <w:t>2.</w:t>
      </w:r>
      <w:r w:rsidRPr="00C473FE">
        <w:tab/>
        <w:t>uzskata, ka Komisijas īstenošanas lēmuma projekts neatbilst Savienības tiesību aktiem, jo nav savienojams ar Regulas (EK) Nr. 1829/2003 mērķi, proti, saskaņā ar Eiropas Parlamenta un Padomes Regulā (EK) Nr. 178/2002</w:t>
      </w:r>
      <w:r w:rsidRPr="00C473FE">
        <w:rPr>
          <w:rStyle w:val="FootnoteReference"/>
        </w:rPr>
        <w:footnoteReference w:id="6"/>
      </w:r>
      <w:r w:rsidRPr="00C473FE">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14:paraId="6B896E6D" w14:textId="77777777" w:rsidR="00034C91" w:rsidRPr="00C473FE" w:rsidRDefault="00034C91" w:rsidP="00F85D15">
      <w:pPr>
        <w:spacing w:after="240"/>
        <w:ind w:left="567" w:hanging="567"/>
      </w:pPr>
      <w:r w:rsidRPr="00C473FE">
        <w:t>3.</w:t>
      </w:r>
      <w:r w:rsidRPr="00C473FE">
        <w:tab/>
        <w:t>aicina Komisiju atsaukt īstenošanas lēmuma projektu;</w:t>
      </w:r>
    </w:p>
    <w:p w14:paraId="125E4655" w14:textId="77777777" w:rsidR="00034C91" w:rsidRPr="00C473FE" w:rsidRDefault="00034C91" w:rsidP="00F85D15">
      <w:pPr>
        <w:spacing w:after="240"/>
        <w:ind w:left="567" w:hanging="567"/>
      </w:pPr>
      <w:r w:rsidRPr="00C473FE">
        <w:t>4.</w:t>
      </w:r>
      <w:r w:rsidRPr="00C473FE">
        <w:tab/>
        <w:t xml:space="preserve">aicina Komisiju neapstiprināt ĢM kukurūzu, jo nav pietiekamu pierādījumu par tās ilgtermiņa ietekmi uz bioloģisko daudzveidību, pārtikas nekaitīgumu un lauksaimnieku </w:t>
      </w:r>
      <w:r w:rsidRPr="00C473FE">
        <w:lastRenderedPageBreak/>
        <w:t>iztikas līdzekļiem saskaņā ar pieeju "Viena veselība";</w:t>
      </w:r>
    </w:p>
    <w:p w14:paraId="45BCF2BC" w14:textId="77777777" w:rsidR="00034C91" w:rsidRPr="00C473FE" w:rsidRDefault="00034C91" w:rsidP="00F85D15">
      <w:pPr>
        <w:spacing w:after="240"/>
        <w:ind w:left="567" w:hanging="567"/>
      </w:pPr>
      <w:bookmarkStart w:id="11" w:name="_Hlk210900300"/>
      <w:r w:rsidRPr="00C473FE">
        <w:t>5.</w:t>
      </w:r>
      <w:r w:rsidRPr="00C473FE">
        <w:tab/>
        <w:t>aicina Komisiju nekavējoties iesniegt tiesību akta priekšlikumu, lai reformētu lēmumu pieņemšanas procedūru attiecībā uz ĢMO, reaģējot uz Parlamenta konsekventajiem iebildumiem un kvalificēta vairākuma atbalsta trūkumu starp dalībvalstīm</w:t>
      </w:r>
      <w:bookmarkEnd w:id="11"/>
      <w:r w:rsidRPr="00C473FE">
        <w:t>;</w:t>
      </w:r>
    </w:p>
    <w:p w14:paraId="7CB8F78D" w14:textId="77777777" w:rsidR="00034C91" w:rsidRPr="00C473FE" w:rsidRDefault="00034C91" w:rsidP="00F85D15">
      <w:pPr>
        <w:spacing w:after="240"/>
        <w:ind w:left="567" w:hanging="567"/>
      </w:pPr>
      <w:bookmarkStart w:id="12" w:name="_Hlk210900241"/>
      <w:r w:rsidRPr="00C473FE">
        <w:t>6.</w:t>
      </w:r>
      <w:r w:rsidRPr="00C473FE">
        <w:tab/>
        <w:t>mudina Komisiju ņemt vērā Savienības saistības saskaņā ar starptautiskiem nolīgumiem Parīzes Klimata nolīgumu, Apvienoto Nāciju Organizācijas (ANO) Konvenciju par bioloģisko daudzveidību un ANO ilgtspējīgas attīstības mērķus;</w:t>
      </w:r>
    </w:p>
    <w:bookmarkEnd w:id="12"/>
    <w:p w14:paraId="5EFDD395" w14:textId="10675CAD" w:rsidR="0072136C" w:rsidRPr="00C473FE" w:rsidRDefault="00034C91" w:rsidP="00F85D15">
      <w:pPr>
        <w:spacing w:after="240"/>
        <w:ind w:left="567" w:hanging="567"/>
      </w:pPr>
      <w:r w:rsidRPr="00C473FE">
        <w:t>7.</w:t>
      </w:r>
      <w:r w:rsidRPr="00C473FE">
        <w:tab/>
        <w:t>uzdod priekšsēdētājai šo rezolūciju nosūtīt Padomei un Komisijai, kā arī dalībvalstu valdībām un parlamentiem.</w:t>
      </w:r>
    </w:p>
    <w:p w14:paraId="333D3616" w14:textId="7D9D79B4" w:rsidR="00E365E1" w:rsidRPr="00C473FE" w:rsidRDefault="00E365E1" w:rsidP="00F23C99"/>
    <w:sectPr w:rsidR="00E365E1" w:rsidRPr="00C473FE" w:rsidSect="007213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2E341" w14:textId="77777777" w:rsidR="00F23C99" w:rsidRPr="0072136C" w:rsidRDefault="00F23C99">
      <w:r w:rsidRPr="0072136C">
        <w:separator/>
      </w:r>
    </w:p>
  </w:endnote>
  <w:endnote w:type="continuationSeparator" w:id="0">
    <w:p w14:paraId="7F902080" w14:textId="77777777" w:rsidR="00F23C99" w:rsidRPr="0072136C" w:rsidRDefault="00F23C99">
      <w:r w:rsidRPr="007213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19F15" w14:textId="77777777" w:rsidR="00064002" w:rsidRPr="007213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991C2" w14:textId="77777777" w:rsidR="00064002" w:rsidRPr="007213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93FD" w14:textId="77777777" w:rsidR="00064002" w:rsidRPr="007213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522C2" w14:textId="77777777" w:rsidR="00F23C99" w:rsidRPr="0072136C" w:rsidRDefault="00F23C99">
      <w:r w:rsidRPr="0072136C">
        <w:separator/>
      </w:r>
    </w:p>
  </w:footnote>
  <w:footnote w:type="continuationSeparator" w:id="0">
    <w:p w14:paraId="5579BA3B" w14:textId="77777777" w:rsidR="00F23C99" w:rsidRPr="0072136C" w:rsidRDefault="00F23C99">
      <w:r w:rsidRPr="0072136C">
        <w:continuationSeparator/>
      </w:r>
    </w:p>
  </w:footnote>
  <w:footnote w:id="1">
    <w:p w14:paraId="384823B2" w14:textId="750DC524" w:rsidR="00034C91" w:rsidRPr="0072136C" w:rsidRDefault="00034C91" w:rsidP="0072136C">
      <w:pPr>
        <w:pStyle w:val="FootnoteText"/>
        <w:ind w:left="567" w:hanging="567"/>
        <w:rPr>
          <w:sz w:val="24"/>
          <w:lang w:val="lv-LV"/>
        </w:rPr>
      </w:pPr>
      <w:r w:rsidRPr="0072136C">
        <w:rPr>
          <w:rStyle w:val="Funotenzeichen"/>
          <w:sz w:val="24"/>
          <w:lang w:val="lv-LV"/>
        </w:rPr>
        <w:footnoteRef/>
      </w:r>
      <w:r w:rsidR="0072136C" w:rsidRPr="0072136C">
        <w:rPr>
          <w:sz w:val="24"/>
          <w:lang w:val="lv-LV"/>
        </w:rPr>
        <w:t xml:space="preserve"> </w:t>
      </w:r>
      <w:r w:rsidR="0072136C" w:rsidRPr="0072136C">
        <w:rPr>
          <w:sz w:val="24"/>
          <w:lang w:val="lv-LV"/>
        </w:rPr>
        <w:tab/>
      </w:r>
      <w:r w:rsidRPr="0072136C">
        <w:rPr>
          <w:sz w:val="24"/>
          <w:lang w:val="lv-LV"/>
        </w:rPr>
        <w:t>OV L 268, 18.10.2003., 1. lpp., ELI: </w:t>
      </w:r>
      <w:hyperlink r:id="rId1" w:tooltip="Dod piekļuvi šim dokumentam, izmantojot tā ELI URI." w:history="1">
        <w:r w:rsidRPr="0072136C">
          <w:rPr>
            <w:rStyle w:val="Hyperlink"/>
            <w:sz w:val="24"/>
            <w:lang w:val="lv-LV"/>
          </w:rPr>
          <w:t>http://data.europa.eu/eli/reg/2003/1829/oj</w:t>
        </w:r>
      </w:hyperlink>
      <w:r w:rsidRPr="0072136C">
        <w:rPr>
          <w:rStyle w:val="Hyperlink"/>
          <w:sz w:val="24"/>
          <w:lang w:val="lv-LV"/>
        </w:rPr>
        <w:t>.</w:t>
      </w:r>
    </w:p>
  </w:footnote>
  <w:footnote w:id="2">
    <w:p w14:paraId="428E2959" w14:textId="2E99575E" w:rsidR="00034C91" w:rsidRPr="0072136C" w:rsidRDefault="00034C91" w:rsidP="0072136C">
      <w:pPr>
        <w:pStyle w:val="FootnoteText"/>
        <w:ind w:left="567" w:hanging="567"/>
        <w:rPr>
          <w:sz w:val="24"/>
          <w:lang w:val="lv-LV"/>
        </w:rPr>
      </w:pPr>
      <w:r w:rsidRPr="0072136C">
        <w:rPr>
          <w:rStyle w:val="FootnoteReference"/>
          <w:sz w:val="24"/>
          <w:lang w:val="lv-LV"/>
        </w:rPr>
        <w:footnoteRef/>
      </w:r>
      <w:bookmarkStart w:id="8" w:name="_Hlk210663104"/>
      <w:r w:rsidR="0072136C" w:rsidRPr="0072136C">
        <w:rPr>
          <w:sz w:val="24"/>
          <w:lang w:val="lv-LV"/>
        </w:rPr>
        <w:t xml:space="preserve"> </w:t>
      </w:r>
      <w:r w:rsidR="0072136C" w:rsidRPr="0072136C">
        <w:rPr>
          <w:sz w:val="24"/>
          <w:lang w:val="lv-LV"/>
        </w:rPr>
        <w:tab/>
      </w:r>
      <w:r w:rsidRPr="0072136C">
        <w:rPr>
          <w:sz w:val="24"/>
          <w:lang w:val="lv-LV"/>
        </w:rPr>
        <w:t xml:space="preserve">OV L 55, 28.2.2011., 13. lpp., ELI: </w:t>
      </w:r>
      <w:hyperlink r:id="rId2" w:history="1">
        <w:r w:rsidRPr="0072136C">
          <w:rPr>
            <w:rStyle w:val="Hyperlink"/>
            <w:sz w:val="24"/>
            <w:lang w:val="lv-LV"/>
          </w:rPr>
          <w:t>http://data.europa.eu/eli/reg/2011/1829/oj</w:t>
        </w:r>
      </w:hyperlink>
      <w:r w:rsidRPr="0072136C">
        <w:rPr>
          <w:sz w:val="24"/>
          <w:lang w:val="lv-LV"/>
        </w:rPr>
        <w:t>.</w:t>
      </w:r>
      <w:bookmarkEnd w:id="8"/>
    </w:p>
  </w:footnote>
  <w:footnote w:id="3">
    <w:p w14:paraId="62D51252" w14:textId="27526661" w:rsidR="00034C91" w:rsidRPr="0072136C" w:rsidRDefault="00034C91" w:rsidP="0072136C">
      <w:pPr>
        <w:pStyle w:val="FootnoteText"/>
        <w:ind w:left="567" w:hanging="567"/>
        <w:rPr>
          <w:sz w:val="24"/>
          <w:lang w:val="lv-LV"/>
        </w:rPr>
      </w:pPr>
      <w:r w:rsidRPr="0072136C">
        <w:rPr>
          <w:rStyle w:val="Funotenzeichen"/>
          <w:sz w:val="24"/>
          <w:lang w:val="lv-LV"/>
        </w:rPr>
        <w:footnoteRef/>
      </w:r>
      <w:r w:rsidR="0072136C" w:rsidRPr="0072136C">
        <w:rPr>
          <w:i/>
          <w:iCs/>
          <w:sz w:val="24"/>
          <w:lang w:val="lv-LV"/>
        </w:rPr>
        <w:t xml:space="preserve"> </w:t>
      </w:r>
      <w:r w:rsidR="0072136C" w:rsidRPr="0072136C">
        <w:rPr>
          <w:i/>
          <w:iCs/>
          <w:sz w:val="24"/>
          <w:lang w:val="lv-LV"/>
        </w:rPr>
        <w:tab/>
      </w:r>
      <w:r w:rsidRPr="0072136C">
        <w:rPr>
          <w:i/>
          <w:iCs/>
          <w:sz w:val="24"/>
          <w:lang w:val="lv-LV"/>
        </w:rPr>
        <w:t>EFSA</w:t>
      </w:r>
      <w:r w:rsidRPr="0072136C">
        <w:rPr>
          <w:sz w:val="24"/>
          <w:lang w:val="lv-LV"/>
        </w:rPr>
        <w:t xml:space="preserve"> Ekspertu grupas ģenētiski modificētu organismu jautājumos zinātniskais atzinums par ģenētiski modificētas kukurūzas DAS1131 novērtēšanu (pieteikums GMFF-2021-1530), </w:t>
      </w:r>
      <w:r w:rsidRPr="0072136C">
        <w:rPr>
          <w:i/>
          <w:iCs/>
          <w:sz w:val="24"/>
          <w:lang w:val="lv-LV"/>
        </w:rPr>
        <w:t>EFSA Journal</w:t>
      </w:r>
      <w:r w:rsidRPr="0072136C">
        <w:rPr>
          <w:sz w:val="24"/>
          <w:lang w:val="lv-LV"/>
        </w:rPr>
        <w:t xml:space="preserve"> 2025; 23(3): 9282; </w:t>
      </w:r>
      <w:hyperlink r:id="rId3" w:history="1">
        <w:r w:rsidRPr="0072136C">
          <w:rPr>
            <w:rStyle w:val="Hyperlink"/>
            <w:sz w:val="24"/>
            <w:lang w:val="lv-LV"/>
          </w:rPr>
          <w:t>https://doi.org/10.2903/j.efsa.2025.9282</w:t>
        </w:r>
      </w:hyperlink>
      <w:r w:rsidRPr="0072136C">
        <w:rPr>
          <w:sz w:val="24"/>
          <w:lang w:val="lv-LV"/>
        </w:rPr>
        <w:t xml:space="preserve">. </w:t>
      </w:r>
    </w:p>
  </w:footnote>
  <w:footnote w:id="4">
    <w:p w14:paraId="232CCF93" w14:textId="4FA44CC1" w:rsidR="00034C91" w:rsidRPr="0072136C" w:rsidRDefault="00034C91" w:rsidP="0072136C">
      <w:pPr>
        <w:pStyle w:val="FootnoteText"/>
        <w:ind w:left="567" w:hanging="567"/>
        <w:rPr>
          <w:color w:val="000000" w:themeColor="text1"/>
          <w:sz w:val="24"/>
          <w:vertAlign w:val="superscript"/>
          <w:lang w:val="lv-LV"/>
        </w:rPr>
      </w:pPr>
      <w:r w:rsidRPr="0072136C">
        <w:rPr>
          <w:rStyle w:val="FootnoteReference"/>
          <w:sz w:val="24"/>
          <w:lang w:val="lv-LV"/>
        </w:rPr>
        <w:footnoteRef/>
      </w:r>
      <w:r w:rsidR="0072136C" w:rsidRPr="0072136C">
        <w:rPr>
          <w:color w:val="000000" w:themeColor="text1"/>
          <w:sz w:val="24"/>
          <w:lang w:val="lv-LV"/>
        </w:rPr>
        <w:t xml:space="preserve"> </w:t>
      </w:r>
      <w:r w:rsidR="0072136C" w:rsidRPr="0072136C">
        <w:rPr>
          <w:color w:val="000000" w:themeColor="text1"/>
          <w:sz w:val="24"/>
          <w:lang w:val="lv-LV"/>
        </w:rPr>
        <w:tab/>
      </w:r>
      <w:r w:rsidRPr="0072136C">
        <w:rPr>
          <w:color w:val="000000" w:themeColor="text1"/>
          <w:sz w:val="24"/>
          <w:lang w:val="lv-LV"/>
        </w:rPr>
        <w:t>Parlaments astotajā sasaukumā pieņēma 36 rezolūcijas un devītajā sasaukumā — 38 rezolūcijas, ar ko iebilda pret atļauju izmantot ĢMO. Turklāt desmitajā sasaukumā Parlaments ir pieņēmis šādas rezolūcijas:</w:t>
      </w:r>
    </w:p>
    <w:p w14:paraId="0923F094" w14:textId="6D215D28"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2024/2628, ar kuru atbilstoši Eiropas Parlamenta un Padomes Regulai (EK) Nr. 1829/2003 atjauno atļauju laist tirgū produktus, kas satur ģenētiski modificētu kukurūzu MON 89034 × 1507 × NK603, sastāv vai ir ražoti no tās (OV C, C/2025/1797, 4.4.2025., ELI: </w:t>
      </w:r>
      <w:hyperlink r:id="rId4" w:history="1">
        <w:r w:rsidR="00034C91" w:rsidRPr="0072136C">
          <w:rPr>
            <w:rStyle w:val="Hyperlink"/>
            <w:sz w:val="24"/>
            <w:lang w:val="lv-LV"/>
          </w:rPr>
          <w:t>http://data.europa.eu/eli/C/2025/1797/oj</w:t>
        </w:r>
      </w:hyperlink>
      <w:r w:rsidR="00034C91" w:rsidRPr="0072136C">
        <w:rPr>
          <w:color w:val="000000" w:themeColor="text1"/>
          <w:sz w:val="24"/>
          <w:lang w:val="lv-LV"/>
        </w:rPr>
        <w:t>).</w:t>
      </w:r>
    </w:p>
    <w:p w14:paraId="42D11DC1" w14:textId="33FFA797"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2024/2627, ar ko, ievērojot Eiropas Parlamenta un Padomes Regulu (EK) Nr. 1829/2003, atļauj laist tirgū produktus, kas satur ģenētiski modificētu kokvilnu COT102, no tās sastāv vai ir no tās ražoti (OV C, C/2025/1798, 4.4.2025., ELI:; </w:t>
      </w:r>
      <w:hyperlink r:id="rId5" w:history="1">
        <w:r w:rsidR="00034C91" w:rsidRPr="0072136C">
          <w:rPr>
            <w:rStyle w:val="Hyperlink"/>
            <w:sz w:val="24"/>
            <w:lang w:val="lv-LV"/>
          </w:rPr>
          <w:t>http://data.europa.eu/eli/C/2025/1798/oj</w:t>
        </w:r>
      </w:hyperlink>
      <w:r w:rsidR="00034C91" w:rsidRPr="0072136C">
        <w:rPr>
          <w:color w:val="000000" w:themeColor="text1"/>
          <w:sz w:val="24"/>
          <w:lang w:val="lv-LV"/>
        </w:rPr>
        <w:t>).</w:t>
      </w:r>
    </w:p>
    <w:p w14:paraId="6B6F5398" w14:textId="71CD2099"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2024/2629, ar kuru atbilstoši Eiropas Parlamenta un Padomes Regulai (EK) Nr. 1829/2003 atjauno atļauju laist tirgū produktus, kas satur ģenētiski modificētu kukurūzu MON 89034 × 1507 × MON 88017 x 59122 un astoņas tās apakškombinācijas, sastāv vai ir ražoti no tām (OV C, C/2025/1799, 4.4.2025., ELI: </w:t>
      </w:r>
      <w:hyperlink r:id="rId6" w:history="1">
        <w:r w:rsidR="00034C91" w:rsidRPr="0072136C">
          <w:rPr>
            <w:rStyle w:val="Hyperlink"/>
            <w:sz w:val="24"/>
            <w:lang w:val="lv-LV"/>
          </w:rPr>
          <w:t>http://data.europa.eu/eli/C/2025/1799/oj</w:t>
        </w:r>
      </w:hyperlink>
      <w:r w:rsidR="00034C91" w:rsidRPr="0072136C">
        <w:rPr>
          <w:color w:val="000000" w:themeColor="text1"/>
          <w:sz w:val="24"/>
          <w:lang w:val="lv-LV"/>
        </w:rPr>
        <w:t>).</w:t>
      </w:r>
    </w:p>
    <w:p w14:paraId="28E6F04C" w14:textId="65687821"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2024/1828, ar ko, ievērojot Eiropas Parlamenta un Padomes Regulu (EK) Nr. 1829/2003, atjauno atļauju laist tirgū barību, kura satur ģenētiski modificētu kukurūzu MON 810 vai sastāv no tās, kā arī no šādas kukurūzas ražotus pārtikas un barības produktus, un atceļ Komisijas Īstenošanas lēmumu (ES) 2017/1207 (OV C, C/2025/1800, 4.4.2025., ELI: </w:t>
      </w:r>
      <w:hyperlink r:id="rId7" w:history="1">
        <w:r w:rsidR="00034C91" w:rsidRPr="0072136C">
          <w:rPr>
            <w:rStyle w:val="Hyperlink"/>
            <w:sz w:val="24"/>
            <w:lang w:val="lv-LV"/>
          </w:rPr>
          <w:t>http://data.europa.eu/eli/C/2025/1800/oj</w:t>
        </w:r>
      </w:hyperlink>
      <w:r w:rsidR="00034C91" w:rsidRPr="0072136C">
        <w:rPr>
          <w:color w:val="000000" w:themeColor="text1"/>
          <w:sz w:val="24"/>
          <w:lang w:val="lv-LV"/>
        </w:rPr>
        <w:t>).</w:t>
      </w:r>
    </w:p>
    <w:p w14:paraId="3E9D53AC" w14:textId="73D56F37"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2024/1822, ar ko, ievērojot Eiropas Parlamenta un Padomes Regulu (EK) Nr. 1829/2003, atļauj laist tirgū produktus, kas satur ģenētiski modificētu kukurūzu DP915635, sastāv vai ir ražoti no tās (OV C, C/2025/1801, 4.4.2025., ELI: </w:t>
      </w:r>
      <w:hyperlink r:id="rId8" w:history="1">
        <w:r w:rsidR="00034C91" w:rsidRPr="0072136C">
          <w:rPr>
            <w:rStyle w:val="Hyperlink"/>
            <w:sz w:val="24"/>
            <w:lang w:val="lv-LV"/>
          </w:rPr>
          <w:t>http://data.europa.eu/eli/C/2025/1801/oj</w:t>
        </w:r>
      </w:hyperlink>
      <w:r w:rsidR="00034C91" w:rsidRPr="0072136C">
        <w:rPr>
          <w:color w:val="000000" w:themeColor="text1"/>
          <w:sz w:val="24"/>
          <w:lang w:val="lv-LV"/>
        </w:rPr>
        <w:t>).</w:t>
      </w:r>
    </w:p>
    <w:p w14:paraId="349FD2F0" w14:textId="5E187A07"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2024/1826, ar ko, ievērojot Eiropas Parlamenta un Padomes Regulu (EK) Nr. 1829/2003, atļauj laist tirgū produktus, kas satur ģenētiski modificētu kukurūzu DP23211, sastāv vai ir ražoti no tās (OV C, C/2025/1802, 4.4.2025., ELI: </w:t>
      </w:r>
      <w:hyperlink r:id="rId9" w:history="1">
        <w:r w:rsidR="00034C91" w:rsidRPr="0072136C">
          <w:rPr>
            <w:rStyle w:val="Hyperlink"/>
            <w:sz w:val="24"/>
            <w:lang w:val="lv-LV"/>
          </w:rPr>
          <w:t>http://data.europa.eu/eli/C/2025/1802/oj</w:t>
        </w:r>
      </w:hyperlink>
      <w:r w:rsidR="00034C91" w:rsidRPr="0072136C">
        <w:rPr>
          <w:color w:val="000000" w:themeColor="text1"/>
          <w:sz w:val="24"/>
          <w:lang w:val="lv-LV"/>
        </w:rPr>
        <w:t>).</w:t>
      </w:r>
    </w:p>
    <w:p w14:paraId="726C18C7" w14:textId="6C0E51DB"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Komisijas Īstenošanas lēmumu (ES) 2024/2618, ar ko, ievērojot Eiropas Parlamenta un Padomes Regulu (EK) Nr. 1829/2003, atļauj laist tirgū produktus, kas satur ģenētiski modificētu kukurūzu DP202216, sastāv vai ir ražoti no tās (OV C, C/2025/1803, 4.4.2025., ELI: </w:t>
      </w:r>
      <w:hyperlink r:id="rId10" w:history="1">
        <w:r w:rsidR="00034C91" w:rsidRPr="0072136C">
          <w:rPr>
            <w:rStyle w:val="Hyperlink"/>
            <w:sz w:val="24"/>
            <w:lang w:val="lv-LV"/>
          </w:rPr>
          <w:t>http://data.europa.eu/eli/C/2025/1803/oj</w:t>
        </w:r>
      </w:hyperlink>
      <w:r w:rsidR="00034C91" w:rsidRPr="0072136C">
        <w:rPr>
          <w:color w:val="000000" w:themeColor="text1"/>
          <w:sz w:val="24"/>
          <w:lang w:val="lv-LV"/>
        </w:rPr>
        <w:t>).</w:t>
      </w:r>
    </w:p>
    <w:p w14:paraId="37FF7118" w14:textId="7C672D4D" w:rsidR="00034C91" w:rsidRPr="0072136C" w:rsidRDefault="0072136C" w:rsidP="0072136C">
      <w:pPr>
        <w:pStyle w:val="FootnoteText"/>
        <w:ind w:left="567" w:hanging="567"/>
        <w:rPr>
          <w:color w:val="000000" w:themeColor="text1"/>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t xml:space="preserve">Eiropas Parlamenta 2024. gada 26. novembra rezolūcija par projektu Komisijas īstenošanas lēmumam, ar ko, ievērojot Eiropas Parlamenta un Padomes Regulu (EK) Nr. 1829/2003, atļauj laist tirgū produktus, kas satur ģenētiski modificētu kukurūzu MON 94804, sastāv vai ir ražoti no tās (OV C, C/2025/1804, 4.4.2025., ELI: </w:t>
      </w:r>
      <w:hyperlink r:id="rId11" w:history="1">
        <w:r w:rsidR="00034C91" w:rsidRPr="0072136C">
          <w:rPr>
            <w:rStyle w:val="Hyperlink"/>
            <w:sz w:val="24"/>
            <w:lang w:val="lv-LV"/>
          </w:rPr>
          <w:t>http://data.europa.eu/eli/C/2025/1804/oj</w:t>
        </w:r>
      </w:hyperlink>
      <w:r w:rsidR="00034C91" w:rsidRPr="0072136C">
        <w:rPr>
          <w:color w:val="000000" w:themeColor="text1"/>
          <w:sz w:val="24"/>
          <w:lang w:val="lv-LV"/>
        </w:rPr>
        <w:t>).</w:t>
      </w:r>
    </w:p>
    <w:p w14:paraId="5DA287A6" w14:textId="1D41CECC" w:rsidR="00034C91" w:rsidRPr="0072136C" w:rsidRDefault="0072136C" w:rsidP="0072136C">
      <w:pPr>
        <w:pStyle w:val="FootnoteText"/>
        <w:ind w:left="567" w:hanging="567"/>
        <w:rPr>
          <w:sz w:val="24"/>
          <w:vertAlign w:val="superscript"/>
          <w:lang w:val="lv-LV"/>
        </w:rPr>
      </w:pPr>
      <w:r w:rsidRPr="0072136C">
        <w:rPr>
          <w:color w:val="000000" w:themeColor="text1"/>
          <w:sz w:val="24"/>
          <w:lang w:val="lv-LV"/>
        </w:rPr>
        <w:t xml:space="preserve"> </w:t>
      </w:r>
      <w:r w:rsidRPr="0072136C">
        <w:rPr>
          <w:color w:val="000000" w:themeColor="text1"/>
          <w:sz w:val="24"/>
          <w:lang w:val="lv-LV"/>
        </w:rPr>
        <w:tab/>
      </w:r>
      <w:r w:rsidR="00034C91" w:rsidRPr="0072136C">
        <w:rPr>
          <w:color w:val="000000" w:themeColor="text1"/>
          <w:sz w:val="24"/>
          <w:lang w:val="lv-LV"/>
        </w:rPr>
        <w:t>–</w:t>
      </w:r>
      <w:r w:rsidR="00034C91" w:rsidRPr="0072136C">
        <w:rPr>
          <w:color w:val="000000" w:themeColor="text1"/>
          <w:sz w:val="24"/>
          <w:lang w:val="lv-LV"/>
        </w:rPr>
        <w:tab/>
      </w:r>
      <w:r w:rsidR="00034C91" w:rsidRPr="0072136C">
        <w:rPr>
          <w:sz w:val="24"/>
          <w:lang w:val="lv-LV"/>
        </w:rPr>
        <w:t xml:space="preserve">Eiropas Parlamenta 2025. gada 12. februāra rezolūcija par projektu Komisijas īstenošanas lēmumam, ar ko, ievērojot Eiropas Parlamenta un Padomes Regulu (EK) Nr. 1829/2003, atļauj laist tirgū produktus, kas satur ģenētiski modificētu kukurūzu DP910521, sastāv vai ir ražoti no tās (OV C, C/2025/2246, 29.4.2025., ELI:; </w:t>
      </w:r>
      <w:hyperlink r:id="rId12" w:tooltip="Dod piekļuvi šim dokumentam, izmantojot tā ELI URI." w:history="1">
        <w:r w:rsidR="00034C91" w:rsidRPr="0072136C">
          <w:rPr>
            <w:rStyle w:val="Hyperlink"/>
            <w:sz w:val="24"/>
            <w:lang w:val="lv-LV"/>
          </w:rPr>
          <w:t>http://data.europa.eu/eli/C/2025/2246/oj</w:t>
        </w:r>
      </w:hyperlink>
      <w:r w:rsidR="00034C91" w:rsidRPr="0072136C">
        <w:rPr>
          <w:sz w:val="24"/>
          <w:lang w:val="lv-LV"/>
        </w:rPr>
        <w:t>).</w:t>
      </w:r>
    </w:p>
    <w:p w14:paraId="3F3AD4A7" w14:textId="00A72A46" w:rsidR="00034C91" w:rsidRPr="0072136C" w:rsidRDefault="0072136C" w:rsidP="0072136C">
      <w:pPr>
        <w:pStyle w:val="FootnoteText"/>
        <w:ind w:left="567" w:hanging="567"/>
        <w:rPr>
          <w:sz w:val="24"/>
          <w:vertAlign w:val="superscript"/>
          <w:lang w:val="lv-LV"/>
        </w:rPr>
      </w:pPr>
      <w:r w:rsidRPr="0072136C">
        <w:rPr>
          <w:sz w:val="24"/>
          <w:lang w:val="lv-LV"/>
        </w:rPr>
        <w:t xml:space="preserve"> </w:t>
      </w:r>
      <w:r w:rsidRPr="0072136C">
        <w:rPr>
          <w:sz w:val="24"/>
          <w:lang w:val="lv-LV"/>
        </w:rPr>
        <w:tab/>
      </w:r>
      <w:r w:rsidR="00034C91" w:rsidRPr="0072136C">
        <w:rPr>
          <w:sz w:val="24"/>
          <w:lang w:val="lv-LV"/>
        </w:rPr>
        <w:t>–</w:t>
      </w:r>
      <w:r w:rsidR="00034C91" w:rsidRPr="0072136C">
        <w:rPr>
          <w:sz w:val="24"/>
          <w:lang w:val="lv-LV"/>
        </w:rPr>
        <w:tab/>
        <w:t xml:space="preserve">Eiropas Parlamenta 2025. gada 12. februāra rezolūcija par projektu Komisijas īstenošanas lēmumam, ar ko, ievērojot Eiropas Parlamenta un Padomes Regulu (EK) Nr. 1829/2003, atļauj laist tirgū produktus, kas satur ģenētiski modificētu kukurūzu MON 95275, sastāv vai ir ražoti no tās (OV C, C/2025/2247, 29.4.2025., ELI: </w:t>
      </w:r>
      <w:hyperlink r:id="rId13" w:tooltip="Dod piekļuvi šim dokumentam, izmantojot tā ELI URI." w:history="1">
        <w:r w:rsidR="00034C91" w:rsidRPr="0072136C">
          <w:rPr>
            <w:rStyle w:val="Hyperlink"/>
            <w:sz w:val="24"/>
            <w:lang w:val="lv-LV"/>
          </w:rPr>
          <w:t>http://data.europa.eu/eli/C/2025/2247/oj</w:t>
        </w:r>
      </w:hyperlink>
      <w:r w:rsidR="00034C91" w:rsidRPr="0072136C">
        <w:rPr>
          <w:sz w:val="24"/>
          <w:lang w:val="lv-LV"/>
        </w:rPr>
        <w:t>).</w:t>
      </w:r>
    </w:p>
    <w:p w14:paraId="4EFCF358" w14:textId="280D81D1" w:rsidR="00034C91" w:rsidRPr="0072136C" w:rsidRDefault="0072136C" w:rsidP="0072136C">
      <w:pPr>
        <w:pStyle w:val="FootnoteText"/>
        <w:ind w:left="567" w:hanging="567"/>
        <w:rPr>
          <w:sz w:val="24"/>
          <w:vertAlign w:val="superscript"/>
          <w:lang w:val="lv-LV"/>
        </w:rPr>
      </w:pPr>
      <w:r w:rsidRPr="0072136C">
        <w:rPr>
          <w:sz w:val="24"/>
          <w:lang w:val="lv-LV"/>
        </w:rPr>
        <w:t xml:space="preserve"> </w:t>
      </w:r>
      <w:r w:rsidRPr="0072136C">
        <w:rPr>
          <w:sz w:val="24"/>
          <w:lang w:val="lv-LV"/>
        </w:rPr>
        <w:tab/>
      </w:r>
      <w:r w:rsidR="00034C91" w:rsidRPr="0072136C">
        <w:rPr>
          <w:sz w:val="24"/>
          <w:lang w:val="lv-LV"/>
        </w:rPr>
        <w:t>–</w:t>
      </w:r>
      <w:r w:rsidR="00034C91" w:rsidRPr="0072136C">
        <w:rPr>
          <w:sz w:val="24"/>
          <w:lang w:val="lv-LV"/>
        </w:rPr>
        <w:tab/>
        <w:t>Eiropas Parlamenta 2025. gada 8. maija rezolūcija par projektu Komisijas īstenošanas lēmumam, ar ko atbilstoši Eiropas Parlamenta un Padomes Regulai (EK) Nr. 1829/2003 atļauj laist tirgū produktus, kas satur ģenētiski modificētas sojas pupas MON 87705 × MON 87708 × MON 89788, sastāv vai ir ražoti no tām (P10_TA(2025)0106).</w:t>
      </w:r>
    </w:p>
    <w:p w14:paraId="5910474A" w14:textId="743F0E29" w:rsidR="00034C91" w:rsidRPr="0072136C" w:rsidRDefault="0072136C" w:rsidP="0072136C">
      <w:pPr>
        <w:pStyle w:val="FootnoteText"/>
        <w:ind w:left="567" w:hanging="567"/>
        <w:rPr>
          <w:sz w:val="24"/>
          <w:lang w:val="lv-LV"/>
        </w:rPr>
      </w:pPr>
      <w:r w:rsidRPr="0072136C">
        <w:rPr>
          <w:sz w:val="24"/>
          <w:lang w:val="lv-LV"/>
        </w:rPr>
        <w:t xml:space="preserve"> </w:t>
      </w:r>
      <w:r w:rsidRPr="0072136C">
        <w:rPr>
          <w:sz w:val="24"/>
          <w:lang w:val="lv-LV"/>
        </w:rPr>
        <w:tab/>
      </w:r>
      <w:r w:rsidR="00034C91" w:rsidRPr="0072136C">
        <w:rPr>
          <w:sz w:val="24"/>
          <w:lang w:val="lv-LV"/>
        </w:rPr>
        <w:t>–</w:t>
      </w:r>
      <w:r w:rsidR="00034C91" w:rsidRPr="0072136C">
        <w:rPr>
          <w:sz w:val="24"/>
          <w:lang w:val="lv-LV"/>
        </w:rPr>
        <w:tab/>
        <w:t>Eiropas Parlamenta 2025. gada 8. oktobra rezolūcija par Komisijas 2025. gada 22. septembra Īstenošanas lēmumu (ES) 2025/1898, ar ko, ievērojot Eiropas Parlamenta un Padomes Regulu (EK) Nr. 1829/2003, atļauj laist tirgū produktus, kas satur ģenētiski modificētu kukurūzu DP51291, sastāv vai ir ražoti no tās (P10_TA(202</w:t>
      </w:r>
      <w:r w:rsidR="0081707E">
        <w:rPr>
          <w:sz w:val="24"/>
          <w:lang w:val="lv-LV"/>
        </w:rPr>
        <w:t>5</w:t>
      </w:r>
      <w:r w:rsidR="00034C91" w:rsidRPr="0072136C">
        <w:rPr>
          <w:sz w:val="24"/>
          <w:lang w:val="lv-LV"/>
        </w:rPr>
        <w:t>)0222).</w:t>
      </w:r>
    </w:p>
  </w:footnote>
  <w:footnote w:id="5">
    <w:p w14:paraId="608BD74B" w14:textId="2686BB94" w:rsidR="00034C91" w:rsidRPr="0072136C" w:rsidRDefault="00034C91" w:rsidP="0072136C">
      <w:pPr>
        <w:pStyle w:val="FootnoteText"/>
        <w:ind w:left="567" w:hanging="567"/>
        <w:rPr>
          <w:sz w:val="24"/>
          <w:lang w:val="lv-LV"/>
        </w:rPr>
      </w:pPr>
      <w:r w:rsidRPr="0072136C">
        <w:rPr>
          <w:rStyle w:val="FootnoteReference"/>
          <w:sz w:val="24"/>
          <w:lang w:val="lv-LV"/>
        </w:rPr>
        <w:footnoteRef/>
      </w:r>
      <w:r w:rsidR="0072136C" w:rsidRPr="0072136C">
        <w:rPr>
          <w:sz w:val="24"/>
          <w:lang w:val="lv-LV"/>
        </w:rPr>
        <w:t xml:space="preserve"> </w:t>
      </w:r>
      <w:r w:rsidR="0072136C" w:rsidRPr="0072136C">
        <w:rPr>
          <w:sz w:val="24"/>
          <w:lang w:val="lv-LV"/>
        </w:rPr>
        <w:tab/>
      </w:r>
      <w:r w:rsidRPr="0072136C">
        <w:rPr>
          <w:sz w:val="24"/>
          <w:lang w:val="lv-LV"/>
        </w:rPr>
        <w:t>Sk., piemēram:</w:t>
      </w:r>
      <w:hyperlink r:id="rId14" w:history="1">
        <w:r w:rsidRPr="0072136C">
          <w:rPr>
            <w:rStyle w:val="Hyperlink"/>
            <w:sz w:val="24"/>
            <w:lang w:val="lv-LV"/>
          </w:rPr>
          <w:t>https://www.sciencedirect.com/science/article/pii/S1383574218300887</w:t>
        </w:r>
      </w:hyperlink>
      <w:r w:rsidRPr="0072136C">
        <w:rPr>
          <w:sz w:val="24"/>
          <w:lang w:val="lv-LV"/>
        </w:rPr>
        <w:t>,</w:t>
      </w:r>
      <w:r w:rsidRPr="0072136C">
        <w:rPr>
          <w:sz w:val="24"/>
          <w:lang w:val="lv-LV"/>
        </w:rPr>
        <w:cr/>
      </w:r>
      <w:hyperlink r:id="rId15" w:history="1">
        <w:r w:rsidRPr="0072136C">
          <w:rPr>
            <w:rStyle w:val="Hyperlink"/>
            <w:sz w:val="24"/>
            <w:lang w:val="lv-LV"/>
          </w:rPr>
          <w:t>https://academic.oup.com/ije/advance-article/doi/10.1093/ije/dyz017/5382278</w:t>
        </w:r>
      </w:hyperlink>
      <w:r w:rsidRPr="0072136C">
        <w:rPr>
          <w:sz w:val="24"/>
          <w:lang w:val="lv-LV"/>
        </w:rPr>
        <w:t>,</w:t>
      </w:r>
      <w:r w:rsidRPr="0072136C">
        <w:rPr>
          <w:sz w:val="24"/>
          <w:lang w:val="lv-LV"/>
        </w:rPr>
        <w:cr/>
      </w:r>
      <w:hyperlink r:id="rId16" w:history="1">
        <w:r w:rsidRPr="0072136C">
          <w:rPr>
            <w:rStyle w:val="Hyperlink"/>
            <w:sz w:val="24"/>
            <w:lang w:val="lv-LV"/>
          </w:rPr>
          <w:t>https://journals.plos.org/plosone/article?id=10.1371/journal.pone.0219610</w:t>
        </w:r>
      </w:hyperlink>
      <w:r w:rsidRPr="0072136C">
        <w:rPr>
          <w:sz w:val="24"/>
          <w:lang w:val="lv-LV"/>
        </w:rPr>
        <w:t xml:space="preserve"> un</w:t>
      </w:r>
      <w:r w:rsidRPr="0072136C">
        <w:rPr>
          <w:sz w:val="24"/>
          <w:lang w:val="lv-LV"/>
        </w:rPr>
        <w:cr/>
      </w:r>
      <w:hyperlink r:id="rId17" w:history="1">
        <w:r w:rsidRPr="0072136C">
          <w:rPr>
            <w:rStyle w:val="Hyperlink"/>
            <w:sz w:val="24"/>
            <w:lang w:val="lv-LV"/>
          </w:rPr>
          <w:t>https://www.ncbi.nlm.nih.gov/pmc/articles/PMC6612199/</w:t>
        </w:r>
      </w:hyperlink>
      <w:r w:rsidRPr="0072136C">
        <w:rPr>
          <w:sz w:val="24"/>
          <w:lang w:val="lv-LV"/>
        </w:rPr>
        <w:t>.</w:t>
      </w:r>
    </w:p>
  </w:footnote>
  <w:footnote w:id="6">
    <w:p w14:paraId="6FCF4A49" w14:textId="55A1CF41" w:rsidR="00034C91" w:rsidRPr="0072136C" w:rsidRDefault="00034C91" w:rsidP="0072136C">
      <w:pPr>
        <w:pStyle w:val="FootnoteText"/>
        <w:ind w:left="567" w:hanging="567"/>
        <w:rPr>
          <w:sz w:val="24"/>
          <w:lang w:val="lv-LV"/>
        </w:rPr>
      </w:pPr>
      <w:r w:rsidRPr="0072136C">
        <w:rPr>
          <w:rStyle w:val="FootnoteReference"/>
          <w:sz w:val="24"/>
          <w:lang w:val="lv-LV"/>
        </w:rPr>
        <w:footnoteRef/>
      </w:r>
      <w:r w:rsidR="0072136C" w:rsidRPr="0072136C">
        <w:rPr>
          <w:sz w:val="24"/>
          <w:lang w:val="lv-LV"/>
        </w:rPr>
        <w:t xml:space="preserve"> </w:t>
      </w:r>
      <w:r w:rsidR="0072136C" w:rsidRPr="0072136C">
        <w:rPr>
          <w:sz w:val="24"/>
          <w:lang w:val="lv-LV"/>
        </w:rPr>
        <w:tab/>
      </w:r>
      <w:r w:rsidRPr="0072136C">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hyperlink r:id="rId18" w:tgtFrame="Gives%20access%20to%20this%20document%20through%20its%20ELI%20URI." w:history="1">
        <w:r w:rsidRPr="0072136C">
          <w:rPr>
            <w:rStyle w:val="Hyperlink"/>
            <w:sz w:val="24"/>
            <w:lang w:val="lv-LV"/>
          </w:rPr>
          <w:t>http://data.europa.eu/eli/reg/2002/178/oj</w:t>
        </w:r>
      </w:hyperlink>
      <w:r w:rsidRPr="0072136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7CECB" w14:textId="77777777" w:rsidR="00064002" w:rsidRPr="007213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0D39C" w14:textId="77777777" w:rsidR="00064002" w:rsidRPr="007213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5327" w14:textId="77777777" w:rsidR="00064002" w:rsidRPr="007213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3366083">
    <w:abstractNumId w:val="9"/>
  </w:num>
  <w:num w:numId="2" w16cid:durableId="1302269368">
    <w:abstractNumId w:val="9"/>
  </w:num>
  <w:num w:numId="3" w16cid:durableId="1764911249">
    <w:abstractNumId w:val="7"/>
  </w:num>
  <w:num w:numId="4" w16cid:durableId="1085103648">
    <w:abstractNumId w:val="7"/>
  </w:num>
  <w:num w:numId="5" w16cid:durableId="994648752">
    <w:abstractNumId w:val="6"/>
  </w:num>
  <w:num w:numId="6" w16cid:durableId="2089228557">
    <w:abstractNumId w:val="6"/>
  </w:num>
  <w:num w:numId="7" w16cid:durableId="2056924369">
    <w:abstractNumId w:val="5"/>
  </w:num>
  <w:num w:numId="8" w16cid:durableId="2045208134">
    <w:abstractNumId w:val="5"/>
  </w:num>
  <w:num w:numId="9" w16cid:durableId="943345305">
    <w:abstractNumId w:val="4"/>
  </w:num>
  <w:num w:numId="10" w16cid:durableId="1940259468">
    <w:abstractNumId w:val="4"/>
  </w:num>
  <w:num w:numId="11" w16cid:durableId="245068647">
    <w:abstractNumId w:val="8"/>
  </w:num>
  <w:num w:numId="12" w16cid:durableId="1721585594">
    <w:abstractNumId w:val="8"/>
  </w:num>
  <w:num w:numId="13" w16cid:durableId="2097556018">
    <w:abstractNumId w:val="3"/>
  </w:num>
  <w:num w:numId="14" w16cid:durableId="1420367494">
    <w:abstractNumId w:val="3"/>
  </w:num>
  <w:num w:numId="15" w16cid:durableId="868880218">
    <w:abstractNumId w:val="2"/>
  </w:num>
  <w:num w:numId="16" w16cid:durableId="311720037">
    <w:abstractNumId w:val="2"/>
  </w:num>
  <w:num w:numId="17" w16cid:durableId="2088334079">
    <w:abstractNumId w:val="1"/>
  </w:num>
  <w:num w:numId="18" w16cid:durableId="1056857411">
    <w:abstractNumId w:val="1"/>
  </w:num>
  <w:num w:numId="19" w16cid:durableId="1039402703">
    <w:abstractNumId w:val="0"/>
  </w:num>
  <w:num w:numId="20" w16cid:durableId="299118045">
    <w:abstractNumId w:val="0"/>
  </w:num>
  <w:num w:numId="21" w16cid:durableId="26101495">
    <w:abstractNumId w:val="9"/>
  </w:num>
  <w:num w:numId="22" w16cid:durableId="1603103371">
    <w:abstractNumId w:val="7"/>
  </w:num>
  <w:num w:numId="23" w16cid:durableId="1433358757">
    <w:abstractNumId w:val="6"/>
  </w:num>
  <w:num w:numId="24" w16cid:durableId="714505464">
    <w:abstractNumId w:val="5"/>
  </w:num>
  <w:num w:numId="25" w16cid:durableId="1176001084">
    <w:abstractNumId w:val="4"/>
  </w:num>
  <w:num w:numId="26" w16cid:durableId="822887277">
    <w:abstractNumId w:val="8"/>
  </w:num>
  <w:num w:numId="27" w16cid:durableId="1540119571">
    <w:abstractNumId w:val="3"/>
  </w:num>
  <w:num w:numId="28" w16cid:durableId="847140926">
    <w:abstractNumId w:val="2"/>
  </w:num>
  <w:num w:numId="29" w16cid:durableId="23527715">
    <w:abstractNumId w:val="1"/>
  </w:num>
  <w:num w:numId="30" w16cid:durableId="2140030789">
    <w:abstractNumId w:val="0"/>
  </w:num>
  <w:num w:numId="31" w16cid:durableId="1484270666">
    <w:abstractNumId w:val="9"/>
  </w:num>
  <w:num w:numId="32" w16cid:durableId="1241521371">
    <w:abstractNumId w:val="7"/>
  </w:num>
  <w:num w:numId="33" w16cid:durableId="492331104">
    <w:abstractNumId w:val="6"/>
  </w:num>
  <w:num w:numId="34" w16cid:durableId="1155103557">
    <w:abstractNumId w:val="5"/>
  </w:num>
  <w:num w:numId="35" w16cid:durableId="179441329">
    <w:abstractNumId w:val="4"/>
  </w:num>
  <w:num w:numId="36" w16cid:durableId="352148057">
    <w:abstractNumId w:val="8"/>
  </w:num>
  <w:num w:numId="37" w16cid:durableId="804617625">
    <w:abstractNumId w:val="3"/>
  </w:num>
  <w:num w:numId="38" w16cid:durableId="136649786">
    <w:abstractNumId w:val="2"/>
  </w:num>
  <w:num w:numId="39" w16cid:durableId="1962034937">
    <w:abstractNumId w:val="1"/>
  </w:num>
  <w:num w:numId="40" w16cid:durableId="195778522">
    <w:abstractNumId w:val="0"/>
  </w:num>
  <w:num w:numId="41" w16cid:durableId="273296366">
    <w:abstractNumId w:val="10"/>
  </w:num>
  <w:num w:numId="42" w16cid:durableId="1810248042">
    <w:abstractNumId w:val="10"/>
  </w:num>
  <w:num w:numId="43" w16cid:durableId="658115027">
    <w:abstractNumId w:val="10"/>
  </w:num>
  <w:num w:numId="44" w16cid:durableId="1427532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LV"/>
    <w:docVar w:name="dvnumam" w:val="0"/>
    <w:docVar w:name="dvpe" w:val="778.111"/>
    <w:docVar w:name="dvtitre" w:val="Eiropas Parlamenta 2025. gada XX. XXX  rezolūcija par projektu Komisijas īstenošanas lēmumam, ar ko atbilstoši Eiropas Parlamenta un Padomes Regulai (EK) Nr. 1829/2003 atļauj laist tirgū produktus, kas satur ģenētiski modificētu kukurūzu DAS1131, sastāv vai ir ražoti no tās(D109630/01 – 2025/2893(RSP))"/>
  </w:docVars>
  <w:rsids>
    <w:rsidRoot w:val="00F23C99"/>
    <w:rsid w:val="00002272"/>
    <w:rsid w:val="00034C9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CD5"/>
    <w:rsid w:val="00680577"/>
    <w:rsid w:val="006F55EB"/>
    <w:rsid w:val="006F74FA"/>
    <w:rsid w:val="0072136C"/>
    <w:rsid w:val="00731ADD"/>
    <w:rsid w:val="00734777"/>
    <w:rsid w:val="00747932"/>
    <w:rsid w:val="00751A4A"/>
    <w:rsid w:val="00756632"/>
    <w:rsid w:val="00762C74"/>
    <w:rsid w:val="00786EC0"/>
    <w:rsid w:val="007D1690"/>
    <w:rsid w:val="007E22AD"/>
    <w:rsid w:val="0081707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3FE"/>
    <w:rsid w:val="00C61C0C"/>
    <w:rsid w:val="00C941CB"/>
    <w:rsid w:val="00CC2357"/>
    <w:rsid w:val="00CF071A"/>
    <w:rsid w:val="00D058B8"/>
    <w:rsid w:val="00D56C11"/>
    <w:rsid w:val="00D834A0"/>
    <w:rsid w:val="00D872DF"/>
    <w:rsid w:val="00D91E21"/>
    <w:rsid w:val="00DA7FCD"/>
    <w:rsid w:val="00E365E1"/>
    <w:rsid w:val="00E755F0"/>
    <w:rsid w:val="00E820A4"/>
    <w:rsid w:val="00EB006A"/>
    <w:rsid w:val="00EB4772"/>
    <w:rsid w:val="00ED169E"/>
    <w:rsid w:val="00ED4235"/>
    <w:rsid w:val="00F04346"/>
    <w:rsid w:val="00F075DC"/>
    <w:rsid w:val="00F149E9"/>
    <w:rsid w:val="00F23C99"/>
    <w:rsid w:val="00F3518D"/>
    <w:rsid w:val="00F5134D"/>
    <w:rsid w:val="00F74202"/>
    <w:rsid w:val="00F85D15"/>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46142"/>
  <w15:chartTrackingRefBased/>
  <w15:docId w15:val="{769F2B32-77A0-40D0-A2B7-A3C7CBED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034C91"/>
    <w:pPr>
      <w:spacing w:before="480" w:after="240"/>
    </w:pPr>
  </w:style>
  <w:style w:type="paragraph" w:customStyle="1" w:styleId="NormalBold12a">
    <w:name w:val="NormalBold12a"/>
    <w:basedOn w:val="Normal"/>
    <w:qFormat/>
    <w:rsid w:val="00034C91"/>
    <w:pPr>
      <w:spacing w:after="240"/>
    </w:pPr>
    <w:rPr>
      <w:b/>
    </w:rPr>
  </w:style>
  <w:style w:type="paragraph" w:customStyle="1" w:styleId="NormalHanging12a">
    <w:name w:val="NormalHanging12a"/>
    <w:basedOn w:val="Normal"/>
    <w:qFormat/>
    <w:rsid w:val="00034C91"/>
    <w:pPr>
      <w:spacing w:after="240"/>
      <w:ind w:left="567" w:hanging="567"/>
    </w:pPr>
  </w:style>
  <w:style w:type="paragraph" w:customStyle="1" w:styleId="NormalBold">
    <w:name w:val="NormalBold"/>
    <w:basedOn w:val="Normal"/>
    <w:qFormat/>
    <w:rsid w:val="00034C91"/>
    <w:rPr>
      <w:b/>
    </w:rPr>
  </w:style>
  <w:style w:type="character" w:styleId="Hyperlink">
    <w:name w:val="Hyperlink"/>
    <w:basedOn w:val="DefaultParagraphFont"/>
    <w:uiPriority w:val="99"/>
    <w:rsid w:val="00034C91"/>
    <w:rPr>
      <w:color w:val="0563C1" w:themeColor="hyperlink"/>
      <w:u w:val="single"/>
    </w:rPr>
  </w:style>
  <w:style w:type="character" w:customStyle="1" w:styleId="Funotenzeichen">
    <w:name w:val="Fußnotenzeichen"/>
    <w:basedOn w:val="DefaultParagraphFont"/>
    <w:qFormat/>
    <w:rsid w:val="00034C91"/>
    <w:rPr>
      <w:vertAlign w:val="superscript"/>
    </w:rPr>
  </w:style>
  <w:style w:type="paragraph" w:styleId="Revision">
    <w:name w:val="Revision"/>
    <w:hidden/>
    <w:uiPriority w:val="99"/>
    <w:semiHidden/>
    <w:rsid w:val="00F3518D"/>
    <w:rPr>
      <w:sz w:val="24"/>
      <w:lang w:val="lv-LV"/>
    </w:rPr>
  </w:style>
  <w:style w:type="character" w:styleId="UnresolvedMention">
    <w:name w:val="Unresolved Mention"/>
    <w:basedOn w:val="DefaultParagraphFont"/>
    <w:uiPriority w:val="99"/>
    <w:semiHidden/>
    <w:unhideWhenUsed/>
    <w:rsid w:val="00F35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9/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914</Words>
  <Characters>6030</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2026-01-21T15:10:00Z</dcterms:created>
  <dcterms:modified xsi:type="dcterms:W3CDTF">2026-01-21T15:10:00Z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B10-0489/2025</vt:lpwstr>
  </property>
  <property fmtid="{D5CDD505-2E9C-101B-9397-08002B2CF9AE}" pid="4" name="&lt;Type&gt;">
    <vt:lpwstr>RR</vt:lpwstr>
  </property>
</Properties>
</file>