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1E88" w14:paraId="6087135A" w14:textId="77777777" w:rsidTr="0010095E">
        <w:trPr>
          <w:trHeight w:hRule="exact" w:val="1418"/>
        </w:trPr>
        <w:tc>
          <w:tcPr>
            <w:tcW w:w="6804" w:type="dxa"/>
            <w:shd w:val="clear" w:color="auto" w:fill="auto"/>
            <w:vAlign w:val="center"/>
          </w:tcPr>
          <w:p w14:paraId="694792E7" w14:textId="77777777" w:rsidR="00751A4A" w:rsidRPr="00BB1E88" w:rsidRDefault="00AA01A7" w:rsidP="0010095E">
            <w:pPr>
              <w:pStyle w:val="EPName"/>
            </w:pPr>
            <w:r w:rsidRPr="00BB1E88">
              <w:t>Parlamentul European</w:t>
            </w:r>
          </w:p>
          <w:p w14:paraId="79DB9024" w14:textId="77777777" w:rsidR="00751A4A" w:rsidRPr="00BB1E88" w:rsidRDefault="005F1B17" w:rsidP="005F1B17">
            <w:pPr>
              <w:pStyle w:val="EPTerm"/>
              <w:rPr>
                <w:rStyle w:val="HideTWBExt"/>
                <w:noProof w:val="0"/>
                <w:vanish w:val="0"/>
                <w:color w:val="auto"/>
              </w:rPr>
            </w:pPr>
            <w:r w:rsidRPr="00BB1E88">
              <w:t>2024</w:t>
            </w:r>
            <w:r w:rsidR="00817416" w:rsidRPr="00BB1E88">
              <w:t>-202</w:t>
            </w:r>
            <w:r w:rsidRPr="00BB1E88">
              <w:t>9</w:t>
            </w:r>
          </w:p>
        </w:tc>
        <w:tc>
          <w:tcPr>
            <w:tcW w:w="2268" w:type="dxa"/>
            <w:shd w:val="clear" w:color="auto" w:fill="auto"/>
          </w:tcPr>
          <w:p w14:paraId="7735A851" w14:textId="77777777" w:rsidR="00751A4A" w:rsidRPr="00BB1E88" w:rsidRDefault="00187494" w:rsidP="0010095E">
            <w:pPr>
              <w:pStyle w:val="EPLogo"/>
            </w:pPr>
            <w:r w:rsidRPr="00BB1E88">
              <w:rPr>
                <w:noProof/>
                <w:lang w:eastAsia="ja-JP"/>
              </w:rPr>
              <w:drawing>
                <wp:inline distT="0" distB="0" distL="0" distR="0" wp14:anchorId="7AEAD080" wp14:editId="1D4DC1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FE3B23" w14:textId="77777777" w:rsidR="00D058B8" w:rsidRPr="00BB1E88" w:rsidRDefault="00D058B8" w:rsidP="004C5D52">
      <w:pPr>
        <w:pStyle w:val="LineTop"/>
      </w:pPr>
    </w:p>
    <w:p w14:paraId="0C2F8695" w14:textId="77777777" w:rsidR="00680577" w:rsidRPr="00BB1E88" w:rsidRDefault="00AA01A7" w:rsidP="00680577">
      <w:pPr>
        <w:pStyle w:val="EPBodyTA1"/>
      </w:pPr>
      <w:r w:rsidRPr="00BB1E88">
        <w:t>TEXTE ADOPTATE</w:t>
      </w:r>
    </w:p>
    <w:p w14:paraId="164AC5F1" w14:textId="77777777" w:rsidR="00D058B8" w:rsidRPr="00BB1E88" w:rsidRDefault="00D058B8" w:rsidP="00D058B8">
      <w:pPr>
        <w:pStyle w:val="LineBottom"/>
      </w:pPr>
    </w:p>
    <w:p w14:paraId="4D9870C9" w14:textId="34FFDCAC" w:rsidR="00AA01A7" w:rsidRPr="00BB1E88" w:rsidRDefault="00AA01A7" w:rsidP="00AA01A7">
      <w:pPr>
        <w:pStyle w:val="ATHeading1"/>
      </w:pPr>
      <w:bookmarkStart w:id="0" w:name="TANumber"/>
      <w:r w:rsidRPr="00BB1E88">
        <w:t>P10_TA(2025)0</w:t>
      </w:r>
      <w:bookmarkEnd w:id="0"/>
      <w:r w:rsidR="0086388E" w:rsidRPr="00BB1E88">
        <w:t>288</w:t>
      </w:r>
    </w:p>
    <w:p w14:paraId="6C2BBEBC" w14:textId="580EF665" w:rsidR="00AA01A7" w:rsidRPr="00BB1E88" w:rsidRDefault="0086388E" w:rsidP="00AA01A7">
      <w:pPr>
        <w:pStyle w:val="ATHeading2"/>
      </w:pPr>
      <w:bookmarkStart w:id="1" w:name="title"/>
      <w:r w:rsidRPr="00BB1E88">
        <w:t>P</w:t>
      </w:r>
      <w:r w:rsidR="00AA01A7" w:rsidRPr="00BB1E88">
        <w:t>orumbul modificat genetic DAS1131</w:t>
      </w:r>
      <w:bookmarkEnd w:id="1"/>
    </w:p>
    <w:p w14:paraId="65412BD4" w14:textId="77777777" w:rsidR="00AA01A7" w:rsidRPr="00BB1E88" w:rsidRDefault="00AA01A7" w:rsidP="00AA01A7">
      <w:pPr>
        <w:rPr>
          <w:i/>
          <w:vanish/>
        </w:rPr>
      </w:pPr>
      <w:r w:rsidRPr="00BB1E88">
        <w:rPr>
          <w:i/>
        </w:rPr>
        <w:fldChar w:fldCharType="begin"/>
      </w:r>
      <w:r w:rsidRPr="00BB1E88">
        <w:rPr>
          <w:i/>
        </w:rPr>
        <w:instrText xml:space="preserve"> TC"(</w:instrText>
      </w:r>
      <w:bookmarkStart w:id="2" w:name="DocNumber"/>
      <w:r w:rsidRPr="00BB1E88">
        <w:rPr>
          <w:i/>
        </w:rPr>
        <w:instrText>B10-0489/2025</w:instrText>
      </w:r>
      <w:bookmarkEnd w:id="2"/>
      <w:r w:rsidRPr="00BB1E88">
        <w:rPr>
          <w:i/>
        </w:rPr>
        <w:instrText xml:space="preserve">)"\l3 \n&gt; \* MERGEFORMAT </w:instrText>
      </w:r>
      <w:r w:rsidRPr="00BB1E88">
        <w:rPr>
          <w:i/>
        </w:rPr>
        <w:fldChar w:fldCharType="end"/>
      </w:r>
    </w:p>
    <w:p w14:paraId="103B55D6" w14:textId="77777777" w:rsidR="00AA01A7" w:rsidRPr="00BB1E88" w:rsidRDefault="00AA01A7" w:rsidP="00AA01A7">
      <w:pPr>
        <w:rPr>
          <w:vanish/>
        </w:rPr>
      </w:pPr>
      <w:bookmarkStart w:id="3" w:name="PE"/>
      <w:r w:rsidRPr="00BB1E88">
        <w:rPr>
          <w:vanish/>
        </w:rPr>
        <w:t>PE778.111</w:t>
      </w:r>
      <w:bookmarkEnd w:id="3"/>
    </w:p>
    <w:p w14:paraId="4F58A2D8" w14:textId="77777777" w:rsidR="00AA01A7" w:rsidRPr="00BB1E88" w:rsidRDefault="00AA01A7" w:rsidP="00AA01A7">
      <w:pPr>
        <w:pStyle w:val="ATHeading3"/>
      </w:pPr>
      <w:bookmarkStart w:id="4" w:name="Sujet"/>
      <w:r w:rsidRPr="00BB1E88">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w:t>
      </w:r>
      <w:bookmarkEnd w:id="4"/>
      <w:r w:rsidRPr="00BB1E88">
        <w:t xml:space="preserve"> </w:t>
      </w:r>
      <w:bookmarkStart w:id="5" w:name="References"/>
      <w:r w:rsidRPr="00BB1E88">
        <w:t>(D109630/01 – 2025/2893(RSP))</w:t>
      </w:r>
      <w:bookmarkEnd w:id="5"/>
    </w:p>
    <w:p w14:paraId="6CB65B06" w14:textId="77777777" w:rsidR="000E4567" w:rsidRPr="00BB1E88" w:rsidRDefault="000E4567" w:rsidP="000E4567">
      <w:pPr>
        <w:pStyle w:val="EPComma"/>
      </w:pPr>
      <w:bookmarkStart w:id="6" w:name="TextBodyBegin"/>
      <w:bookmarkEnd w:id="6"/>
      <w:r w:rsidRPr="00BB1E88">
        <w:rPr>
          <w:i/>
          <w:iCs/>
        </w:rPr>
        <w:t>Parlamentul European</w:t>
      </w:r>
      <w:r w:rsidRPr="00BB1E88">
        <w:t>,</w:t>
      </w:r>
    </w:p>
    <w:p w14:paraId="2ACEDE3B" w14:textId="77777777" w:rsidR="000E4567" w:rsidRPr="00BB1E88" w:rsidRDefault="000E4567" w:rsidP="000E4567">
      <w:pPr>
        <w:pStyle w:val="NormalHanging12a"/>
      </w:pPr>
      <w:r w:rsidRPr="00BB1E88">
        <w:t>–</w:t>
      </w:r>
      <w:r w:rsidRPr="00BB1E88">
        <w:tab/>
        <w:t>având în vedere proiectul de decizie de punere în aplicare a Comisiei de autorizare a introducerii pe piață a produselor care conțin, sunt compuse sau fabricate din porumb modificat genetic DAS1131, în temeiul Regulamentului (CE) nr. 1829/2003 al Parlamentului European și al Consiliului (D109630/01),</w:t>
      </w:r>
    </w:p>
    <w:p w14:paraId="5D304A62" w14:textId="77777777" w:rsidR="000E4567" w:rsidRPr="00BB1E88" w:rsidRDefault="000E4567" w:rsidP="000E4567">
      <w:pPr>
        <w:pStyle w:val="NormalHanging12a"/>
      </w:pPr>
      <w:r w:rsidRPr="00BB1E88">
        <w:t>–</w:t>
      </w:r>
      <w:r w:rsidRPr="00BB1E88">
        <w:tab/>
        <w:t>având în vedere Regulamentul (CE) nr. 1829/2003 al Parlamentului European și al Consiliului din 22 septembrie 2003 privind produsele alimentare și furajele modificate genetic</w:t>
      </w:r>
      <w:r w:rsidRPr="00BB1E88">
        <w:rPr>
          <w:rStyle w:val="FootnoteReference"/>
        </w:rPr>
        <w:footnoteReference w:id="1"/>
      </w:r>
      <w:r w:rsidRPr="00BB1E88">
        <w:t>, în special articolul 7 alineatul (3) și articolul 19 alineatul (3),</w:t>
      </w:r>
    </w:p>
    <w:p w14:paraId="20A28059" w14:textId="7A6BECDC" w:rsidR="000E4567" w:rsidRPr="00BB1E88" w:rsidRDefault="000E4567" w:rsidP="000E4567">
      <w:pPr>
        <w:pStyle w:val="NormalHanging12a"/>
      </w:pPr>
      <w:r w:rsidRPr="00BB1E88">
        <w:t>–</w:t>
      </w:r>
      <w:r w:rsidRPr="00BB1E88">
        <w:tab/>
        <w:t xml:space="preserve">având în vedere votul din 15 septembrie 2025 al Comitetului permanent pentru plante, animale, produse alimentare și hrană pentru animale, menționat la articolul 35 din Regulamentul (CE) nr. 1829/2003, </w:t>
      </w:r>
      <w:r w:rsidR="00B31D2B" w:rsidRPr="00BB1E88">
        <w:t xml:space="preserve">în urma căruia nu s-a emis niciun aviz, </w:t>
      </w:r>
      <w:r w:rsidR="0086388E" w:rsidRPr="00BB1E88">
        <w:t>și votul Comitetului de apel din 21 octombrie 2025, în urma căruia, din nou, nu a fost emis niciun aviz,</w:t>
      </w:r>
    </w:p>
    <w:p w14:paraId="15229BA5" w14:textId="77777777" w:rsidR="000E4567" w:rsidRPr="00BB1E88" w:rsidRDefault="000E4567" w:rsidP="000E4567">
      <w:pPr>
        <w:pStyle w:val="NormalHanging12a"/>
        <w:widowControl/>
        <w:rPr>
          <w:szCs w:val="24"/>
        </w:rPr>
      </w:pPr>
      <w:r w:rsidRPr="00BB1E88">
        <w:t>–</w:t>
      </w:r>
      <w:r w:rsidRPr="00BB1E88">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bookmarkStart w:id="7" w:name="_Hlk210662860"/>
      <w:r w:rsidRPr="00BB1E88">
        <w:rPr>
          <w:rStyle w:val="FootnoteReference"/>
          <w:szCs w:val="24"/>
        </w:rPr>
        <w:footnoteReference w:id="2"/>
      </w:r>
      <w:bookmarkEnd w:id="7"/>
      <w:r w:rsidRPr="00BB1E88">
        <w:t>,</w:t>
      </w:r>
    </w:p>
    <w:p w14:paraId="6BB9BD17" w14:textId="77777777" w:rsidR="000E4567" w:rsidRPr="00BB1E88" w:rsidRDefault="000E4567" w:rsidP="000E4567">
      <w:pPr>
        <w:pStyle w:val="NormalHanging12a"/>
        <w:widowControl/>
      </w:pPr>
      <w:bookmarkStart w:id="9" w:name="_Hlk210663128"/>
      <w:r w:rsidRPr="00BB1E88">
        <w:lastRenderedPageBreak/>
        <w:t>–</w:t>
      </w:r>
      <w:r w:rsidRPr="00BB1E88">
        <w:tab/>
        <w:t>având în vedere avizul adoptat de Autoritatea Europeană pentru Siguranța Alimentară (EFSA) la 5 februarie 2025 și publicat la 19 martie 2025</w:t>
      </w:r>
      <w:r w:rsidRPr="00BB1E88">
        <w:rPr>
          <w:rStyle w:val="FootnoteReference"/>
          <w:szCs w:val="24"/>
        </w:rPr>
        <w:footnoteReference w:id="3"/>
      </w:r>
      <w:r w:rsidRPr="00BB1E88">
        <w:t>,</w:t>
      </w:r>
    </w:p>
    <w:bookmarkEnd w:id="9"/>
    <w:p w14:paraId="4F980561" w14:textId="77777777" w:rsidR="000E4567" w:rsidRPr="00BB1E88" w:rsidRDefault="000E4567" w:rsidP="000E4567">
      <w:pPr>
        <w:pStyle w:val="NormalHanging12a"/>
      </w:pPr>
      <w:r w:rsidRPr="00BB1E88">
        <w:t xml:space="preserve">– </w:t>
      </w:r>
      <w:r w:rsidRPr="00BB1E88">
        <w:tab/>
        <w:t>având în vedere rezoluțiile sale anterioare în care se opune autorizării organismelor modificate genetic („OMG”)</w:t>
      </w:r>
      <w:r w:rsidRPr="00BB1E88">
        <w:rPr>
          <w:rStyle w:val="FootnoteReference"/>
        </w:rPr>
        <w:footnoteReference w:id="4"/>
      </w:r>
      <w:r w:rsidRPr="00BB1E88">
        <w:t>,</w:t>
      </w:r>
    </w:p>
    <w:p w14:paraId="161334FB" w14:textId="77777777" w:rsidR="000E4567" w:rsidRPr="00BB1E88" w:rsidRDefault="000E4567" w:rsidP="000E4567">
      <w:pPr>
        <w:pStyle w:val="NormalHanging12a"/>
      </w:pPr>
      <w:r w:rsidRPr="00BB1E88">
        <w:lastRenderedPageBreak/>
        <w:t>–</w:t>
      </w:r>
      <w:r w:rsidRPr="00BB1E88">
        <w:tab/>
        <w:t>având în vedere articolul 115 alineatele (2) și (3) din Regulamentul său de procedură,</w:t>
      </w:r>
    </w:p>
    <w:p w14:paraId="79E43362" w14:textId="77777777" w:rsidR="000E4567" w:rsidRPr="00BB1E88" w:rsidRDefault="000E4567" w:rsidP="000E4567">
      <w:pPr>
        <w:pStyle w:val="NormalHanging12a"/>
      </w:pPr>
      <w:r w:rsidRPr="00BB1E88">
        <w:t>–</w:t>
      </w:r>
      <w:r w:rsidRPr="00BB1E88">
        <w:tab/>
        <w:t>având în vedere propunerea de rezoluție a Comisiei pentru mediu, climă și siguranță alimentară,</w:t>
      </w:r>
    </w:p>
    <w:p w14:paraId="42942B44" w14:textId="77777777" w:rsidR="000E4567" w:rsidRPr="00BB1E88" w:rsidRDefault="000E4567" w:rsidP="000E4567">
      <w:pPr>
        <w:spacing w:after="240"/>
        <w:ind w:left="567" w:hanging="567"/>
      </w:pPr>
      <w:r w:rsidRPr="00BB1E88">
        <w:t>A.</w:t>
      </w:r>
      <w:r w:rsidRPr="00BB1E88">
        <w:tab/>
        <w:t xml:space="preserve">întrucât, la 17 iunie 2022, </w:t>
      </w:r>
      <w:proofErr w:type="spellStart"/>
      <w:r w:rsidRPr="00BB1E88">
        <w:t>Corteva</w:t>
      </w:r>
      <w:proofErr w:type="spellEnd"/>
      <w:r w:rsidRPr="00BB1E88">
        <w:t xml:space="preserve"> </w:t>
      </w:r>
      <w:proofErr w:type="spellStart"/>
      <w:r w:rsidRPr="00BB1E88">
        <w:t>Agriscience</w:t>
      </w:r>
      <w:proofErr w:type="spellEnd"/>
      <w:r w:rsidRPr="00BB1E88">
        <w:t xml:space="preserve"> </w:t>
      </w:r>
      <w:proofErr w:type="spellStart"/>
      <w:r w:rsidRPr="00BB1E88">
        <w:t>Belgium</w:t>
      </w:r>
      <w:proofErr w:type="spellEnd"/>
      <w:r w:rsidRPr="00BB1E88">
        <w:t xml:space="preserve"> B.V., cu sediul în Belgia, a transmis, în numele </w:t>
      </w:r>
      <w:proofErr w:type="spellStart"/>
      <w:r w:rsidRPr="00BB1E88">
        <w:t>Corteva</w:t>
      </w:r>
      <w:proofErr w:type="spellEnd"/>
      <w:r w:rsidRPr="00BB1E88">
        <w:t xml:space="preserve"> </w:t>
      </w:r>
      <w:proofErr w:type="spellStart"/>
      <w:r w:rsidRPr="00BB1E88">
        <w:t>Agriscience</w:t>
      </w:r>
      <w:proofErr w:type="spellEnd"/>
      <w:r w:rsidRPr="00BB1E88">
        <w:t xml:space="preserve"> LLC, cu sediul în Statele Unite ale Americii, o cerere </w:t>
      </w:r>
      <w:r w:rsidRPr="00BB1E88">
        <w:rPr>
          <w:snapToGrid w:val="0"/>
        </w:rPr>
        <w:t xml:space="preserve">adresată autorității naționale competente din Țările de Jos </w:t>
      </w:r>
      <w:r w:rsidRPr="00BB1E88">
        <w:t>vizând introducerea pe piață a produselor alimentare, a ingredientelor alimentare și a hranei animale care conțin, constau în sau sunt fabricate din porumbul modificat genetic DAS1131, în conformitate cu articolele 5 și 17 din Regulamentul (CE) nr. 1829/2003 („cererea”); întrucât cererea se referea și la introducerea pe piață a unor produse care conțin sau constau în porumb modificat genetic destinate altor utilizări decât pentru alimente și furaje, cu excepția cultivării;</w:t>
      </w:r>
    </w:p>
    <w:p w14:paraId="494CA280" w14:textId="77777777" w:rsidR="000E4567" w:rsidRPr="00BB1E88" w:rsidRDefault="000E4567" w:rsidP="000E4567">
      <w:pPr>
        <w:spacing w:after="240"/>
        <w:ind w:left="567" w:hanging="567"/>
      </w:pPr>
      <w:r w:rsidRPr="00BB1E88">
        <w:t>B.</w:t>
      </w:r>
      <w:r w:rsidRPr="00BB1E88">
        <w:tab/>
        <w:t xml:space="preserve">întrucât porumbul modificat genetic produce proteina Cry1Da2 pentru rezistență împotriva anumitor insecte dăunătoare din ordinul lepidopterelor și proteina DGT-28 </w:t>
      </w:r>
      <w:r w:rsidRPr="00BB1E88">
        <w:lastRenderedPageBreak/>
        <w:t xml:space="preserve">EPSPS pentru toleranță crescută la erbicidul </w:t>
      </w:r>
      <w:proofErr w:type="spellStart"/>
      <w:r w:rsidRPr="00BB1E88">
        <w:t>glifosat</w:t>
      </w:r>
      <w:proofErr w:type="spellEnd"/>
      <w:r w:rsidRPr="00BB1E88">
        <w:t>;</w:t>
      </w:r>
    </w:p>
    <w:p w14:paraId="1C02D754" w14:textId="77777777" w:rsidR="000E4567" w:rsidRPr="00BB1E88" w:rsidRDefault="000E4567" w:rsidP="000E4567">
      <w:pPr>
        <w:spacing w:after="240"/>
        <w:ind w:left="567" w:hanging="567"/>
      </w:pPr>
      <w:bookmarkStart w:id="10" w:name="_Hlk210306900"/>
      <w:r w:rsidRPr="00BB1E88">
        <w:t>C.</w:t>
      </w:r>
      <w:r w:rsidRPr="00BB1E88">
        <w:tab/>
        <w:t xml:space="preserve">întrucât există în continuare incertitudini privind potențialul cancerigen al </w:t>
      </w:r>
      <w:proofErr w:type="spellStart"/>
      <w:r w:rsidRPr="00BB1E88">
        <w:t>glifosatului</w:t>
      </w:r>
      <w:proofErr w:type="spellEnd"/>
      <w:r w:rsidRPr="00BB1E88">
        <w:t xml:space="preserve">; întrucât, în noiembrie 2015, EFSA a ajuns la concluzia că este puțin probabil ca </w:t>
      </w:r>
      <w:proofErr w:type="spellStart"/>
      <w:r w:rsidRPr="00BB1E88">
        <w:t>glifosatul</w:t>
      </w:r>
      <w:proofErr w:type="spellEnd"/>
      <w:r w:rsidRPr="00BB1E88">
        <w:t xml:space="preserve"> să fie cancerigen, iar Agenția Europeană pentru Produse Chimice a concluzionat în martie 2017 că nu se justifică o astfel de clasificare; întrucât, dimpotrivă, în 2015, Agenția Internațională pentru Cercetare în Domeniul Cancerului, agenția specializată în domeniul cancerului a Organizației Mondiale a Sănătății, a clasificat </w:t>
      </w:r>
      <w:proofErr w:type="spellStart"/>
      <w:r w:rsidRPr="00BB1E88">
        <w:t>glifosatul</w:t>
      </w:r>
      <w:proofErr w:type="spellEnd"/>
      <w:r w:rsidRPr="00BB1E88">
        <w:t xml:space="preserve"> drept substanță probabil cancerigenă pentru oameni; întrucât o serie de studii științifice recente, evaluate</w:t>
      </w:r>
      <w:r w:rsidRPr="00BB1E88">
        <w:rPr>
          <w:i/>
          <w:iCs/>
        </w:rPr>
        <w:t xml:space="preserve"> inter </w:t>
      </w:r>
      <w:proofErr w:type="spellStart"/>
      <w:r w:rsidRPr="00BB1E88">
        <w:rPr>
          <w:i/>
          <w:iCs/>
        </w:rPr>
        <w:t>pares</w:t>
      </w:r>
      <w:proofErr w:type="spellEnd"/>
      <w:r w:rsidRPr="00BB1E88">
        <w:t xml:space="preserve">, confirmă potențialul cancerigen al </w:t>
      </w:r>
      <w:proofErr w:type="spellStart"/>
      <w:r w:rsidRPr="00BB1E88">
        <w:t>glifosatului</w:t>
      </w:r>
      <w:proofErr w:type="spellEnd"/>
      <w:r w:rsidRPr="00BB1E88">
        <w:rPr>
          <w:rStyle w:val="FootnoteReference"/>
        </w:rPr>
        <w:footnoteReference w:id="5"/>
      </w:r>
      <w:r w:rsidRPr="00BB1E88">
        <w:t>;</w:t>
      </w:r>
    </w:p>
    <w:bookmarkEnd w:id="10"/>
    <w:p w14:paraId="340B684A" w14:textId="77777777" w:rsidR="000E4567" w:rsidRPr="00BB1E88" w:rsidRDefault="000E4567" w:rsidP="000E4567">
      <w:pPr>
        <w:spacing w:after="240"/>
        <w:ind w:left="567" w:hanging="567"/>
      </w:pPr>
      <w:r w:rsidRPr="00BB1E88">
        <w:t>D.</w:t>
      </w:r>
      <w:r w:rsidRPr="00BB1E88">
        <w:tab/>
        <w:t>întrucât EFSA a emis un aviz favorabil la 5 februarie 2025, concluzionând că porumbul modificat genetic este la fel de sigur ca omologul său convențional; întrucât avizul respectiv nu a abordat mai multe efecte mai ample de natură ambientală, socioeconomice și cumulative, despre care EFSA consideră că se află în afara sferei sale de competență;</w:t>
      </w:r>
    </w:p>
    <w:p w14:paraId="34ACB042" w14:textId="77777777" w:rsidR="000E4567" w:rsidRPr="00BB1E88" w:rsidRDefault="000E4567" w:rsidP="000E4567">
      <w:pPr>
        <w:spacing w:after="240"/>
        <w:ind w:left="567" w:hanging="567"/>
      </w:pPr>
      <w:r w:rsidRPr="00BB1E88">
        <w:t>E.</w:t>
      </w:r>
      <w:r w:rsidRPr="00BB1E88">
        <w:tab/>
        <w:t>întrucât evaluarea riscurilor efectuată de EFSA nu a inclus studii toxicologice pe termen lung sau o analiză detaliată a efectelor cumulative și combinatorii, inclusiv a posibilelor interacțiuni cu reziduurile de pesticide utilizate în mod obișnuit în cultivarea porumbului;</w:t>
      </w:r>
    </w:p>
    <w:p w14:paraId="5FF2917E" w14:textId="77777777" w:rsidR="000E4567" w:rsidRPr="00BB1E88" w:rsidRDefault="000E4567" w:rsidP="000E4567">
      <w:pPr>
        <w:spacing w:after="240"/>
        <w:ind w:left="567" w:hanging="567"/>
      </w:pPr>
      <w:r w:rsidRPr="00BB1E88">
        <w:t>F.</w:t>
      </w:r>
      <w:r w:rsidRPr="00BB1E88">
        <w:tab/>
        <w:t>întrucât testele pe teren în sprijinul cererii au fost efectuate în condiții geografice și climatice limitate, care nu reprezintă întreaga diversitate a regiunilor de cultivare a porumbului, inclusiv a celor puternic afectate de factorii de stres legați de schimbările climatice;</w:t>
      </w:r>
    </w:p>
    <w:p w14:paraId="77C46D7B" w14:textId="77777777" w:rsidR="000E4567" w:rsidRPr="00BB1E88" w:rsidRDefault="000E4567" w:rsidP="000E4567">
      <w:pPr>
        <w:spacing w:after="240"/>
        <w:ind w:left="567" w:hanging="567"/>
      </w:pPr>
      <w:r w:rsidRPr="00BB1E88">
        <w:t>G.</w:t>
      </w:r>
      <w:r w:rsidRPr="00BB1E88">
        <w:tab/>
        <w:t>întrucât monitorizarea și supravegherea independentă a potențialelor efecte adverse asupra biodiversității, sănătății solului, polenizatorilor și organismelor nevizate rămân insuficient garantate;</w:t>
      </w:r>
    </w:p>
    <w:p w14:paraId="45A8F84D" w14:textId="77777777" w:rsidR="000E4567" w:rsidRPr="00BB1E88" w:rsidRDefault="000E4567" w:rsidP="000E4567">
      <w:pPr>
        <w:spacing w:after="240"/>
        <w:ind w:left="567" w:hanging="567"/>
      </w:pPr>
      <w:r w:rsidRPr="00BB1E88">
        <w:t>H.</w:t>
      </w:r>
      <w:r w:rsidRPr="00BB1E88">
        <w:tab/>
        <w:t xml:space="preserve">întrucât, până în prezent, nu sunt disponibile studii evaluate </w:t>
      </w:r>
      <w:r w:rsidRPr="00BB1E88">
        <w:rPr>
          <w:i/>
          <w:iCs/>
        </w:rPr>
        <w:t xml:space="preserve">inter </w:t>
      </w:r>
      <w:proofErr w:type="spellStart"/>
      <w:r w:rsidRPr="00BB1E88">
        <w:rPr>
          <w:i/>
          <w:iCs/>
        </w:rPr>
        <w:t>pares</w:t>
      </w:r>
      <w:proofErr w:type="spellEnd"/>
      <w:r w:rsidRPr="00BB1E88">
        <w:t xml:space="preserve"> privind toxicitatea sau modul de acțiune al proteinei Cry1Da2;</w:t>
      </w:r>
    </w:p>
    <w:p w14:paraId="7E4A7C1C" w14:textId="77777777" w:rsidR="000E4567" w:rsidRPr="00BB1E88" w:rsidRDefault="000E4567" w:rsidP="000E4567">
      <w:pPr>
        <w:spacing w:after="240"/>
        <w:ind w:left="567" w:hanging="567"/>
      </w:pPr>
      <w:r w:rsidRPr="00BB1E88">
        <w:t>I.</w:t>
      </w:r>
      <w:r w:rsidRPr="00BB1E88">
        <w:tab/>
        <w:t>întrucât principiul precauției, consacrat la articolul 191 din Tratatul privind funcționarea Uniunii Europene, ar trebui să se aplice în cazurile de incertitudine științifică;</w:t>
      </w:r>
    </w:p>
    <w:p w14:paraId="0A882BB8" w14:textId="77777777" w:rsidR="000E4567" w:rsidRPr="00BB1E88" w:rsidRDefault="000E4567" w:rsidP="000E4567">
      <w:pPr>
        <w:spacing w:after="240"/>
        <w:ind w:left="567" w:hanging="567"/>
      </w:pPr>
      <w:r w:rsidRPr="00BB1E88">
        <w:t>J.</w:t>
      </w:r>
      <w:r w:rsidRPr="00BB1E88">
        <w:tab/>
        <w:t>întrucât Regulamentul (CE) nr. 1829/2003 prevede că produsele alimentare și furajele modificate genetic nu trebuie să aibă efecte adverse asupra sănătății umane și animale sau a mediului;</w:t>
      </w:r>
    </w:p>
    <w:p w14:paraId="2501FAE7" w14:textId="77777777" w:rsidR="000E4567" w:rsidRPr="00BB1E88" w:rsidRDefault="000E4567" w:rsidP="000E4567">
      <w:pPr>
        <w:spacing w:after="240"/>
        <w:ind w:left="567" w:hanging="567"/>
      </w:pPr>
      <w:r w:rsidRPr="00BB1E88">
        <w:t>K.</w:t>
      </w:r>
      <w:r w:rsidRPr="00BB1E88">
        <w:tab/>
        <w:t>întrucât adoptarea proiectului de decizie de punere în aplicare a Comisiei ar permite importul în Uniune al unor produse care nu sunt în conformitate cu standardele respectate de fermierii din Uniune, plasându-i astfel într-un dezavantaj concurențial;</w:t>
      </w:r>
    </w:p>
    <w:p w14:paraId="58032737" w14:textId="77777777" w:rsidR="000E4567" w:rsidRPr="00BB1E88" w:rsidRDefault="000E4567" w:rsidP="000E4567">
      <w:pPr>
        <w:spacing w:after="240"/>
        <w:ind w:left="567" w:hanging="567"/>
      </w:pPr>
      <w:r w:rsidRPr="00BB1E88">
        <w:lastRenderedPageBreak/>
        <w:t>L.</w:t>
      </w:r>
      <w:r w:rsidRPr="00BB1E88">
        <w:tab/>
        <w:t>întrucât Parlamentul a subliniat în mod repetat că Comisia nu ar trebui să autorizeze OMG-urile în cazurile în care statele membre nu ajung la o majoritate calificată în Comitetul permanent pentru plante, animale, produse alimentare și hrană pentru animale sau al comitetului de apel, astfel încât să poată fi abordat deficitul democratic persistent;</w:t>
      </w:r>
    </w:p>
    <w:p w14:paraId="0C0444C5" w14:textId="77777777" w:rsidR="000E4567" w:rsidRPr="00BB1E88" w:rsidRDefault="000E4567" w:rsidP="000E4567">
      <w:pPr>
        <w:spacing w:after="240"/>
        <w:ind w:left="567" w:hanging="567"/>
      </w:pPr>
      <w:r w:rsidRPr="00BB1E88">
        <w:t>M.</w:t>
      </w:r>
      <w:r w:rsidRPr="00BB1E88">
        <w:tab/>
        <w:t>întrucât abordarea de tip „O singură sănătate” necesită luarea în considerare a interdependenței dintre sănătatea umană, animală, a plantelor și a mediului atunci când se evaluează sustenabilitatea și siguranța pe termen lung a OMG-urilor,</w:t>
      </w:r>
    </w:p>
    <w:p w14:paraId="1ACF009A" w14:textId="77777777" w:rsidR="000E4567" w:rsidRPr="00BB1E88" w:rsidRDefault="000E4567" w:rsidP="000E4567">
      <w:pPr>
        <w:tabs>
          <w:tab w:val="left" w:pos="0"/>
        </w:tabs>
        <w:spacing w:after="240"/>
        <w:ind w:left="357" w:hanging="357"/>
      </w:pPr>
      <w:r w:rsidRPr="00BB1E88">
        <w:t>1.</w:t>
      </w:r>
      <w:r w:rsidRPr="00BB1E88">
        <w:tab/>
        <w:t>consideră că proiectul de decizie de punere în aplicare a Comisiei depășește competențele de executare prevăzute în Regulamentul (CE) nr. 1829/2003;</w:t>
      </w:r>
    </w:p>
    <w:p w14:paraId="1256CEEB" w14:textId="77777777" w:rsidR="000E4567" w:rsidRPr="00BB1E88" w:rsidRDefault="000E4567" w:rsidP="000E4567">
      <w:pPr>
        <w:tabs>
          <w:tab w:val="left" w:pos="0"/>
        </w:tabs>
        <w:spacing w:after="240"/>
        <w:ind w:left="357" w:hanging="357"/>
      </w:pPr>
      <w:r w:rsidRPr="00BB1E88">
        <w:t>2.</w:t>
      </w:r>
      <w:r w:rsidRPr="00BB1E88">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BB1E88">
        <w:rPr>
          <w:rStyle w:val="FootnoteReference"/>
        </w:rPr>
        <w:footnoteReference w:id="6"/>
      </w:r>
      <w:r w:rsidRPr="00BB1E88">
        <w:t>,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14:paraId="274CBEFA" w14:textId="77777777" w:rsidR="000E4567" w:rsidRPr="00BB1E88" w:rsidRDefault="000E4567" w:rsidP="000E4567">
      <w:pPr>
        <w:tabs>
          <w:tab w:val="left" w:pos="0"/>
        </w:tabs>
        <w:spacing w:after="240"/>
        <w:ind w:left="357" w:hanging="357"/>
      </w:pPr>
      <w:r w:rsidRPr="00BB1E88">
        <w:t>3.</w:t>
      </w:r>
      <w:r w:rsidRPr="00BB1E88">
        <w:tab/>
        <w:t>solicită Comisiei să își retragă proiectul de decizie de punere în aplicare;</w:t>
      </w:r>
    </w:p>
    <w:p w14:paraId="464739BD" w14:textId="77777777" w:rsidR="000E4567" w:rsidRPr="00BB1E88" w:rsidRDefault="000E4567" w:rsidP="000E4567">
      <w:pPr>
        <w:tabs>
          <w:tab w:val="left" w:pos="0"/>
        </w:tabs>
        <w:spacing w:after="240"/>
        <w:ind w:left="357" w:hanging="357"/>
      </w:pPr>
      <w:r w:rsidRPr="00BB1E88">
        <w:t>4.</w:t>
      </w:r>
      <w:r w:rsidRPr="00BB1E88">
        <w:tab/>
        <w:t>invită Comisia să nu autorizeze porumbul modificat genetic din cauza lipsei unor dovezi suficiente cu privire la efectele pe termen lung asupra biodiversității, a siguranței alimentare și a sănătății lucrătorilor, în conformitate cu abordarea de tip „O singură sănătate”;</w:t>
      </w:r>
    </w:p>
    <w:p w14:paraId="357ED4FD" w14:textId="77777777" w:rsidR="000E4567" w:rsidRPr="00BB1E88" w:rsidRDefault="000E4567" w:rsidP="000E4567">
      <w:pPr>
        <w:tabs>
          <w:tab w:val="left" w:pos="0"/>
        </w:tabs>
        <w:spacing w:after="240"/>
        <w:ind w:left="357" w:hanging="357"/>
      </w:pPr>
      <w:bookmarkStart w:id="11" w:name="_Hlk210900300"/>
      <w:r w:rsidRPr="00BB1E88">
        <w:t>5.</w:t>
      </w:r>
      <w:r w:rsidRPr="00BB1E88">
        <w:tab/>
        <w:t>îndeamnă Comisia să prezinte, fără întârziere, o propunere legislativă de reformare a procedurii decizionale privind OMG-urile pentru a răspunde obiecțiilor consecvente ale Parlamentului și lipsei de sprijin din partea unei majorități calificate în rândul statelor membre</w:t>
      </w:r>
      <w:bookmarkEnd w:id="11"/>
      <w:r w:rsidRPr="00BB1E88">
        <w:t>;</w:t>
      </w:r>
    </w:p>
    <w:p w14:paraId="5DBDB2C5" w14:textId="77777777" w:rsidR="000E4567" w:rsidRPr="00BB1E88" w:rsidRDefault="000E4567" w:rsidP="000E4567">
      <w:pPr>
        <w:tabs>
          <w:tab w:val="left" w:pos="0"/>
        </w:tabs>
        <w:spacing w:after="240"/>
        <w:ind w:left="357" w:hanging="357"/>
      </w:pPr>
      <w:bookmarkStart w:id="12" w:name="_Hlk210900241"/>
      <w:r w:rsidRPr="00BB1E88">
        <w:t>6.</w:t>
      </w:r>
      <w:r w:rsidRPr="00BB1E88">
        <w:tab/>
        <w:t>îndeamnă Comisia să țină seama de obligațiile Uniunii în temeiul acordurilor internaționale, cum ar fi Acordul de la Paris privind schimbările climatice, Convenția Organizației Națiunilor Unite (ONU) privind diversitatea biologică și obiectivele de dezvoltare durabilă ale ONU;</w:t>
      </w:r>
    </w:p>
    <w:bookmarkEnd w:id="12"/>
    <w:p w14:paraId="518006A2" w14:textId="04343A70" w:rsidR="000E5F12" w:rsidRPr="00BB1E88" w:rsidRDefault="000E4567" w:rsidP="000E5F12">
      <w:pPr>
        <w:tabs>
          <w:tab w:val="left" w:pos="0"/>
        </w:tabs>
        <w:spacing w:after="240"/>
        <w:ind w:left="357" w:hanging="357"/>
      </w:pPr>
      <w:r w:rsidRPr="00BB1E88">
        <w:t>7.</w:t>
      </w:r>
      <w:r w:rsidRPr="00BB1E88">
        <w:tab/>
        <w:t>încredințează Președintei sarcina de a transmite prezenta rezoluție Consiliului și Comisiei, precum și guvernelor și parlamentelor statelor membre.</w:t>
      </w:r>
    </w:p>
    <w:p w14:paraId="30822192" w14:textId="00CD34A8" w:rsidR="00E365E1" w:rsidRPr="00BB1E88" w:rsidRDefault="00E365E1" w:rsidP="00AA01A7"/>
    <w:sectPr w:rsidR="00E365E1" w:rsidRPr="00BB1E88" w:rsidSect="000E5F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6B3BD" w14:textId="77777777" w:rsidR="00AA01A7" w:rsidRPr="000E5F12" w:rsidRDefault="00AA01A7">
      <w:r w:rsidRPr="000E5F12">
        <w:separator/>
      </w:r>
    </w:p>
  </w:endnote>
  <w:endnote w:type="continuationSeparator" w:id="0">
    <w:p w14:paraId="47FB395A" w14:textId="77777777" w:rsidR="00AA01A7" w:rsidRPr="000E5F12" w:rsidRDefault="00AA01A7">
      <w:r w:rsidRPr="000E5F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8D0D2" w14:textId="77777777" w:rsidR="00064002" w:rsidRPr="000E5F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1FB9C" w14:textId="77777777" w:rsidR="00064002" w:rsidRPr="000E5F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595F" w14:textId="77777777" w:rsidR="00064002" w:rsidRPr="000E5F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0DAE" w14:textId="77777777" w:rsidR="00AA01A7" w:rsidRPr="000E5F12" w:rsidRDefault="00AA01A7">
      <w:r w:rsidRPr="000E5F12">
        <w:separator/>
      </w:r>
    </w:p>
  </w:footnote>
  <w:footnote w:type="continuationSeparator" w:id="0">
    <w:p w14:paraId="6E20DB72" w14:textId="77777777" w:rsidR="00AA01A7" w:rsidRPr="000E5F12" w:rsidRDefault="00AA01A7">
      <w:r w:rsidRPr="000E5F12">
        <w:continuationSeparator/>
      </w:r>
    </w:p>
  </w:footnote>
  <w:footnote w:id="1">
    <w:p w14:paraId="1BB71322" w14:textId="196A9E8C" w:rsidR="000E4567" w:rsidRPr="000E5F12" w:rsidRDefault="000E4567" w:rsidP="000E5F12">
      <w:pPr>
        <w:pStyle w:val="FootnoteText"/>
        <w:ind w:left="567" w:hanging="567"/>
        <w:rPr>
          <w:sz w:val="24"/>
          <w:lang w:val="ro-RO"/>
        </w:rPr>
      </w:pPr>
      <w:r w:rsidRPr="000E5F12">
        <w:rPr>
          <w:rStyle w:val="Funotenzeichen"/>
          <w:sz w:val="24"/>
          <w:lang w:val="ro-RO"/>
        </w:rPr>
        <w:footnoteRef/>
      </w:r>
      <w:r w:rsidR="000E5F12" w:rsidRPr="000E5F12">
        <w:rPr>
          <w:sz w:val="24"/>
          <w:lang w:val="ro-RO"/>
        </w:rPr>
        <w:t xml:space="preserve"> </w:t>
      </w:r>
      <w:r w:rsidR="000E5F12" w:rsidRPr="000E5F12">
        <w:rPr>
          <w:sz w:val="24"/>
          <w:lang w:val="ro-RO"/>
        </w:rPr>
        <w:tab/>
      </w:r>
      <w:r w:rsidRPr="000E5F12">
        <w:rPr>
          <w:sz w:val="24"/>
          <w:lang w:val="ro-RO"/>
        </w:rPr>
        <w:t>JO L 268, 18.10.2003, p. 1, ELI: </w:t>
      </w:r>
      <w:hyperlink r:id="rId1" w:tooltip="Oferă acces la acest document prin identificatorul său uniform de resurse ELI." w:history="1">
        <w:r w:rsidRPr="000E5F12">
          <w:rPr>
            <w:rStyle w:val="Hyperlink"/>
            <w:sz w:val="24"/>
            <w:lang w:val="ro-RO"/>
          </w:rPr>
          <w:t>http://data.europa.eu/eli/reg/2003/1829/oj</w:t>
        </w:r>
      </w:hyperlink>
      <w:r w:rsidRPr="000E5F12">
        <w:rPr>
          <w:rStyle w:val="Hyperlink"/>
          <w:sz w:val="24"/>
          <w:lang w:val="ro-RO"/>
        </w:rPr>
        <w:t>.</w:t>
      </w:r>
    </w:p>
  </w:footnote>
  <w:footnote w:id="2">
    <w:p w14:paraId="5965B406" w14:textId="34B2B2F6" w:rsidR="000E4567" w:rsidRPr="000E5F12" w:rsidRDefault="000E4567" w:rsidP="000E5F12">
      <w:pPr>
        <w:pStyle w:val="FootnoteText"/>
        <w:ind w:left="567" w:hanging="567"/>
        <w:rPr>
          <w:sz w:val="24"/>
          <w:lang w:val="ro-RO"/>
        </w:rPr>
      </w:pPr>
      <w:r w:rsidRPr="000E5F12">
        <w:rPr>
          <w:rStyle w:val="FootnoteReference"/>
          <w:sz w:val="24"/>
          <w:lang w:val="ro-RO"/>
        </w:rPr>
        <w:footnoteRef/>
      </w:r>
      <w:bookmarkStart w:id="8" w:name="_Hlk210663104"/>
      <w:r w:rsidR="000E5F12" w:rsidRPr="000E5F12">
        <w:rPr>
          <w:sz w:val="24"/>
          <w:lang w:val="ro-RO"/>
        </w:rPr>
        <w:t xml:space="preserve"> </w:t>
      </w:r>
      <w:r w:rsidR="000E5F12" w:rsidRPr="000E5F12">
        <w:rPr>
          <w:sz w:val="24"/>
          <w:lang w:val="ro-RO"/>
        </w:rPr>
        <w:tab/>
      </w:r>
      <w:r w:rsidRPr="000E5F12">
        <w:rPr>
          <w:sz w:val="24"/>
          <w:lang w:val="ro-RO"/>
        </w:rPr>
        <w:t xml:space="preserve">JO L 55, 28.2.2011, p. 13, ELI: </w:t>
      </w:r>
      <w:hyperlink r:id="rId2" w:history="1">
        <w:r w:rsidRPr="000E5F12">
          <w:rPr>
            <w:rStyle w:val="Hyperlink"/>
            <w:sz w:val="24"/>
            <w:lang w:val="ro-RO"/>
          </w:rPr>
          <w:t>http://data.europa.eu/eli/reg/2011/182/oj</w:t>
        </w:r>
      </w:hyperlink>
      <w:r w:rsidRPr="000E5F12">
        <w:rPr>
          <w:sz w:val="24"/>
          <w:lang w:val="ro-RO"/>
        </w:rPr>
        <w:t>.</w:t>
      </w:r>
      <w:bookmarkEnd w:id="8"/>
    </w:p>
  </w:footnote>
  <w:footnote w:id="3">
    <w:p w14:paraId="2DB83E9F" w14:textId="77D564A2" w:rsidR="000E4567" w:rsidRPr="000E5F12" w:rsidRDefault="000E4567" w:rsidP="000E5F12">
      <w:pPr>
        <w:pStyle w:val="FootnoteText"/>
        <w:ind w:left="567" w:hanging="567"/>
        <w:rPr>
          <w:sz w:val="24"/>
          <w:lang w:val="ro-RO"/>
        </w:rPr>
      </w:pPr>
      <w:r w:rsidRPr="000E5F12">
        <w:rPr>
          <w:rStyle w:val="Funotenzeichen"/>
          <w:sz w:val="24"/>
          <w:lang w:val="ro-RO"/>
        </w:rPr>
        <w:footnoteRef/>
      </w:r>
      <w:r w:rsidR="000E5F12" w:rsidRPr="000E5F12">
        <w:rPr>
          <w:sz w:val="24"/>
          <w:lang w:val="ro-RO"/>
        </w:rPr>
        <w:t xml:space="preserve"> </w:t>
      </w:r>
      <w:r w:rsidR="000E5F12" w:rsidRPr="000E5F12">
        <w:rPr>
          <w:sz w:val="24"/>
          <w:lang w:val="ro-RO"/>
        </w:rPr>
        <w:tab/>
      </w:r>
      <w:r w:rsidRPr="000E5F12">
        <w:rPr>
          <w:sz w:val="24"/>
          <w:lang w:val="ro-RO"/>
        </w:rPr>
        <w:t>Avizul științific al Grupului EFSA pentru organisme modificate genetic intitulat „</w:t>
      </w:r>
      <w:proofErr w:type="spellStart"/>
      <w:r w:rsidRPr="000E5F12">
        <w:rPr>
          <w:sz w:val="24"/>
          <w:lang w:val="ro-RO"/>
        </w:rPr>
        <w:t>Assessment</w:t>
      </w:r>
      <w:proofErr w:type="spellEnd"/>
      <w:r w:rsidRPr="000E5F12">
        <w:rPr>
          <w:sz w:val="24"/>
          <w:lang w:val="ro-RO"/>
        </w:rPr>
        <w:t xml:space="preserve"> of </w:t>
      </w:r>
      <w:proofErr w:type="spellStart"/>
      <w:r w:rsidRPr="000E5F12">
        <w:rPr>
          <w:sz w:val="24"/>
          <w:lang w:val="ro-RO"/>
        </w:rPr>
        <w:t>genetically</w:t>
      </w:r>
      <w:proofErr w:type="spellEnd"/>
      <w:r w:rsidRPr="000E5F12">
        <w:rPr>
          <w:sz w:val="24"/>
          <w:lang w:val="ro-RO"/>
        </w:rPr>
        <w:t xml:space="preserve"> </w:t>
      </w:r>
      <w:proofErr w:type="spellStart"/>
      <w:r w:rsidRPr="000E5F12">
        <w:rPr>
          <w:sz w:val="24"/>
          <w:lang w:val="ro-RO"/>
        </w:rPr>
        <w:t>modified</w:t>
      </w:r>
      <w:proofErr w:type="spellEnd"/>
      <w:r w:rsidRPr="000E5F12">
        <w:rPr>
          <w:sz w:val="24"/>
          <w:lang w:val="ro-RO"/>
        </w:rPr>
        <w:t xml:space="preserve"> </w:t>
      </w:r>
      <w:proofErr w:type="spellStart"/>
      <w:r w:rsidRPr="000E5F12">
        <w:rPr>
          <w:sz w:val="24"/>
          <w:lang w:val="ro-RO"/>
        </w:rPr>
        <w:t>maize</w:t>
      </w:r>
      <w:proofErr w:type="spellEnd"/>
      <w:r w:rsidRPr="000E5F12">
        <w:rPr>
          <w:sz w:val="24"/>
          <w:lang w:val="ro-RO"/>
        </w:rPr>
        <w:t xml:space="preserve"> DAS1131 (</w:t>
      </w:r>
      <w:proofErr w:type="spellStart"/>
      <w:r w:rsidRPr="000E5F12">
        <w:rPr>
          <w:sz w:val="24"/>
          <w:lang w:val="ro-RO"/>
        </w:rPr>
        <w:t>application</w:t>
      </w:r>
      <w:proofErr w:type="spellEnd"/>
      <w:r w:rsidRPr="000E5F12">
        <w:rPr>
          <w:sz w:val="24"/>
          <w:lang w:val="ro-RO"/>
        </w:rPr>
        <w:t xml:space="preserve"> GMFF-2021-1530)” [Evaluarea porumbului modificat genetic DAS1131 (cererea GMFF-2021-1530)]. EFSA Journal 2025;23(3):9282; </w:t>
      </w:r>
      <w:hyperlink r:id="rId3" w:history="1">
        <w:r w:rsidRPr="000E5F12">
          <w:rPr>
            <w:rStyle w:val="Hyperlink"/>
            <w:sz w:val="24"/>
            <w:lang w:val="ro-RO"/>
          </w:rPr>
          <w:t>https://doi.org/10.2903/j.efsa.2025.9282</w:t>
        </w:r>
      </w:hyperlink>
      <w:r w:rsidRPr="000E5F12">
        <w:rPr>
          <w:sz w:val="24"/>
          <w:lang w:val="ro-RO"/>
        </w:rPr>
        <w:t xml:space="preserve">. </w:t>
      </w:r>
    </w:p>
  </w:footnote>
  <w:footnote w:id="4">
    <w:p w14:paraId="10471795" w14:textId="3E4F50BA" w:rsidR="000E4567" w:rsidRPr="000E5F12" w:rsidRDefault="000E4567" w:rsidP="000E5F12">
      <w:pPr>
        <w:pStyle w:val="FootnoteText"/>
        <w:ind w:left="567" w:hanging="567"/>
        <w:rPr>
          <w:color w:val="000000" w:themeColor="text1"/>
          <w:sz w:val="24"/>
          <w:vertAlign w:val="superscript"/>
          <w:lang w:val="ro-RO"/>
        </w:rPr>
      </w:pPr>
      <w:r w:rsidRPr="000E5F12">
        <w:rPr>
          <w:rStyle w:val="FootnoteReference"/>
          <w:sz w:val="24"/>
          <w:lang w:val="ro-RO"/>
        </w:rPr>
        <w:footnoteRef/>
      </w:r>
      <w:r w:rsidR="000E5F12" w:rsidRPr="000E5F12">
        <w:rPr>
          <w:sz w:val="24"/>
          <w:lang w:val="ro-RO"/>
        </w:rPr>
        <w:t xml:space="preserve"> </w:t>
      </w:r>
      <w:r w:rsidR="000E5F12" w:rsidRPr="000E5F12">
        <w:rPr>
          <w:sz w:val="24"/>
          <w:lang w:val="ro-RO"/>
        </w:rPr>
        <w:tab/>
      </w:r>
      <w:r w:rsidRPr="000E5F12">
        <w:rPr>
          <w:sz w:val="24"/>
          <w:lang w:val="ro-RO"/>
        </w:rPr>
        <w:t>În cea de a opta legislatură, Parlamentul a adoptat 36 de rezoluții, iar în cea de a noua legislatură, Parlamentul a adoptat 38 de rezoluții în care se opune autorizării OMG-urilor.</w:t>
      </w:r>
      <w:r w:rsidRPr="000E5F12">
        <w:rPr>
          <w:color w:val="000000" w:themeColor="text1"/>
          <w:sz w:val="24"/>
          <w:lang w:val="ro-RO"/>
        </w:rPr>
        <w:t xml:space="preserve"> În plus, în cea de a zecea legislatură a sa, Parlamentul a adoptat următoarele rezoluții:</w:t>
      </w:r>
    </w:p>
    <w:p w14:paraId="12605CFD" w14:textId="03D8BED9"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a Comisiei (UE) 2024/2628 privind reînnoirea autorizației pentru introducerea pe piață a produselor care conțin, sunt compuse sau fabricate din porumb modificat genetic MON 89034 × 1507 × NK603, în temeiul Regulamentului (CE) nr. 1829/2003 al Parlamentului European și al Consiliului (JO C, C/2025/1797, 4.4.2025, ELI: </w:t>
      </w:r>
      <w:hyperlink r:id="rId4" w:history="1">
        <w:r w:rsidR="000E4567" w:rsidRPr="000E5F12">
          <w:rPr>
            <w:rStyle w:val="Hyperlink"/>
            <w:sz w:val="24"/>
            <w:lang w:val="ro-RO"/>
          </w:rPr>
          <w:t>http://data.europa.eu/eli/C/2025/1797/oj</w:t>
        </w:r>
      </w:hyperlink>
      <w:r w:rsidR="000E4567" w:rsidRPr="000E5F12">
        <w:rPr>
          <w:color w:val="000000" w:themeColor="text1"/>
          <w:sz w:val="24"/>
          <w:lang w:val="ro-RO"/>
        </w:rPr>
        <w:t>).</w:t>
      </w:r>
    </w:p>
    <w:p w14:paraId="15DC0FAF" w14:textId="2D1E450E"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history="1">
        <w:r w:rsidR="000E4567" w:rsidRPr="000E5F12">
          <w:rPr>
            <w:rStyle w:val="Hyperlink"/>
            <w:sz w:val="24"/>
            <w:lang w:val="ro-RO"/>
          </w:rPr>
          <w:t>http://data.europa.eu/eli/C/2025/1798/oj</w:t>
        </w:r>
      </w:hyperlink>
      <w:r w:rsidR="000E4567" w:rsidRPr="000E5F12">
        <w:rPr>
          <w:color w:val="000000" w:themeColor="text1"/>
          <w:sz w:val="24"/>
          <w:lang w:val="ro-RO"/>
        </w:rPr>
        <w:t>).</w:t>
      </w:r>
    </w:p>
    <w:p w14:paraId="365261C6" w14:textId="7D4BE2BA"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a Comisiei (UE) 2024/2629 privind reînnoirea autorizației pentru introducerea pe piață a produselor care conțin, sunt compuse sau fabricate din porumb modificat genetic MON 89034 × 1507 × MON 88017 × 59122 și opt dintre </w:t>
      </w:r>
      <w:proofErr w:type="spellStart"/>
      <w:r w:rsidR="000E4567" w:rsidRPr="000E5F12">
        <w:rPr>
          <w:color w:val="000000" w:themeColor="text1"/>
          <w:sz w:val="24"/>
          <w:lang w:val="ro-RO"/>
        </w:rPr>
        <w:t>subcombinațiile</w:t>
      </w:r>
      <w:proofErr w:type="spellEnd"/>
      <w:r w:rsidR="000E4567" w:rsidRPr="000E5F12">
        <w:rPr>
          <w:color w:val="000000" w:themeColor="text1"/>
          <w:sz w:val="24"/>
          <w:lang w:val="ro-RO"/>
        </w:rPr>
        <w:t xml:space="preserve"> acestuia, în temeiul Regulamentului (CE) nr. 1829/2003 al Parlamentului European și al Consiliului (JO C, C/2025/1799, 4.4.2025, ELI: </w:t>
      </w:r>
      <w:hyperlink r:id="rId6" w:history="1">
        <w:r w:rsidR="000E4567" w:rsidRPr="000E5F12">
          <w:rPr>
            <w:rStyle w:val="Hyperlink"/>
            <w:sz w:val="24"/>
            <w:lang w:val="ro-RO"/>
          </w:rPr>
          <w:t>http://data.europa.eu/eli/C/2025/1799/oj</w:t>
        </w:r>
      </w:hyperlink>
      <w:r w:rsidR="000E4567" w:rsidRPr="000E5F12">
        <w:rPr>
          <w:color w:val="000000" w:themeColor="text1"/>
          <w:sz w:val="24"/>
          <w:lang w:val="ro-RO"/>
        </w:rPr>
        <w:t>).</w:t>
      </w:r>
    </w:p>
    <w:p w14:paraId="117DC16C" w14:textId="6346060F"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0E4567" w:rsidRPr="000E5F12">
          <w:rPr>
            <w:rStyle w:val="Hyperlink"/>
            <w:sz w:val="24"/>
            <w:lang w:val="ro-RO"/>
          </w:rPr>
          <w:t>http://data.europa.eu/eli/C/2025/1800/oj</w:t>
        </w:r>
      </w:hyperlink>
      <w:r w:rsidR="000E4567" w:rsidRPr="000E5F12">
        <w:rPr>
          <w:color w:val="000000" w:themeColor="text1"/>
          <w:sz w:val="24"/>
          <w:lang w:val="ro-RO"/>
        </w:rPr>
        <w:t>).</w:t>
      </w:r>
    </w:p>
    <w:p w14:paraId="20721392" w14:textId="10635D78"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0E4567" w:rsidRPr="000E5F12">
          <w:rPr>
            <w:rStyle w:val="Hyperlink"/>
            <w:sz w:val="24"/>
            <w:lang w:val="ro-RO"/>
          </w:rPr>
          <w:t>http://data.europa.eu/eli/C/2025/1801/oj</w:t>
        </w:r>
      </w:hyperlink>
      <w:r w:rsidR="000E4567" w:rsidRPr="000E5F12">
        <w:rPr>
          <w:color w:val="000000" w:themeColor="text1"/>
          <w:sz w:val="24"/>
          <w:lang w:val="ro-RO"/>
        </w:rPr>
        <w:t>).</w:t>
      </w:r>
    </w:p>
    <w:p w14:paraId="53657884" w14:textId="4F058D46"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0E4567" w:rsidRPr="000E5F12">
          <w:rPr>
            <w:rStyle w:val="Hyperlink"/>
            <w:sz w:val="24"/>
            <w:lang w:val="ro-RO"/>
          </w:rPr>
          <w:t>http://data.europa.eu/eli/C/2025/1802/oj</w:t>
        </w:r>
      </w:hyperlink>
      <w:r w:rsidR="000E4567" w:rsidRPr="000E5F12">
        <w:rPr>
          <w:color w:val="000000" w:themeColor="text1"/>
          <w:sz w:val="24"/>
          <w:lang w:val="ro-RO"/>
        </w:rPr>
        <w:t>).</w:t>
      </w:r>
    </w:p>
    <w:p w14:paraId="76CD4DCC" w14:textId="2309979D"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0E4567" w:rsidRPr="000E5F12">
          <w:rPr>
            <w:rStyle w:val="Hyperlink"/>
            <w:sz w:val="24"/>
            <w:lang w:val="ro-RO"/>
          </w:rPr>
          <w:t>http://data.europa.eu/eli/C/2025/1803/oj</w:t>
        </w:r>
      </w:hyperlink>
      <w:r w:rsidR="000E4567" w:rsidRPr="000E5F12">
        <w:rPr>
          <w:color w:val="000000" w:themeColor="text1"/>
          <w:sz w:val="24"/>
          <w:lang w:val="ro-RO"/>
        </w:rPr>
        <w:t>).</w:t>
      </w:r>
    </w:p>
    <w:p w14:paraId="3D2E6FE3" w14:textId="420A2C11" w:rsidR="000E4567" w:rsidRPr="000E5F12" w:rsidRDefault="000E5F12" w:rsidP="000E5F12">
      <w:pPr>
        <w:pStyle w:val="FootnoteText"/>
        <w:ind w:left="567" w:hanging="567"/>
        <w:rPr>
          <w:color w:val="000000" w:themeColor="text1"/>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0E4567" w:rsidRPr="000E5F12">
          <w:rPr>
            <w:rStyle w:val="Hyperlink"/>
            <w:sz w:val="24"/>
            <w:lang w:val="ro-RO"/>
          </w:rPr>
          <w:t>http://data.europa.eu/eli/C/2025/1804/oj</w:t>
        </w:r>
      </w:hyperlink>
      <w:r w:rsidR="000E4567" w:rsidRPr="000E5F12">
        <w:rPr>
          <w:color w:val="000000" w:themeColor="text1"/>
          <w:sz w:val="24"/>
          <w:lang w:val="ro-RO"/>
        </w:rPr>
        <w:t>).</w:t>
      </w:r>
    </w:p>
    <w:p w14:paraId="39873D25" w14:textId="1B494D56" w:rsidR="000E4567" w:rsidRPr="000E5F12" w:rsidRDefault="000E5F12" w:rsidP="000E5F12">
      <w:pPr>
        <w:pStyle w:val="FootnoteText"/>
        <w:ind w:left="567" w:hanging="567"/>
        <w:rPr>
          <w:sz w:val="24"/>
          <w:vertAlign w:val="superscript"/>
          <w:lang w:val="ro-RO"/>
        </w:rPr>
      </w:pPr>
      <w:r w:rsidRPr="000E5F12">
        <w:rPr>
          <w:color w:val="000000" w:themeColor="text1"/>
          <w:sz w:val="24"/>
          <w:lang w:val="ro-RO"/>
        </w:rPr>
        <w:t xml:space="preserve"> </w:t>
      </w:r>
      <w:r w:rsidRPr="000E5F12">
        <w:rPr>
          <w:color w:val="000000" w:themeColor="text1"/>
          <w:sz w:val="24"/>
          <w:lang w:val="ro-RO"/>
        </w:rPr>
        <w:tab/>
      </w:r>
      <w:r w:rsidR="000E4567" w:rsidRPr="000E5F12">
        <w:rPr>
          <w:color w:val="000000" w:themeColor="text1"/>
          <w:sz w:val="24"/>
          <w:lang w:val="ro-RO"/>
        </w:rPr>
        <w:t>–</w:t>
      </w:r>
      <w:r w:rsidR="000E4567" w:rsidRPr="000E5F12">
        <w:rPr>
          <w:color w:val="000000" w:themeColor="text1"/>
          <w:sz w:val="24"/>
          <w:lang w:val="ro-RO"/>
        </w:rPr>
        <w:tab/>
      </w:r>
      <w:r w:rsidR="000E4567" w:rsidRPr="000E5F12">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și al Consiliului (JO C, C/2025/2246, 29.4.2025, ELI: </w:t>
      </w:r>
      <w:hyperlink r:id="rId12" w:tooltip="Oferă acces la acest document prin identificatorul său uniform de resurse ELI." w:history="1">
        <w:r w:rsidR="000E4567" w:rsidRPr="000E5F12">
          <w:rPr>
            <w:rStyle w:val="Hyperlink"/>
            <w:sz w:val="24"/>
            <w:lang w:val="ro-RO"/>
          </w:rPr>
          <w:t>http://data.europa.eu/eli/C/2025/2246/oj</w:t>
        </w:r>
      </w:hyperlink>
      <w:r w:rsidR="000E4567" w:rsidRPr="000E5F12">
        <w:rPr>
          <w:sz w:val="24"/>
          <w:lang w:val="ro-RO"/>
        </w:rPr>
        <w:t>).</w:t>
      </w:r>
    </w:p>
    <w:p w14:paraId="14417A94" w14:textId="6628A8D1" w:rsidR="000E4567" w:rsidRPr="000E5F12" w:rsidRDefault="000E5F12" w:rsidP="000E5F12">
      <w:pPr>
        <w:pStyle w:val="FootnoteText"/>
        <w:ind w:left="567" w:hanging="567"/>
        <w:rPr>
          <w:sz w:val="24"/>
          <w:vertAlign w:val="superscript"/>
          <w:lang w:val="ro-RO"/>
        </w:rPr>
      </w:pPr>
      <w:r w:rsidRPr="000E5F12">
        <w:rPr>
          <w:sz w:val="24"/>
          <w:lang w:val="ro-RO"/>
        </w:rPr>
        <w:t xml:space="preserve"> </w:t>
      </w:r>
      <w:r w:rsidRPr="000E5F12">
        <w:rPr>
          <w:sz w:val="24"/>
          <w:lang w:val="ro-RO"/>
        </w:rPr>
        <w:tab/>
      </w:r>
      <w:r w:rsidR="000E4567" w:rsidRPr="000E5F12">
        <w:rPr>
          <w:sz w:val="24"/>
          <w:lang w:val="ro-RO"/>
        </w:rPr>
        <w:t>–</w:t>
      </w:r>
      <w:r w:rsidR="000E4567" w:rsidRPr="000E5F12">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tooltip="Oferă acces la acest document prin identificatorul său uniform de resurse ELI." w:history="1">
        <w:r w:rsidR="000E4567" w:rsidRPr="000E5F12">
          <w:rPr>
            <w:rStyle w:val="Hyperlink"/>
            <w:sz w:val="24"/>
            <w:lang w:val="ro-RO"/>
          </w:rPr>
          <w:t>http://data.europa.eu/eli/C/2025/2247/oj</w:t>
        </w:r>
      </w:hyperlink>
      <w:r w:rsidR="000E4567" w:rsidRPr="000E5F12">
        <w:rPr>
          <w:sz w:val="24"/>
          <w:lang w:val="ro-RO"/>
        </w:rPr>
        <w:t>).</w:t>
      </w:r>
    </w:p>
    <w:p w14:paraId="2F0833D8" w14:textId="40E14C31" w:rsidR="000E4567" w:rsidRPr="000E5F12" w:rsidRDefault="000E5F12" w:rsidP="000E5F12">
      <w:pPr>
        <w:pStyle w:val="FootnoteText"/>
        <w:ind w:left="567" w:hanging="567"/>
        <w:rPr>
          <w:sz w:val="24"/>
          <w:vertAlign w:val="superscript"/>
          <w:lang w:val="ro-RO"/>
        </w:rPr>
      </w:pPr>
      <w:r w:rsidRPr="000E5F12">
        <w:rPr>
          <w:sz w:val="24"/>
          <w:lang w:val="ro-RO"/>
        </w:rPr>
        <w:t xml:space="preserve"> </w:t>
      </w:r>
      <w:r w:rsidRPr="000E5F12">
        <w:rPr>
          <w:sz w:val="24"/>
          <w:lang w:val="ro-RO"/>
        </w:rPr>
        <w:tab/>
      </w:r>
      <w:r w:rsidR="000E4567" w:rsidRPr="000E5F12">
        <w:rPr>
          <w:sz w:val="24"/>
          <w:lang w:val="ro-RO"/>
        </w:rPr>
        <w:t>–</w:t>
      </w:r>
      <w:r w:rsidR="000E4567" w:rsidRPr="000E5F12">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p>
    <w:p w14:paraId="68B9A229" w14:textId="1E34CDB8" w:rsidR="000E4567" w:rsidRPr="000E5F12" w:rsidRDefault="000E5F12" w:rsidP="000E5F12">
      <w:pPr>
        <w:pStyle w:val="FootnoteText"/>
        <w:ind w:left="567" w:hanging="567"/>
        <w:rPr>
          <w:sz w:val="24"/>
          <w:lang w:val="ro-RO"/>
        </w:rPr>
      </w:pPr>
      <w:r w:rsidRPr="000E5F12">
        <w:rPr>
          <w:sz w:val="24"/>
          <w:lang w:val="ro-RO"/>
        </w:rPr>
        <w:t xml:space="preserve"> </w:t>
      </w:r>
      <w:r w:rsidRPr="000E5F12">
        <w:rPr>
          <w:sz w:val="24"/>
          <w:lang w:val="ro-RO"/>
        </w:rPr>
        <w:tab/>
      </w:r>
      <w:r w:rsidR="000E4567" w:rsidRPr="000E5F12">
        <w:rPr>
          <w:sz w:val="24"/>
          <w:lang w:val="ro-RO"/>
        </w:rPr>
        <w:t>–</w:t>
      </w:r>
      <w:r w:rsidR="000E4567" w:rsidRPr="000E5F12">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(P10_TA(2025)0222).</w:t>
      </w:r>
    </w:p>
  </w:footnote>
  <w:footnote w:id="5">
    <w:p w14:paraId="348EDDAE" w14:textId="2A51269F" w:rsidR="000E4567" w:rsidRPr="000E5F12" w:rsidRDefault="000E4567" w:rsidP="000E5F12">
      <w:pPr>
        <w:pStyle w:val="FootnoteText"/>
        <w:ind w:left="567" w:hanging="567"/>
        <w:rPr>
          <w:sz w:val="24"/>
          <w:lang w:val="ro-RO"/>
        </w:rPr>
      </w:pPr>
      <w:r w:rsidRPr="000E5F12">
        <w:rPr>
          <w:rStyle w:val="FootnoteReference"/>
          <w:sz w:val="24"/>
          <w:lang w:val="ro-RO"/>
        </w:rPr>
        <w:footnoteRef/>
      </w:r>
      <w:r w:rsidR="000E5F12" w:rsidRPr="000E5F12">
        <w:rPr>
          <w:sz w:val="24"/>
          <w:lang w:val="ro-RO"/>
        </w:rPr>
        <w:t xml:space="preserve"> </w:t>
      </w:r>
      <w:r w:rsidR="000E5F12" w:rsidRPr="000E5F12">
        <w:rPr>
          <w:sz w:val="24"/>
          <w:lang w:val="ro-RO"/>
        </w:rPr>
        <w:tab/>
      </w:r>
      <w:r w:rsidRPr="000E5F12">
        <w:rPr>
          <w:sz w:val="24"/>
          <w:lang w:val="ro-RO"/>
        </w:rPr>
        <w:t>A se vedea, de exemplu:</w:t>
      </w:r>
      <w:r w:rsidRPr="000E5F12">
        <w:rPr>
          <w:sz w:val="24"/>
          <w:lang w:val="ro-RO"/>
        </w:rPr>
        <w:br/>
      </w:r>
      <w:hyperlink r:id="rId14" w:history="1">
        <w:r w:rsidRPr="000E5F12">
          <w:rPr>
            <w:rStyle w:val="Hyperlink"/>
            <w:sz w:val="24"/>
            <w:lang w:val="ro-RO"/>
          </w:rPr>
          <w:t>https://www.sciencedirect.com/science/article/pii/S1383574218300887</w:t>
        </w:r>
      </w:hyperlink>
      <w:r w:rsidRPr="000E5F12">
        <w:rPr>
          <w:sz w:val="24"/>
          <w:lang w:val="ro-RO"/>
        </w:rPr>
        <w:t>,</w:t>
      </w:r>
      <w:r w:rsidRPr="000E5F12">
        <w:rPr>
          <w:sz w:val="24"/>
          <w:lang w:val="ro-RO"/>
        </w:rPr>
        <w:br/>
      </w:r>
      <w:hyperlink r:id="rId15" w:history="1">
        <w:r w:rsidRPr="000E5F12">
          <w:rPr>
            <w:rStyle w:val="Hyperlink"/>
            <w:sz w:val="24"/>
            <w:lang w:val="ro-RO"/>
          </w:rPr>
          <w:t>https://academic.oup.com/ije/advance-article/doi/10.1093/ije/dyz017/5382278</w:t>
        </w:r>
      </w:hyperlink>
      <w:r w:rsidRPr="000E5F12">
        <w:rPr>
          <w:sz w:val="24"/>
          <w:lang w:val="ro-RO"/>
        </w:rPr>
        <w:t>,</w:t>
      </w:r>
      <w:r w:rsidRPr="000E5F12">
        <w:rPr>
          <w:sz w:val="24"/>
          <w:lang w:val="ro-RO"/>
        </w:rPr>
        <w:br/>
      </w:r>
      <w:hyperlink r:id="rId16" w:history="1">
        <w:r w:rsidRPr="000E5F12">
          <w:rPr>
            <w:rStyle w:val="Hyperlink"/>
            <w:sz w:val="24"/>
            <w:lang w:val="ro-RO"/>
          </w:rPr>
          <w:t>https://journals.plos.org/plosone/article?id=10.1371/journal.pone.0219610</w:t>
        </w:r>
      </w:hyperlink>
      <w:r w:rsidRPr="000E5F12">
        <w:rPr>
          <w:sz w:val="24"/>
          <w:lang w:val="ro-RO"/>
        </w:rPr>
        <w:t xml:space="preserve"> </w:t>
      </w:r>
      <w:r w:rsidR="0086388E">
        <w:rPr>
          <w:sz w:val="24"/>
          <w:lang w:val="ro-RO"/>
        </w:rPr>
        <w:t>și</w:t>
      </w:r>
      <w:r w:rsidRPr="000E5F12">
        <w:rPr>
          <w:sz w:val="24"/>
          <w:lang w:val="ro-RO"/>
        </w:rPr>
        <w:br/>
      </w:r>
      <w:hyperlink r:id="rId17" w:history="1">
        <w:r w:rsidRPr="000E5F12">
          <w:rPr>
            <w:rStyle w:val="Hyperlink"/>
            <w:sz w:val="24"/>
            <w:lang w:val="ro-RO"/>
          </w:rPr>
          <w:t>https://www.ncbi.nlm.nih.gov/pmc/articles/PMC6612199/</w:t>
        </w:r>
      </w:hyperlink>
      <w:r w:rsidRPr="000E5F12">
        <w:rPr>
          <w:sz w:val="24"/>
          <w:lang w:val="ro-RO"/>
        </w:rPr>
        <w:t>.</w:t>
      </w:r>
    </w:p>
  </w:footnote>
  <w:footnote w:id="6">
    <w:p w14:paraId="67DB2D6E" w14:textId="754E04F4" w:rsidR="000E4567" w:rsidRPr="000E5F12" w:rsidRDefault="000E4567" w:rsidP="000E5F12">
      <w:pPr>
        <w:pStyle w:val="FootnoteText"/>
        <w:ind w:left="567" w:hanging="567"/>
        <w:rPr>
          <w:sz w:val="24"/>
          <w:lang w:val="ro-RO"/>
        </w:rPr>
      </w:pPr>
      <w:r w:rsidRPr="000E5F12">
        <w:rPr>
          <w:rStyle w:val="FootnoteReference"/>
          <w:sz w:val="24"/>
          <w:lang w:val="ro-RO"/>
        </w:rPr>
        <w:footnoteRef/>
      </w:r>
      <w:r w:rsidR="000E5F12" w:rsidRPr="000E5F12">
        <w:rPr>
          <w:sz w:val="24"/>
          <w:lang w:val="ro-RO"/>
        </w:rPr>
        <w:t xml:space="preserve"> </w:t>
      </w:r>
      <w:r w:rsidR="000E5F12" w:rsidRPr="000E5F12">
        <w:rPr>
          <w:sz w:val="24"/>
          <w:lang w:val="ro-RO"/>
        </w:rPr>
        <w:tab/>
      </w:r>
      <w:r w:rsidRPr="000E5F12">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18" w:tgtFrame="Gives%20access%20to%20this%20document%20through%20its%20ELI%20URI." w:history="1">
        <w:r w:rsidRPr="000E5F12">
          <w:rPr>
            <w:rStyle w:val="Hyperlink"/>
            <w:sz w:val="24"/>
            <w:lang w:val="ro-RO"/>
          </w:rPr>
          <w:t>http://data.europa.eu/eli/reg/2002/178/oj</w:t>
        </w:r>
      </w:hyperlink>
      <w:r w:rsidRPr="000E5F1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AE6D" w14:textId="77777777" w:rsidR="00064002" w:rsidRPr="000E5F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3ACD" w14:textId="77777777" w:rsidR="00064002" w:rsidRPr="000E5F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F5D1F" w14:textId="77777777" w:rsidR="00064002" w:rsidRPr="000E5F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622656">
    <w:abstractNumId w:val="9"/>
  </w:num>
  <w:num w:numId="2" w16cid:durableId="678119806">
    <w:abstractNumId w:val="9"/>
  </w:num>
  <w:num w:numId="3" w16cid:durableId="2144498739">
    <w:abstractNumId w:val="7"/>
  </w:num>
  <w:num w:numId="4" w16cid:durableId="334266081">
    <w:abstractNumId w:val="7"/>
  </w:num>
  <w:num w:numId="5" w16cid:durableId="284045869">
    <w:abstractNumId w:val="6"/>
  </w:num>
  <w:num w:numId="6" w16cid:durableId="1700200544">
    <w:abstractNumId w:val="6"/>
  </w:num>
  <w:num w:numId="7" w16cid:durableId="1362048333">
    <w:abstractNumId w:val="5"/>
  </w:num>
  <w:num w:numId="8" w16cid:durableId="1405489494">
    <w:abstractNumId w:val="5"/>
  </w:num>
  <w:num w:numId="9" w16cid:durableId="1395930049">
    <w:abstractNumId w:val="4"/>
  </w:num>
  <w:num w:numId="10" w16cid:durableId="680592653">
    <w:abstractNumId w:val="4"/>
  </w:num>
  <w:num w:numId="11" w16cid:durableId="1195850003">
    <w:abstractNumId w:val="8"/>
  </w:num>
  <w:num w:numId="12" w16cid:durableId="691348306">
    <w:abstractNumId w:val="8"/>
  </w:num>
  <w:num w:numId="13" w16cid:durableId="470950691">
    <w:abstractNumId w:val="3"/>
  </w:num>
  <w:num w:numId="14" w16cid:durableId="1116097583">
    <w:abstractNumId w:val="3"/>
  </w:num>
  <w:num w:numId="15" w16cid:durableId="280959184">
    <w:abstractNumId w:val="2"/>
  </w:num>
  <w:num w:numId="16" w16cid:durableId="2101559145">
    <w:abstractNumId w:val="2"/>
  </w:num>
  <w:num w:numId="17" w16cid:durableId="1646548528">
    <w:abstractNumId w:val="1"/>
  </w:num>
  <w:num w:numId="18" w16cid:durableId="729621454">
    <w:abstractNumId w:val="1"/>
  </w:num>
  <w:num w:numId="19" w16cid:durableId="825165715">
    <w:abstractNumId w:val="0"/>
  </w:num>
  <w:num w:numId="20" w16cid:durableId="470439629">
    <w:abstractNumId w:val="0"/>
  </w:num>
  <w:num w:numId="21" w16cid:durableId="1936553156">
    <w:abstractNumId w:val="9"/>
  </w:num>
  <w:num w:numId="22" w16cid:durableId="1420633510">
    <w:abstractNumId w:val="7"/>
  </w:num>
  <w:num w:numId="23" w16cid:durableId="1583952407">
    <w:abstractNumId w:val="6"/>
  </w:num>
  <w:num w:numId="24" w16cid:durableId="1304433073">
    <w:abstractNumId w:val="5"/>
  </w:num>
  <w:num w:numId="25" w16cid:durableId="303120329">
    <w:abstractNumId w:val="4"/>
  </w:num>
  <w:num w:numId="26" w16cid:durableId="1151412506">
    <w:abstractNumId w:val="8"/>
  </w:num>
  <w:num w:numId="27" w16cid:durableId="541401077">
    <w:abstractNumId w:val="3"/>
  </w:num>
  <w:num w:numId="28" w16cid:durableId="132722629">
    <w:abstractNumId w:val="2"/>
  </w:num>
  <w:num w:numId="29" w16cid:durableId="1035351775">
    <w:abstractNumId w:val="1"/>
  </w:num>
  <w:num w:numId="30" w16cid:durableId="353463195">
    <w:abstractNumId w:val="0"/>
  </w:num>
  <w:num w:numId="31" w16cid:durableId="1246842780">
    <w:abstractNumId w:val="9"/>
  </w:num>
  <w:num w:numId="32" w16cid:durableId="1769153703">
    <w:abstractNumId w:val="7"/>
  </w:num>
  <w:num w:numId="33" w16cid:durableId="1041445606">
    <w:abstractNumId w:val="6"/>
  </w:num>
  <w:num w:numId="34" w16cid:durableId="1107964485">
    <w:abstractNumId w:val="5"/>
  </w:num>
  <w:num w:numId="35" w16cid:durableId="1308122775">
    <w:abstractNumId w:val="4"/>
  </w:num>
  <w:num w:numId="36" w16cid:durableId="1741519805">
    <w:abstractNumId w:val="8"/>
  </w:num>
  <w:num w:numId="37" w16cid:durableId="968439776">
    <w:abstractNumId w:val="3"/>
  </w:num>
  <w:num w:numId="38" w16cid:durableId="21443353">
    <w:abstractNumId w:val="2"/>
  </w:num>
  <w:num w:numId="39" w16cid:durableId="2038040425">
    <w:abstractNumId w:val="1"/>
  </w:num>
  <w:num w:numId="40" w16cid:durableId="777216147">
    <w:abstractNumId w:val="0"/>
  </w:num>
  <w:num w:numId="41" w16cid:durableId="1548954414">
    <w:abstractNumId w:val="10"/>
  </w:num>
  <w:num w:numId="42" w16cid:durableId="1506214564">
    <w:abstractNumId w:val="10"/>
  </w:num>
  <w:num w:numId="43" w16cid:durableId="1614708478">
    <w:abstractNumId w:val="10"/>
  </w:num>
  <w:num w:numId="44" w16cid:durableId="1754889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RO"/>
    <w:docVar w:name="dvnumam" w:val="0"/>
    <w:docVar w:name="dvpe" w:val="778.111"/>
    <w:docVar w:name="dvtitre" w:val="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D109630/01 – 2025/2893(RSP))"/>
  </w:docVars>
  <w:rsids>
    <w:rsidRoot w:val="00AA01A7"/>
    <w:rsid w:val="00002272"/>
    <w:rsid w:val="00064002"/>
    <w:rsid w:val="000677B9"/>
    <w:rsid w:val="000831BA"/>
    <w:rsid w:val="000A42CC"/>
    <w:rsid w:val="000E4567"/>
    <w:rsid w:val="000E5F12"/>
    <w:rsid w:val="000E7DD9"/>
    <w:rsid w:val="0010095E"/>
    <w:rsid w:val="00125B37"/>
    <w:rsid w:val="00187494"/>
    <w:rsid w:val="001F32AE"/>
    <w:rsid w:val="002767FF"/>
    <w:rsid w:val="002B18FE"/>
    <w:rsid w:val="002B5493"/>
    <w:rsid w:val="00343214"/>
    <w:rsid w:val="00361C00"/>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88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1A7"/>
    <w:rsid w:val="00AB441E"/>
    <w:rsid w:val="00AB6293"/>
    <w:rsid w:val="00AE0928"/>
    <w:rsid w:val="00AF3B82"/>
    <w:rsid w:val="00B12E95"/>
    <w:rsid w:val="00B22876"/>
    <w:rsid w:val="00B31D2B"/>
    <w:rsid w:val="00B558F0"/>
    <w:rsid w:val="00BB1E8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0D381"/>
  <w15:chartTrackingRefBased/>
  <w15:docId w15:val="{8DFD31B9-D33B-41E2-802E-D3A1C705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0E4567"/>
    <w:pPr>
      <w:spacing w:before="480" w:after="240"/>
    </w:pPr>
  </w:style>
  <w:style w:type="paragraph" w:customStyle="1" w:styleId="NormalBold12a">
    <w:name w:val="NormalBold12a"/>
    <w:basedOn w:val="Normal"/>
    <w:qFormat/>
    <w:rsid w:val="000E4567"/>
    <w:pPr>
      <w:spacing w:after="240"/>
    </w:pPr>
    <w:rPr>
      <w:b/>
    </w:rPr>
  </w:style>
  <w:style w:type="paragraph" w:customStyle="1" w:styleId="NormalHanging12a">
    <w:name w:val="NormalHanging12a"/>
    <w:basedOn w:val="Normal"/>
    <w:qFormat/>
    <w:rsid w:val="000E4567"/>
    <w:pPr>
      <w:spacing w:after="240"/>
      <w:ind w:left="567" w:hanging="567"/>
    </w:pPr>
  </w:style>
  <w:style w:type="character" w:styleId="Hyperlink">
    <w:name w:val="Hyperlink"/>
    <w:basedOn w:val="DefaultParagraphFont"/>
    <w:uiPriority w:val="99"/>
    <w:rsid w:val="000E4567"/>
    <w:rPr>
      <w:color w:val="0563C1" w:themeColor="hyperlink"/>
      <w:u w:val="single"/>
    </w:rPr>
  </w:style>
  <w:style w:type="character" w:customStyle="1" w:styleId="Funotenzeichen">
    <w:name w:val="Fußnotenzeichen"/>
    <w:basedOn w:val="DefaultParagraphFont"/>
    <w:qFormat/>
    <w:rsid w:val="000E4567"/>
    <w:rPr>
      <w:vertAlign w:val="superscript"/>
    </w:rPr>
  </w:style>
  <w:style w:type="paragraph" w:styleId="Revision">
    <w:name w:val="Revision"/>
    <w:hidden/>
    <w:uiPriority w:val="99"/>
    <w:semiHidden/>
    <w:rsid w:val="0086388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2025-11-25T13:30:00Z</dcterms:created>
  <dcterms:modified xsi:type="dcterms:W3CDTF">2025-11-25T13:30:00Z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B10-0489/2025</vt:lpwstr>
  </property>
  <property fmtid="{D5CDD505-2E9C-101B-9397-08002B2CF9AE}" pid="4" name="&lt;Type&gt;">
    <vt:lpwstr>RR</vt:lpwstr>
  </property>
</Properties>
</file>