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6EDD" w14:paraId="7253B2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94849C" w14:textId="77777777" w:rsidR="00751A4A" w:rsidRPr="00A76EDD" w:rsidRDefault="00C34CF3" w:rsidP="0010095E">
            <w:pPr>
              <w:pStyle w:val="EPName"/>
            </w:pPr>
            <w:r w:rsidRPr="00A76EDD">
              <w:t>Evropski parlament</w:t>
            </w:r>
          </w:p>
          <w:p w14:paraId="0BB06031" w14:textId="77777777" w:rsidR="00751A4A" w:rsidRPr="00A76E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6EDD">
              <w:t>2024</w:t>
            </w:r>
            <w:r w:rsidR="00817416" w:rsidRPr="00A76EDD">
              <w:t>-202</w:t>
            </w:r>
            <w:r w:rsidRPr="00A76EDD">
              <w:t>9</w:t>
            </w:r>
          </w:p>
        </w:tc>
        <w:tc>
          <w:tcPr>
            <w:tcW w:w="2268" w:type="dxa"/>
            <w:shd w:val="clear" w:color="auto" w:fill="auto"/>
          </w:tcPr>
          <w:p w14:paraId="0866FF10" w14:textId="77777777" w:rsidR="00751A4A" w:rsidRPr="00A76EDD" w:rsidRDefault="00187494" w:rsidP="0010095E">
            <w:pPr>
              <w:pStyle w:val="EPLogo"/>
            </w:pPr>
            <w:r w:rsidRPr="00A76EDD">
              <w:rPr>
                <w:noProof/>
                <w:lang w:eastAsia="ja-JP"/>
              </w:rPr>
              <w:drawing>
                <wp:inline distT="0" distB="0" distL="0" distR="0" wp14:anchorId="0612236C" wp14:editId="00E5A1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ECE5C2" w14:textId="77777777" w:rsidR="00D058B8" w:rsidRPr="00A76EDD" w:rsidRDefault="00D058B8" w:rsidP="004C5D52">
      <w:pPr>
        <w:pStyle w:val="LineTop"/>
      </w:pPr>
    </w:p>
    <w:p w14:paraId="0E370198" w14:textId="77777777" w:rsidR="00680577" w:rsidRPr="00A76EDD" w:rsidRDefault="00C34CF3" w:rsidP="00680577">
      <w:pPr>
        <w:pStyle w:val="EPBodyTA1"/>
      </w:pPr>
      <w:r w:rsidRPr="00A76EDD">
        <w:t>SPREJETA BESEDILA</w:t>
      </w:r>
    </w:p>
    <w:p w14:paraId="6F44EDF2" w14:textId="77777777" w:rsidR="00D058B8" w:rsidRPr="00A76EDD" w:rsidRDefault="00D058B8" w:rsidP="00D058B8">
      <w:pPr>
        <w:pStyle w:val="LineBottom"/>
      </w:pPr>
    </w:p>
    <w:p w14:paraId="426952ED" w14:textId="077D9FB0" w:rsidR="00C34CF3" w:rsidRPr="00A76EDD" w:rsidRDefault="00C34CF3" w:rsidP="00C34CF3">
      <w:pPr>
        <w:pStyle w:val="ATHeading1"/>
      </w:pPr>
      <w:bookmarkStart w:id="0" w:name="TANumber"/>
      <w:r w:rsidRPr="00A76EDD">
        <w:t>P10_TA(2025)</w:t>
      </w:r>
      <w:bookmarkEnd w:id="0"/>
      <w:r w:rsidR="00815AB1">
        <w:t>0288</w:t>
      </w:r>
    </w:p>
    <w:p w14:paraId="5D9F2B3B" w14:textId="23A42323" w:rsidR="00C34CF3" w:rsidRPr="00A76EDD" w:rsidRDefault="009F3C70" w:rsidP="00C34CF3">
      <w:pPr>
        <w:pStyle w:val="ATHeading2"/>
      </w:pPr>
      <w:r>
        <w:t>G</w:t>
      </w:r>
      <w:r w:rsidR="000D3D5B" w:rsidRPr="000D3D5B">
        <w:t xml:space="preserve">ensko spremenjena koruza </w:t>
      </w:r>
      <w:r w:rsidR="000D3D5B" w:rsidRPr="00A76EDD">
        <w:t>DAS1131</w:t>
      </w:r>
    </w:p>
    <w:p w14:paraId="3E4A6E2B" w14:textId="77777777" w:rsidR="00C34CF3" w:rsidRPr="00A76EDD" w:rsidRDefault="00C34CF3" w:rsidP="00C34CF3">
      <w:pPr>
        <w:rPr>
          <w:i/>
          <w:vanish/>
        </w:rPr>
      </w:pPr>
      <w:r w:rsidRPr="00A76EDD">
        <w:rPr>
          <w:i/>
        </w:rPr>
        <w:fldChar w:fldCharType="begin"/>
      </w:r>
      <w:r w:rsidRPr="00A76EDD">
        <w:rPr>
          <w:i/>
        </w:rPr>
        <w:instrText xml:space="preserve"> TC"(</w:instrText>
      </w:r>
      <w:bookmarkStart w:id="1" w:name="DocNumber"/>
      <w:r w:rsidRPr="00A76EDD">
        <w:rPr>
          <w:i/>
        </w:rPr>
        <w:instrText>B10-0489/2025</w:instrText>
      </w:r>
      <w:bookmarkEnd w:id="1"/>
      <w:r w:rsidRPr="00A76EDD">
        <w:rPr>
          <w:i/>
        </w:rPr>
        <w:instrText xml:space="preserve">)"\l3 \n&gt; \* MERGEFORMAT </w:instrText>
      </w:r>
      <w:r w:rsidRPr="00A76EDD">
        <w:rPr>
          <w:i/>
        </w:rPr>
        <w:fldChar w:fldCharType="end"/>
      </w:r>
    </w:p>
    <w:p w14:paraId="48714B80" w14:textId="77777777" w:rsidR="00C34CF3" w:rsidRPr="00A76EDD" w:rsidRDefault="00C34CF3" w:rsidP="00C34CF3">
      <w:pPr>
        <w:rPr>
          <w:vanish/>
        </w:rPr>
      </w:pPr>
      <w:bookmarkStart w:id="2" w:name="PE"/>
      <w:r w:rsidRPr="00A76EDD">
        <w:rPr>
          <w:vanish/>
        </w:rPr>
        <w:t>PE778.111</w:t>
      </w:r>
      <w:bookmarkEnd w:id="2"/>
    </w:p>
    <w:p w14:paraId="3D6A4C36" w14:textId="4067192E" w:rsidR="00C34CF3" w:rsidRPr="00A76EDD" w:rsidRDefault="00C34CF3" w:rsidP="00C34CF3">
      <w:pPr>
        <w:pStyle w:val="ATHeading3"/>
      </w:pPr>
      <w:bookmarkStart w:id="3" w:name="Sujet"/>
      <w:r w:rsidRPr="00A76EDD">
        <w:t xml:space="preserve">Resolucija Evropskega parlamenta z dne </w:t>
      </w:r>
      <w:r w:rsidR="000C7CBF">
        <w:t>25.</w:t>
      </w:r>
      <w:r w:rsidR="000C7CBF" w:rsidRPr="00A76EDD">
        <w:t xml:space="preserve"> </w:t>
      </w:r>
      <w:r w:rsidR="000D3D5B" w:rsidRPr="000D3D5B">
        <w:t xml:space="preserve">novembra </w:t>
      </w:r>
      <w:r w:rsidRPr="00A76EDD">
        <w:t>2025 o osnutku izvedbenega sklepa Komisije o odobritvi dajanja na trg proizvodov, ki vsebujejo gensko spremenjeno koruzo DAS1131, so iz nje sestavljeni ali proizvedeni, v skladu z Uredbo (ES) št.</w:t>
      </w:r>
      <w:r w:rsidR="000C7CBF">
        <w:t> </w:t>
      </w:r>
      <w:r w:rsidRPr="00A76EDD">
        <w:t>1829/2003 Evropskega parlamenta in Sveta</w:t>
      </w:r>
      <w:bookmarkEnd w:id="3"/>
      <w:r w:rsidRPr="00A76EDD">
        <w:t xml:space="preserve"> </w:t>
      </w:r>
      <w:bookmarkStart w:id="4" w:name="References"/>
      <w:r w:rsidRPr="00A76EDD">
        <w:t>(D109630/01 – 2025/2893(RSP))</w:t>
      </w:r>
      <w:bookmarkEnd w:id="4"/>
    </w:p>
    <w:p w14:paraId="65EA027C" w14:textId="77777777" w:rsidR="00A23D9A" w:rsidRPr="00A76EDD" w:rsidRDefault="00A23D9A" w:rsidP="00A23D9A">
      <w:pPr>
        <w:pStyle w:val="EPComma"/>
      </w:pPr>
      <w:bookmarkStart w:id="5" w:name="TextBodyBegin"/>
      <w:bookmarkEnd w:id="5"/>
      <w:r w:rsidRPr="00A76EDD">
        <w:rPr>
          <w:i/>
          <w:iCs/>
        </w:rPr>
        <w:t>Evropski parlament</w:t>
      </w:r>
      <w:r w:rsidRPr="00A76EDD">
        <w:t>,</w:t>
      </w:r>
    </w:p>
    <w:p w14:paraId="5D6E4043" w14:textId="77777777" w:rsidR="00A23D9A" w:rsidRPr="00A76EDD" w:rsidRDefault="00A23D9A" w:rsidP="00A23D9A">
      <w:pPr>
        <w:pStyle w:val="NormalHanging12a"/>
      </w:pPr>
      <w:r w:rsidRPr="00A76EDD">
        <w:t>–</w:t>
      </w:r>
      <w:r w:rsidRPr="00A76EDD">
        <w:tab/>
        <w:t>ob upoštevanju osnutka izvedbenega sklepa Komisije o odobritvi dajanja proizvodov, ki vsebujejo gensko spremenjeno koruzo DAS1131, so iz nje sestavljeni ali proizvedeni, na trg v skladu z Uredbo (ES) št. 1829/2003 Evropskega parlamenta in Sveta (D109630/01),</w:t>
      </w:r>
    </w:p>
    <w:p w14:paraId="69A435C9" w14:textId="77777777" w:rsidR="00A23D9A" w:rsidRPr="00A76EDD" w:rsidRDefault="00A23D9A" w:rsidP="00A23D9A">
      <w:pPr>
        <w:pStyle w:val="NormalHanging12a"/>
      </w:pPr>
      <w:r w:rsidRPr="00A76EDD">
        <w:t>–</w:t>
      </w:r>
      <w:r w:rsidRPr="00A76EDD">
        <w:tab/>
        <w:t>ob upoštevanju Uredbe (ES) št. 1829/2003 Evropskega parlamenta in Sveta z dne 22. septembra 2003 o gensko spremenjenih živilih in krmi</w:t>
      </w:r>
      <w:r w:rsidRPr="00A76EDD">
        <w:rPr>
          <w:rStyle w:val="FootnoteReference"/>
        </w:rPr>
        <w:footnoteReference w:id="1"/>
      </w:r>
      <w:r w:rsidRPr="00A76EDD">
        <w:t>, zlasti člena 7(3) in člena 19(3),</w:t>
      </w:r>
    </w:p>
    <w:p w14:paraId="5BB04BFD" w14:textId="0A587DE1" w:rsidR="00A23D9A" w:rsidRPr="00A76EDD" w:rsidRDefault="00A23D9A" w:rsidP="00A23D9A">
      <w:pPr>
        <w:pStyle w:val="NormalHanging12a"/>
      </w:pPr>
      <w:r w:rsidRPr="00A76EDD">
        <w:t>–</w:t>
      </w:r>
      <w:r w:rsidRPr="00A76EDD">
        <w:tab/>
        <w:t>ob upoštevanju glasovanja Stalnega odbora za rastline, živali, hrano in krmo iz člena 35 Uredbe (ES) št. 1829/2003, ki je potekalo 15. septembra 202</w:t>
      </w:r>
      <w:r w:rsidR="002C323E">
        <w:t>5</w:t>
      </w:r>
      <w:r w:rsidRPr="00A76EDD">
        <w:t xml:space="preserve"> in pri katerem ni bilo sprejeto mnenje</w:t>
      </w:r>
      <w:proofErr w:type="gramStart"/>
      <w:r w:rsidRPr="00A76EDD">
        <w:t>,</w:t>
      </w:r>
      <w:proofErr w:type="gramEnd"/>
      <w:r w:rsidR="000C7CBF">
        <w:t xml:space="preserve"> </w:t>
      </w:r>
      <w:r w:rsidR="000C7CBF" w:rsidRPr="000C7CBF">
        <w:t xml:space="preserve">ter glasovanja v odboru za pritožbe </w:t>
      </w:r>
      <w:r w:rsidR="000C7CBF">
        <w:t>21</w:t>
      </w:r>
      <w:r w:rsidR="000C7CBF" w:rsidRPr="000C7CBF">
        <w:t xml:space="preserve">. </w:t>
      </w:r>
      <w:r w:rsidR="000C7CBF">
        <w:t>oktobra</w:t>
      </w:r>
      <w:r w:rsidR="000C7CBF" w:rsidRPr="000C7CBF">
        <w:t xml:space="preserve"> 202</w:t>
      </w:r>
      <w:r w:rsidR="000C7CBF">
        <w:t>5</w:t>
      </w:r>
      <w:r w:rsidR="000C7CBF" w:rsidRPr="000C7CBF">
        <w:t>, na podlagi katerega mnenje prav tako ni bilo podano</w:t>
      </w:r>
      <w:r w:rsidR="000C7CBF" w:rsidRPr="00D27704">
        <w:t>,</w:t>
      </w:r>
    </w:p>
    <w:p w14:paraId="15601F4D" w14:textId="77777777" w:rsidR="00A23D9A" w:rsidRPr="00A76EDD" w:rsidRDefault="00A23D9A" w:rsidP="00A23D9A">
      <w:pPr>
        <w:pStyle w:val="NormalHanging12a"/>
        <w:widowControl/>
        <w:rPr>
          <w:szCs w:val="24"/>
        </w:rPr>
      </w:pPr>
      <w:r w:rsidRPr="00A76EDD">
        <w:t>–</w:t>
      </w:r>
      <w:r w:rsidRPr="00A76EDD">
        <w:tab/>
        <w:t>ob upoštevanju člena 11 Uredbe (EU) št. 182/2011 Evropskega parlamenta in Sveta z dne 16. februarja 2011 o določitvi splošnih pravil in načel, na podlagi katerih države članice nadzirajo izvajanje izvedbenih pooblastil Komisije</w:t>
      </w:r>
      <w:bookmarkStart w:id="6" w:name="_Hlk210662860"/>
      <w:r w:rsidRPr="00A76EDD">
        <w:rPr>
          <w:rStyle w:val="FootnoteReference"/>
          <w:szCs w:val="24"/>
        </w:rPr>
        <w:footnoteReference w:id="2"/>
      </w:r>
      <w:bookmarkEnd w:id="6"/>
      <w:r w:rsidRPr="00A76EDD">
        <w:t>,</w:t>
      </w:r>
    </w:p>
    <w:p w14:paraId="239D8027" w14:textId="77777777" w:rsidR="00A23D9A" w:rsidRPr="00A76EDD" w:rsidRDefault="00A23D9A" w:rsidP="00A23D9A">
      <w:pPr>
        <w:pStyle w:val="NormalHanging12a"/>
        <w:widowControl/>
      </w:pPr>
      <w:bookmarkStart w:id="8" w:name="_Hlk210663128"/>
      <w:r w:rsidRPr="00A76EDD">
        <w:t>–</w:t>
      </w:r>
      <w:r w:rsidRPr="00A76EDD">
        <w:tab/>
        <w:t>ob upoštevanju mnenja, ki ga je Evropska agencija za varnost hrane (EFSA) sprejela 5. februarja 2025 in objavila 19. marca 2025</w:t>
      </w:r>
      <w:r w:rsidRPr="00A76EDD">
        <w:rPr>
          <w:rStyle w:val="FootnoteReference"/>
          <w:szCs w:val="24"/>
        </w:rPr>
        <w:footnoteReference w:id="3"/>
      </w:r>
      <w:r w:rsidRPr="00A76EDD">
        <w:t>,</w:t>
      </w:r>
    </w:p>
    <w:bookmarkEnd w:id="8"/>
    <w:p w14:paraId="6C4A0DF7" w14:textId="77777777" w:rsidR="00A23D9A" w:rsidRPr="00A76EDD" w:rsidRDefault="00A23D9A" w:rsidP="00A23D9A">
      <w:pPr>
        <w:pStyle w:val="NormalHanging12a"/>
      </w:pPr>
      <w:r w:rsidRPr="00A76EDD">
        <w:t xml:space="preserve">– </w:t>
      </w:r>
      <w:r w:rsidRPr="00A76EDD">
        <w:tab/>
        <w:t xml:space="preserve">ob upoštevanju svojih prejšnjih resolucij, s katerimi je nasprotoval odobritvi gensko </w:t>
      </w:r>
      <w:r w:rsidRPr="00A76EDD">
        <w:lastRenderedPageBreak/>
        <w:t>spremenjenih organizmov (GSO)</w:t>
      </w:r>
      <w:r w:rsidRPr="00A76EDD">
        <w:rPr>
          <w:rStyle w:val="FootnoteReference"/>
        </w:rPr>
        <w:footnoteReference w:id="4"/>
      </w:r>
      <w:r w:rsidRPr="00A76EDD">
        <w:t>,</w:t>
      </w:r>
    </w:p>
    <w:p w14:paraId="7006A69A" w14:textId="77777777" w:rsidR="00A23D9A" w:rsidRPr="00A76EDD" w:rsidRDefault="00A23D9A" w:rsidP="00A23D9A">
      <w:pPr>
        <w:pStyle w:val="NormalHanging12a"/>
      </w:pPr>
      <w:r w:rsidRPr="00A76EDD">
        <w:lastRenderedPageBreak/>
        <w:t>–</w:t>
      </w:r>
      <w:r w:rsidRPr="00A76EDD">
        <w:tab/>
        <w:t>ob upoštevanju člena 115(2) in (3) Poslovnika,</w:t>
      </w:r>
    </w:p>
    <w:p w14:paraId="4A32551C" w14:textId="77777777" w:rsidR="00A23D9A" w:rsidRPr="00A76EDD" w:rsidRDefault="00A23D9A" w:rsidP="00A23D9A">
      <w:pPr>
        <w:pStyle w:val="NormalHanging12a"/>
      </w:pPr>
      <w:r w:rsidRPr="00A76EDD">
        <w:t>–</w:t>
      </w:r>
      <w:r w:rsidRPr="00A76EDD">
        <w:tab/>
        <w:t>ob upoštevanju predloga resolucije Odbora za okolje, podnebje in varnost hrane,</w:t>
      </w:r>
    </w:p>
    <w:p w14:paraId="07F7F40F" w14:textId="36DB9863" w:rsidR="00A23D9A" w:rsidRPr="00A76EDD" w:rsidRDefault="00A23D9A" w:rsidP="00A23D9A">
      <w:pPr>
        <w:spacing w:after="240"/>
        <w:ind w:left="567" w:hanging="567"/>
      </w:pPr>
      <w:r w:rsidRPr="00A76EDD">
        <w:t>A.</w:t>
      </w:r>
      <w:r w:rsidRPr="00A76EDD">
        <w:tab/>
        <w:t>ke</w:t>
      </w:r>
      <w:r w:rsidR="00815AB1">
        <w:t>r</w:t>
      </w:r>
      <w:r w:rsidRPr="00A76EDD">
        <w:t xml:space="preserve"> je družba Corteva Agriscience Belgium B.V. s sedežem v Belgiji je </w:t>
      </w:r>
      <w:r w:rsidR="00957BDB">
        <w:t>1</w:t>
      </w:r>
      <w:r w:rsidRPr="00A76EDD">
        <w:t xml:space="preserve">7. junija 2022 v imenu družbe Corteva Agriscience LLC s sedežem v Združenih državah Amerike v skladu s členoma 5 in 17 Uredbe (ES) št. 1829/2003 </w:t>
      </w:r>
      <w:r w:rsidRPr="00A76EDD">
        <w:rPr>
          <w:snapToGrid w:val="0"/>
        </w:rPr>
        <w:t>pri pristojnem nacionalnem organu Nizozemske</w:t>
      </w:r>
      <w:r w:rsidRPr="00A76EDD">
        <w:t xml:space="preserve"> vložila vlogo za dajanje na trg živil, živilskih sestavin in krme, ki vsebujejo gensko spremenjeno koruzo DAS1131 (v nadaljnjem besedilu: gensko spremenjena koruza), so iz nje sestavljeni ali proizvedeni (v nadaljnjem besedilu: vloga); ker vloga zajema tudi dajanje na trg proizvodov, ki vsebujejo to gensko spremenjeno koruzo ali so iz nje sestavljeni ter se uporabljajo v druge namene kot za živila ali krmo, z izjemo gojenja;</w:t>
      </w:r>
    </w:p>
    <w:p w14:paraId="4E5A919B" w14:textId="77777777" w:rsidR="00A23D9A" w:rsidRPr="00A76EDD" w:rsidRDefault="00A23D9A" w:rsidP="00A23D9A">
      <w:pPr>
        <w:spacing w:after="240"/>
        <w:ind w:left="567" w:hanging="567"/>
      </w:pPr>
      <w:r w:rsidRPr="00A76EDD">
        <w:t>B.</w:t>
      </w:r>
      <w:r w:rsidRPr="00A76EDD">
        <w:tab/>
        <w:t>ker gensko spremenjena koruza proizvaja beljakovino Cry1Da2 za odpornost proti nekaterim škodljivcem iz reda Lepidoptera in beljakovino DGT-28 EPSPS za večjo odpornost proti herbicidu glifosat;</w:t>
      </w:r>
    </w:p>
    <w:p w14:paraId="0390BCF5" w14:textId="77777777" w:rsidR="00A23D9A" w:rsidRPr="00A76EDD" w:rsidRDefault="00A23D9A" w:rsidP="00A23D9A">
      <w:pPr>
        <w:spacing w:after="240"/>
        <w:ind w:left="567" w:hanging="567"/>
      </w:pPr>
      <w:bookmarkStart w:id="9" w:name="_Hlk210306900"/>
      <w:r w:rsidRPr="00A76EDD">
        <w:t>C.</w:t>
      </w:r>
      <w:r w:rsidRPr="00A76EDD">
        <w:tab/>
        <w:t>ker še vedno obstajajo pomisleki glede rakotvornosti glifosata; ker je agencija EFSA novembra 2015 sklenila, da glifosat verjetno ni rakotvoren, Evropska agencija za kemikalije pa je marca 2017 sklenila, da njegova razvrstitev med rakotvorne snovi ni utemeljena; ker pa ga je po drugi strani Mednarodna agencija za raziskave raka, specializirana agencija Svetovne zdravstvene organizacije, leta 2015 razvrstila med snovi, ki pri ljudeh verjetno povzročajo raka; ker več najnovejših strokovno pregledanih znanstvenih študij potrjuje rakotvornost glifosata</w:t>
      </w:r>
      <w:r w:rsidRPr="00A76EDD">
        <w:rPr>
          <w:rStyle w:val="FootnoteReference"/>
        </w:rPr>
        <w:footnoteReference w:id="5"/>
      </w:r>
      <w:r w:rsidRPr="00A76EDD">
        <w:t>;</w:t>
      </w:r>
    </w:p>
    <w:bookmarkEnd w:id="9"/>
    <w:p w14:paraId="62ADA7B8" w14:textId="77777777" w:rsidR="00A23D9A" w:rsidRPr="00A76EDD" w:rsidRDefault="00A23D9A" w:rsidP="00A23D9A">
      <w:pPr>
        <w:spacing w:after="240"/>
        <w:ind w:left="567" w:hanging="567"/>
      </w:pPr>
      <w:r w:rsidRPr="00A76EDD">
        <w:t>D.</w:t>
      </w:r>
      <w:r w:rsidRPr="00A76EDD">
        <w:tab/>
        <w:t>ker je agencija EFSA 5. februarja 2025 izdala pozitivno mnenje, v katerem je ugotovila, da je gensko spremenjena koruza enako varna kot gensko nespremenjena koruza; ker v tem mnenju ni bilo obravnavanih več širših okoljskih, socialno-ekonomskih in kumulativnih učinkov, za katere agencija EFSA meni, da ne spadajo v njeno pristojnost;</w:t>
      </w:r>
    </w:p>
    <w:p w14:paraId="3B0817D5" w14:textId="77777777" w:rsidR="00A23D9A" w:rsidRPr="00A76EDD" w:rsidRDefault="00A23D9A" w:rsidP="00A23D9A">
      <w:pPr>
        <w:spacing w:after="240"/>
        <w:ind w:left="567" w:hanging="567"/>
      </w:pPr>
      <w:r w:rsidRPr="00A76EDD">
        <w:lastRenderedPageBreak/>
        <w:t>E.</w:t>
      </w:r>
      <w:r w:rsidRPr="00A76EDD">
        <w:tab/>
        <w:t>ker ocena tveganja, ki jo je izvedla agencija EFSA, ni vključevala dolgoročnih toksikoloških študij ali podrobne analize kumulativnih in kombiniranih učinkov, vključno z morebitnimi medsebojnimi vplivi z ostanki pesticidov, ki se običajno uporabljajo pri gojenju koruze;</w:t>
      </w:r>
    </w:p>
    <w:p w14:paraId="408725FD" w14:textId="77777777" w:rsidR="00A23D9A" w:rsidRPr="00A76EDD" w:rsidRDefault="00A23D9A" w:rsidP="00A23D9A">
      <w:pPr>
        <w:spacing w:after="240"/>
        <w:ind w:left="567" w:hanging="567"/>
      </w:pPr>
      <w:r w:rsidRPr="00A76EDD">
        <w:t>F.</w:t>
      </w:r>
      <w:r w:rsidRPr="00A76EDD">
        <w:tab/>
        <w:t>ker so bili terenski poskusi v podporo vlogi izvedeni v omejenih geografskih in podnebnih razmerah, ki ne predstavljajo celotne raznolikosti regij, v katerih se prideluje koruza, vključno s tistimi, ki so jih močno prizadeli stresorji, povezani s podnebnimi spremembami;</w:t>
      </w:r>
    </w:p>
    <w:p w14:paraId="1BC92C0F" w14:textId="77777777" w:rsidR="00A23D9A" w:rsidRPr="00A76EDD" w:rsidRDefault="00A23D9A" w:rsidP="00A23D9A">
      <w:pPr>
        <w:spacing w:after="240"/>
        <w:ind w:left="567" w:hanging="567"/>
      </w:pPr>
      <w:r w:rsidRPr="00A76EDD">
        <w:t>G.</w:t>
      </w:r>
      <w:r w:rsidRPr="00A76EDD">
        <w:tab/>
        <w:t>ker neodvisno spremljanje in nadzor morebitnih škodljivih učinkov na biotsko raznovrstnost, zdravje tal, opraševalce in neciljne organizme še vedno nista dovolj zagotovljena;</w:t>
      </w:r>
    </w:p>
    <w:p w14:paraId="0FAC0A6D" w14:textId="77777777" w:rsidR="00A23D9A" w:rsidRPr="00A76EDD" w:rsidRDefault="00A23D9A" w:rsidP="00A23D9A">
      <w:pPr>
        <w:spacing w:after="240"/>
        <w:ind w:left="567" w:hanging="567"/>
      </w:pPr>
      <w:r w:rsidRPr="00A76EDD">
        <w:t>H.</w:t>
      </w:r>
      <w:r w:rsidRPr="00A76EDD">
        <w:tab/>
        <w:t>ker doslej še ni na voljo strokovno pregledanih študij o toksičnosti ali načinu delovanja beljakovine Cry1Da2;</w:t>
      </w:r>
    </w:p>
    <w:p w14:paraId="5618BC4E" w14:textId="77777777" w:rsidR="00A23D9A" w:rsidRPr="00A76EDD" w:rsidRDefault="00A23D9A" w:rsidP="00A23D9A">
      <w:pPr>
        <w:spacing w:after="240"/>
        <w:ind w:left="567" w:hanging="567"/>
      </w:pPr>
      <w:r w:rsidRPr="00A76EDD">
        <w:t>I.</w:t>
      </w:r>
      <w:r w:rsidRPr="00A76EDD">
        <w:tab/>
        <w:t>ker bi se moralo previdnostno načelo, ki je zapisano v členu 191 Pogodbe o delovanju Evropske unije, uporabljati v primerih znanstvene negotovosti;</w:t>
      </w:r>
    </w:p>
    <w:p w14:paraId="0DFCEBD5" w14:textId="77777777" w:rsidR="00A23D9A" w:rsidRPr="00A76EDD" w:rsidRDefault="00A23D9A" w:rsidP="00A23D9A">
      <w:pPr>
        <w:spacing w:after="240"/>
        <w:ind w:left="567" w:hanging="567"/>
      </w:pPr>
      <w:r w:rsidRPr="00A76EDD">
        <w:t>J.</w:t>
      </w:r>
      <w:r w:rsidRPr="00A76EDD">
        <w:tab/>
        <w:t>ker se v Uredbi (ES) št. 1829/2003 zahteva, da gensko spremenjena živila in krma ne smejo imeti škodljivih učinkov na zdravje ljudi, zdravje živali ali okolje;</w:t>
      </w:r>
    </w:p>
    <w:p w14:paraId="3AF008A5" w14:textId="77777777" w:rsidR="00A23D9A" w:rsidRPr="00A76EDD" w:rsidRDefault="00A23D9A" w:rsidP="00A23D9A">
      <w:pPr>
        <w:spacing w:after="240"/>
        <w:ind w:left="567" w:hanging="567"/>
      </w:pPr>
      <w:r w:rsidRPr="00A76EDD">
        <w:t>K.</w:t>
      </w:r>
      <w:r w:rsidRPr="00A76EDD">
        <w:tab/>
        <w:t>ker bi sprejetje osnutka izvedbenega sklepa Komisije omogočilo uvoz koruze v Unijo, ki ne izpolnjuje standardov, ki jih upoštevajo kmetje Unije, kar bi jih postavilo v slabši konkurenčni položaj;</w:t>
      </w:r>
    </w:p>
    <w:p w14:paraId="2588799C" w14:textId="77777777" w:rsidR="00A23D9A" w:rsidRPr="00A76EDD" w:rsidRDefault="00A23D9A" w:rsidP="00A23D9A">
      <w:pPr>
        <w:spacing w:after="240"/>
        <w:ind w:left="567" w:hanging="567"/>
      </w:pPr>
      <w:r w:rsidRPr="00A76EDD">
        <w:t>L.</w:t>
      </w:r>
      <w:r w:rsidRPr="00A76EDD">
        <w:tab/>
        <w:t>ker je Parlament večkrat poudaril, da Komisija ne bi smela odobriti gensko spremenjenih organizmov v primerih, ko države članice v Stalnem odboru za rastline, živali, hrano in krmo ali odboru za pritožbe ne dosežejo kvalificirane večine, da bi odpravili vztrajni demokratični primanjkljaj;</w:t>
      </w:r>
    </w:p>
    <w:p w14:paraId="7FAE1D13" w14:textId="77777777" w:rsidR="00A23D9A" w:rsidRPr="00A76EDD" w:rsidRDefault="00A23D9A" w:rsidP="00A23D9A">
      <w:pPr>
        <w:spacing w:after="240"/>
        <w:ind w:left="567" w:hanging="567"/>
      </w:pPr>
      <w:r w:rsidRPr="00A76EDD">
        <w:t>M.</w:t>
      </w:r>
      <w:r w:rsidRPr="00A76EDD">
        <w:tab/>
        <w:t>ker pristop „eno zdravje“ zahteva, da se pri ocenjevanju dolgoročne trajnosti in varnosti gensko spremenjenih organizmov upošteva medsebojna odvisnost zdravja ljudi, živali, rastlin in okolja;</w:t>
      </w:r>
    </w:p>
    <w:p w14:paraId="559E6613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r w:rsidRPr="00A76EDD">
        <w:t>1.</w:t>
      </w:r>
      <w:r w:rsidRPr="00A76EDD">
        <w:tab/>
        <w:t>meni, da osnutek izvedbenega sklepa Komisije presega izvedbena pooblastila, določena v Uredbi (ES) št. 1829/2003;</w:t>
      </w:r>
    </w:p>
    <w:p w14:paraId="38BED0A0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r w:rsidRPr="00A76EDD">
        <w:t>2.</w:t>
      </w:r>
      <w:r w:rsidRPr="00A76EDD">
        <w:tab/>
        <w:t>meni, da osnutek izvedbenega sklepa Komisije ni v skladu s pravom Unije, saj ni združljiv s ciljem Uredbe (ES) št. 1829/2003, namreč da se v skladu s splošnimi načeli iz Uredbe (ES) št. 178/2002 Evropskega parlamenta in Sveta</w:t>
      </w:r>
      <w:r w:rsidRPr="00A76EDD">
        <w:rPr>
          <w:rStyle w:val="FootnoteReference"/>
        </w:rPr>
        <w:footnoteReference w:id="6"/>
      </w:r>
      <w:r w:rsidRPr="00A76EDD">
        <w:t xml:space="preserve"> omogoči visoka raven varovanja življenja in zdravja ljudi, zdravja in zaščite živali ter okoljskih interesov in interesov potrošnikov v zvezi z gensko spremenjenimi živili in krmo, ob hkratnem zagotavljanju nemotenega delovanja notranjega trga;</w:t>
      </w:r>
    </w:p>
    <w:p w14:paraId="0B566F48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r w:rsidRPr="00A76EDD">
        <w:lastRenderedPageBreak/>
        <w:t>3.</w:t>
      </w:r>
      <w:r w:rsidRPr="00A76EDD">
        <w:tab/>
        <w:t>poziva Komisijo, naj umakne svoj osnutek izvedbenega sklepa;</w:t>
      </w:r>
    </w:p>
    <w:p w14:paraId="0DF7D8E1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r w:rsidRPr="00A76EDD">
        <w:t>4.</w:t>
      </w:r>
      <w:r w:rsidRPr="00A76EDD">
        <w:tab/>
        <w:t>poziva Komisijo, naj v skladu s pristopom „eno zdravje“ ne odobri gensko spremenjene koruze, saj ni dovolj dokazov o dolgoročnem vplivu na biotsko raznovrstnost, varnost hrane in možnost preživljanja kmetov;</w:t>
      </w:r>
    </w:p>
    <w:p w14:paraId="7847DA4B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bookmarkStart w:id="10" w:name="_Hlk210900300"/>
      <w:r w:rsidRPr="00A76EDD">
        <w:t>5.</w:t>
      </w:r>
      <w:r w:rsidRPr="00A76EDD">
        <w:tab/>
        <w:t>poziva Komisijo, naj nemudoma predloži zakonodajni predlog za reformo postopka odločanja o gensko spremenjenih organizmih, da bi se odzvala na stalne ugovore Parlamenta in pomanjkanje podpore kvalificirane večine med državami članicami</w:t>
      </w:r>
      <w:bookmarkEnd w:id="10"/>
      <w:r w:rsidRPr="00A76EDD">
        <w:t>;</w:t>
      </w:r>
    </w:p>
    <w:p w14:paraId="778E760A" w14:textId="77777777" w:rsidR="00A23D9A" w:rsidRPr="00A76EDD" w:rsidRDefault="00A23D9A" w:rsidP="00A23D9A">
      <w:pPr>
        <w:tabs>
          <w:tab w:val="left" w:pos="0"/>
        </w:tabs>
        <w:spacing w:after="240"/>
        <w:ind w:left="357" w:hanging="357"/>
      </w:pPr>
      <w:bookmarkStart w:id="11" w:name="_Hlk210900241"/>
      <w:r w:rsidRPr="00A76EDD">
        <w:t>6.</w:t>
      </w:r>
      <w:r w:rsidRPr="00A76EDD">
        <w:tab/>
        <w:t>poziva Komisijo, naj upošteva obveznosti, ki jih ima Unija po mednarodnih sporazumih, kot so Pariški sporazum, Konvencija OZN o biološki raznovrstnosti in cilj OZN glede trajnostnega razvoja;</w:t>
      </w:r>
    </w:p>
    <w:bookmarkEnd w:id="11"/>
    <w:p w14:paraId="4811F57B" w14:textId="44761180" w:rsidR="00E365E1" w:rsidRPr="00A76EDD" w:rsidRDefault="00A23D9A" w:rsidP="00D27704">
      <w:pPr>
        <w:tabs>
          <w:tab w:val="left" w:pos="0"/>
        </w:tabs>
        <w:spacing w:after="240"/>
        <w:ind w:left="357" w:hanging="357"/>
      </w:pPr>
      <w:r w:rsidRPr="00A76EDD">
        <w:t>7.</w:t>
      </w:r>
      <w:r w:rsidRPr="00A76EDD">
        <w:tab/>
        <w:t>naroči svoji predsednici, naj to resolucijo posreduje Svetu in Komisiji ter vladam in parlamentom držav članic.</w:t>
      </w:r>
    </w:p>
    <w:sectPr w:rsidR="00E365E1" w:rsidRPr="00A76EDD" w:rsidSect="00A76E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F768" w14:textId="77777777" w:rsidR="00C34CF3" w:rsidRPr="00A76EDD" w:rsidRDefault="00C34CF3">
      <w:r w:rsidRPr="00A76EDD">
        <w:separator/>
      </w:r>
    </w:p>
  </w:endnote>
  <w:endnote w:type="continuationSeparator" w:id="0">
    <w:p w14:paraId="2BD2B280" w14:textId="77777777" w:rsidR="00C34CF3" w:rsidRPr="00A76EDD" w:rsidRDefault="00C34CF3">
      <w:r w:rsidRPr="00A76E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3A1D6" w14:textId="77777777" w:rsidR="00064002" w:rsidRPr="00A76E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40BD" w14:textId="77777777" w:rsidR="00064002" w:rsidRPr="00A76E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94EE" w14:textId="77777777" w:rsidR="00064002" w:rsidRPr="00A76E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8DF2" w14:textId="77777777" w:rsidR="00C34CF3" w:rsidRPr="00A76EDD" w:rsidRDefault="00C34CF3">
      <w:r w:rsidRPr="00A76EDD">
        <w:separator/>
      </w:r>
    </w:p>
  </w:footnote>
  <w:footnote w:type="continuationSeparator" w:id="0">
    <w:p w14:paraId="704B5E11" w14:textId="77777777" w:rsidR="00C34CF3" w:rsidRPr="00A76EDD" w:rsidRDefault="00C34CF3">
      <w:r w:rsidRPr="00A76EDD">
        <w:continuationSeparator/>
      </w:r>
    </w:p>
  </w:footnote>
  <w:footnote w:id="1">
    <w:p w14:paraId="2AF63B7E" w14:textId="5071BD9B" w:rsidR="00A23D9A" w:rsidRPr="00A76EDD" w:rsidRDefault="00A23D9A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rStyle w:val="Funotenzeichen"/>
          <w:sz w:val="24"/>
          <w:lang w:val="sl-SI"/>
        </w:rPr>
        <w:footnoteRef/>
      </w:r>
      <w:r w:rsidR="00A76EDD" w:rsidRPr="00A76EDD">
        <w:rPr>
          <w:sz w:val="24"/>
          <w:lang w:val="sl-SI"/>
        </w:rPr>
        <w:t xml:space="preserve"> </w:t>
      </w:r>
      <w:r w:rsidR="00A76EDD" w:rsidRPr="00A76EDD">
        <w:rPr>
          <w:sz w:val="24"/>
          <w:lang w:val="sl-SI"/>
        </w:rPr>
        <w:tab/>
      </w:r>
      <w:r w:rsidRPr="00A76EDD">
        <w:rPr>
          <w:sz w:val="24"/>
          <w:lang w:val="sl-SI"/>
        </w:rPr>
        <w:t>UL L 268, 18.10.2003, str. 1, ELI: </w:t>
      </w:r>
      <w:hyperlink r:id="rId1" w:tooltip="Omogoča dostop do dokumenta prek označevalnika/predloge ELI URI." w:history="1">
        <w:r w:rsidRPr="00A76EDD">
          <w:rPr>
            <w:rStyle w:val="Hyperlink"/>
            <w:sz w:val="24"/>
            <w:lang w:val="sl-SI"/>
          </w:rPr>
          <w:t>http://data.europa.eu/eli/reg/2003/1829/oj</w:t>
        </w:r>
      </w:hyperlink>
      <w:r w:rsidRPr="00A76EDD">
        <w:rPr>
          <w:rStyle w:val="Hyperlink"/>
          <w:sz w:val="24"/>
          <w:lang w:val="sl-SI"/>
        </w:rPr>
        <w:t>.</w:t>
      </w:r>
    </w:p>
  </w:footnote>
  <w:footnote w:id="2">
    <w:p w14:paraId="43551C73" w14:textId="7850C2EE" w:rsidR="00A23D9A" w:rsidRPr="00A76EDD" w:rsidRDefault="00A23D9A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rStyle w:val="FootnoteReference"/>
          <w:sz w:val="24"/>
          <w:lang w:val="sl-SI"/>
        </w:rPr>
        <w:footnoteRef/>
      </w:r>
      <w:bookmarkStart w:id="7" w:name="_Hlk210663104"/>
      <w:r w:rsidR="00A76EDD" w:rsidRPr="00A76EDD">
        <w:rPr>
          <w:sz w:val="24"/>
          <w:lang w:val="sl-SI"/>
        </w:rPr>
        <w:t xml:space="preserve"> </w:t>
      </w:r>
      <w:r w:rsidR="00A76EDD" w:rsidRPr="00A76EDD">
        <w:rPr>
          <w:sz w:val="24"/>
          <w:lang w:val="sl-SI"/>
        </w:rPr>
        <w:tab/>
      </w:r>
      <w:r w:rsidRPr="00A76EDD">
        <w:rPr>
          <w:sz w:val="24"/>
          <w:lang w:val="sl-SI"/>
        </w:rPr>
        <w:t xml:space="preserve">UL L 55, 28.2.2011, str. 13, ELI: </w:t>
      </w:r>
      <w:hyperlink r:id="rId2" w:history="1">
        <w:r w:rsidRPr="00A76EDD">
          <w:rPr>
            <w:rStyle w:val="Hyperlink"/>
            <w:sz w:val="24"/>
            <w:lang w:val="sl-SI"/>
          </w:rPr>
          <w:t>http://data.europa.eu/eli/reg/2011/182/oj</w:t>
        </w:r>
      </w:hyperlink>
      <w:r w:rsidRPr="00A76EDD">
        <w:rPr>
          <w:sz w:val="24"/>
          <w:lang w:val="sl-SI"/>
        </w:rPr>
        <w:t>.</w:t>
      </w:r>
      <w:bookmarkEnd w:id="7"/>
    </w:p>
  </w:footnote>
  <w:footnote w:id="3">
    <w:p w14:paraId="33315327" w14:textId="05B30D8C" w:rsidR="00A23D9A" w:rsidRPr="00A76EDD" w:rsidRDefault="00A23D9A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rStyle w:val="Funotenzeichen"/>
          <w:sz w:val="24"/>
          <w:lang w:val="sl-SI"/>
        </w:rPr>
        <w:footnoteRef/>
      </w:r>
      <w:r w:rsidR="00A76EDD" w:rsidRPr="00A76EDD">
        <w:rPr>
          <w:sz w:val="24"/>
          <w:lang w:val="sl-SI"/>
        </w:rPr>
        <w:t xml:space="preserve"> </w:t>
      </w:r>
      <w:r w:rsidR="00A76EDD" w:rsidRPr="00A76EDD">
        <w:rPr>
          <w:sz w:val="24"/>
          <w:lang w:val="sl-SI"/>
        </w:rPr>
        <w:tab/>
      </w:r>
      <w:r w:rsidRPr="00A76EDD">
        <w:rPr>
          <w:sz w:val="24"/>
          <w:lang w:val="sl-SI"/>
        </w:rPr>
        <w:t xml:space="preserve">Znanstveno mnenje odbora agencije EFSA za gensko spremenjene organizme o oceni gensko spremenjene koruze DAS1131 (vloga GMFF-2021-1530), EFSA Journal 2025; 23(3):9282; </w:t>
      </w:r>
      <w:hyperlink r:id="rId3" w:history="1">
        <w:r w:rsidRPr="00A76EDD">
          <w:rPr>
            <w:rStyle w:val="Hyperlink"/>
            <w:sz w:val="24"/>
            <w:lang w:val="sl-SI"/>
          </w:rPr>
          <w:t>https://doi.org/10.2903/j.efsa.2025.9282</w:t>
        </w:r>
      </w:hyperlink>
      <w:r w:rsidRPr="00A76EDD">
        <w:rPr>
          <w:sz w:val="24"/>
          <w:lang w:val="sl-SI"/>
        </w:rPr>
        <w:t xml:space="preserve">. </w:t>
      </w:r>
    </w:p>
  </w:footnote>
  <w:footnote w:id="4">
    <w:p w14:paraId="064FBDD0" w14:textId="5AD67453" w:rsidR="00A23D9A" w:rsidRPr="00A76EDD" w:rsidRDefault="00A23D9A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rStyle w:val="FootnoteReference"/>
          <w:sz w:val="24"/>
          <w:lang w:val="sl-SI"/>
        </w:rPr>
        <w:footnoteRef/>
      </w:r>
      <w:r w:rsidR="00A76EDD" w:rsidRPr="00A76EDD">
        <w:rPr>
          <w:color w:val="000000" w:themeColor="text1"/>
          <w:sz w:val="24"/>
          <w:lang w:val="sl-SI"/>
        </w:rPr>
        <w:t xml:space="preserve"> </w:t>
      </w:r>
      <w:r w:rsidR="00A76EDD" w:rsidRPr="00A76EDD">
        <w:rPr>
          <w:color w:val="000000" w:themeColor="text1"/>
          <w:sz w:val="24"/>
          <w:lang w:val="sl-SI"/>
        </w:rPr>
        <w:tab/>
      </w:r>
      <w:r w:rsidRPr="00A76EDD">
        <w:rPr>
          <w:color w:val="000000" w:themeColor="text1"/>
          <w:sz w:val="24"/>
          <w:lang w:val="sl-SI"/>
        </w:rPr>
        <w:t>Parlament je v osmem zakonodajnem obdobju sprejel 36 resolucij, v katerih je nasprotoval odobritvi gensko spremenjenih organizmov, v devetem pa 38. Poleg tega je v desetem zakonodajnem obdobju sprejel še naslednje resolucije:</w:t>
      </w:r>
    </w:p>
    <w:p w14:paraId="3C318258" w14:textId="70398B10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2024/2628 o obnovitvi odobritve dajanja na trg proizvodov, ki vsebujejo gensko spremenjeno koruzo MON 89034 × 1507 × NK603, so iz nje sestavljeni ali proizvedeni, v skladu z Uredbo (ES) št. 1829/2003 Evropskega parlamenta in Sveta (UL C, C/2025/1797, 4.4.2025, ELI: </w:t>
      </w:r>
      <w:hyperlink r:id="rId4" w:history="1">
        <w:r w:rsidR="00A23D9A" w:rsidRPr="00A76EDD">
          <w:rPr>
            <w:rStyle w:val="Hyperlink"/>
            <w:sz w:val="24"/>
            <w:lang w:val="sl-SI"/>
          </w:rPr>
          <w:t>http://data.europa.eu/eli/C/2025/1797/oj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52624322" w14:textId="6A98C8C4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2024/2627 o odobritvi dajanja na trg proizvodov, ki vsebujejo gensko spremenjeni bombaž COT102, so iz njega sestavljeni ali proizvedeni, v skladu z Uredbo (ES) št. 1829/2003 Evropskega parlamenta in Sveta (UL C, C/2025/1798, 4.4.2025, ELI: </w:t>
      </w:r>
      <w:hyperlink r:id="rId5" w:history="1">
        <w:r w:rsidR="00A23D9A" w:rsidRPr="00A76EDD">
          <w:rPr>
            <w:rStyle w:val="Hyperlink"/>
            <w:sz w:val="24"/>
            <w:lang w:val="sl-SI"/>
          </w:rPr>
          <w:t>http://data.europa.eu/eli/C/2025/1798/oj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1EB64F0A" w14:textId="025AED09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2024/2629 o obnovitvi odobritve dajanja na trg proizvodov, ki vsebujejo gensko spremenjeno koruzo MON 89034 × 1507 × MON 88017 × 59122 in njenih osem podkombinacij, so iz njih sestavljeni ali proizvedeni, v skladu z Uredbo (ES) št. 1829/2003 Evropskega parlamenta in Sveta (UL C, C/2025/1799, 4.4.2025, ELI: </w:t>
      </w:r>
      <w:hyperlink r:id="rId6" w:history="1">
        <w:r w:rsidR="00A23D9A" w:rsidRPr="00A76EDD">
          <w:rPr>
            <w:rStyle w:val="Hyperlink"/>
            <w:sz w:val="24"/>
            <w:lang w:val="sl-SI"/>
          </w:rPr>
          <w:t>http://data.europa.eu/eli/C/2025/1799/oj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5302E462" w14:textId="75441FF9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2024/1828 o obnovitvi odobritve za dajanje na trg krme, ki vsebuje gensko spremenjeno koruzo MON 810 ali je iz nje sestavljena, ter živil in krme, proizvedenih iz nje, v skladu z Uredbo (ES) št. 1829/2003 Evropskega parlamenta in Sveta ter razveljavitvi Izvedbenega sklepa Komisije (EU) 2017/1207 (UL C, C/2025/1800, 4.4.2025, ELI: </w:t>
      </w:r>
      <w:hyperlink r:id="rId7" w:history="1">
        <w:r w:rsidR="00A23D9A" w:rsidRPr="00A76EDD">
          <w:rPr>
            <w:rStyle w:val="Hyperlink"/>
            <w:sz w:val="24"/>
            <w:lang w:val="sl-SI"/>
          </w:rPr>
          <w:t>http://data.europa.eu/eli/C/2025/1800/oj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310074D2" w14:textId="518B8C05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2024/1822 o odobritvi dajanja na trg proizvodov, ki vsebujejo gensko spremenjeno koruzo DP915635, so iz njega sestavljeni ali proizvedeni, v skladu z Uredbo (ES) št. 1829/2003 Evropskega parlamenta in Sveta (UL C, C/2025/1801, 4.4.2025, ELI: </w:t>
      </w:r>
      <w:hyperlink r:id="rId8" w:history="1">
        <w:r w:rsidR="00A23D9A" w:rsidRPr="00A76EDD">
          <w:rPr>
            <w:rStyle w:val="Hyperlink"/>
            <w:sz w:val="24"/>
            <w:lang w:val="sl-SI"/>
          </w:rPr>
          <w:t>http://data.europa.eu/eli/C/2025/1801/oj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798E615F" w14:textId="71877042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2024/1826 o odobritvi dajanja na trg proizvodov, ki vsebujejo gensko spremenjeno koruzo DP23211, so iz njega sestavljeni ali proizvedeni, v skladu z Uredbo (ES) št. 1829/2003 Evropskega parlamenta in Sveta (UL C, C/2025/1802, 4.4.2025, ELI: </w:t>
      </w:r>
      <w:hyperlink r:id="rId9" w:history="1">
        <w:r w:rsidR="00A23D9A" w:rsidRPr="00A76EDD">
          <w:rPr>
            <w:rStyle w:val="Hyperlink"/>
            <w:sz w:val="24"/>
            <w:lang w:val="sl-SI"/>
          </w:rPr>
          <w:t>http://data.europa.eu/eli/C/2025/1802/oj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663A657B" w14:textId="73EA8903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Izvedbenem sklepu Komisije (EU) 2024/2618 o odobritvi dajanja na trg proizvodov, ki vsebujejo gensko spremenjeno koruzo DP202216, so iz nje sestavljeni ali proizvedeni, v skladu z Uredbo (ES) št. 1829/2003 Evropskega parlamenta in Sveta (UL C, C/2025/1803, 4.4.2025, ELI: </w:t>
      </w:r>
      <w:hyperlink r:id="rId10" w:history="1">
        <w:r w:rsidR="00A23D9A" w:rsidRPr="00A76EDD">
          <w:rPr>
            <w:rStyle w:val="Hyperlink"/>
            <w:sz w:val="24"/>
            <w:lang w:val="sl-SI"/>
          </w:rPr>
          <w:t>http://data.europa.eu/eli/C/2025/1803/oj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69541625" w14:textId="07972DCE" w:rsidR="00A23D9A" w:rsidRPr="00A76EDD" w:rsidRDefault="00A76EDD" w:rsidP="00A76EDD">
      <w:pPr>
        <w:pStyle w:val="FootnoteText"/>
        <w:ind w:left="567" w:hanging="567"/>
        <w:rPr>
          <w:color w:val="000000" w:themeColor="text1"/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  <w:t xml:space="preserve">resolucijo Evropskega parlamenta z dne 26. novembra 2024 o osnutku izvedbenega sklepa Komisije o odobritvi dajanja proizvodov, ki vsebujejo gensko spremenjeno koruzo MON 94804, so iz nje sestavljeni ali proizvedeni, na trg v skladu z Uredbo (ES) št. 1829/2003 Evropskega parlamenta in Sveta (UL C, C/2025/1804, 4.4.2025, ELI: </w:t>
      </w:r>
      <w:hyperlink r:id="rId11" w:history="1">
        <w:r w:rsidR="00A23D9A" w:rsidRPr="00A76EDD">
          <w:rPr>
            <w:rStyle w:val="Hyperlink"/>
            <w:sz w:val="24"/>
            <w:lang w:val="sl-SI"/>
          </w:rPr>
          <w:t>http://data.europa.eu/eli/C/2025/1804/oj</w:t>
        </w:r>
      </w:hyperlink>
      <w:r w:rsidR="00A23D9A" w:rsidRPr="00A76EDD">
        <w:rPr>
          <w:color w:val="000000" w:themeColor="text1"/>
          <w:sz w:val="24"/>
          <w:lang w:val="sl-SI"/>
        </w:rPr>
        <w:t>).</w:t>
      </w:r>
    </w:p>
    <w:p w14:paraId="59E269F3" w14:textId="7BC6C9BC" w:rsidR="00A23D9A" w:rsidRPr="00A76EDD" w:rsidRDefault="00A76EDD" w:rsidP="00A76EDD">
      <w:pPr>
        <w:pStyle w:val="FootnoteText"/>
        <w:ind w:left="567" w:hanging="567"/>
        <w:rPr>
          <w:sz w:val="24"/>
          <w:vertAlign w:val="superscript"/>
          <w:lang w:val="sl-SI"/>
        </w:rPr>
      </w:pPr>
      <w:r w:rsidRPr="00A76EDD">
        <w:rPr>
          <w:color w:val="000000" w:themeColor="text1"/>
          <w:sz w:val="24"/>
          <w:lang w:val="sl-SI"/>
        </w:rPr>
        <w:t xml:space="preserve"> </w:t>
      </w:r>
      <w:r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color w:val="000000" w:themeColor="text1"/>
          <w:sz w:val="24"/>
          <w:lang w:val="sl-SI"/>
        </w:rPr>
        <w:t>–</w:t>
      </w:r>
      <w:r w:rsidR="00A23D9A" w:rsidRPr="00A76EDD">
        <w:rPr>
          <w:color w:val="000000" w:themeColor="text1"/>
          <w:sz w:val="24"/>
          <w:lang w:val="sl-SI"/>
        </w:rPr>
        <w:tab/>
      </w:r>
      <w:r w:rsidR="00A23D9A" w:rsidRPr="00A76EDD">
        <w:rPr>
          <w:sz w:val="24"/>
          <w:lang w:val="sl-SI"/>
        </w:rPr>
        <w:t xml:space="preserve">resolucijo Evropskega parlamenta z dne 12. februarja 2025 o osnutku izvedbenega sklepa Komisije o odobritvi dajanja proizvodov, ki vsebujejo gensko spremenjeno koruzo DP310521, so iz nje sestavljeni ali proizvedeni, na trg v skladu z Uredbo (ES) št. 1829/2003 Evropskega parlamenta in Sveta (UL C, C/2025/2246, </w:t>
      </w:r>
      <w:proofErr w:type="gramStart"/>
      <w:r w:rsidR="00364463">
        <w:rPr>
          <w:sz w:val="24"/>
          <w:lang w:val="sl-SI"/>
        </w:rPr>
        <w:t>29</w:t>
      </w:r>
      <w:r w:rsidR="00A23D9A" w:rsidRPr="00A76EDD">
        <w:rPr>
          <w:sz w:val="24"/>
          <w:lang w:val="sl-SI"/>
        </w:rPr>
        <w:t>.4.2025</w:t>
      </w:r>
      <w:proofErr w:type="gramEnd"/>
      <w:r w:rsidR="00A23D9A" w:rsidRPr="00A76EDD">
        <w:rPr>
          <w:sz w:val="24"/>
          <w:lang w:val="sl-SI"/>
        </w:rPr>
        <w:t xml:space="preserve">, ELI: </w:t>
      </w:r>
      <w:hyperlink r:id="rId12" w:tooltip="Omogoča dostop do dokumenta prek označevalnika/predloge ELI URI." w:history="1">
        <w:r w:rsidR="00A23D9A" w:rsidRPr="00A76EDD">
          <w:rPr>
            <w:rStyle w:val="Hyperlink"/>
            <w:sz w:val="24"/>
            <w:lang w:val="sl-SI"/>
          </w:rPr>
          <w:t>http://data.europa.eu/eli/C/2025/2246/oj</w:t>
        </w:r>
      </w:hyperlink>
      <w:r w:rsidR="00A23D9A" w:rsidRPr="00A76EDD">
        <w:rPr>
          <w:sz w:val="24"/>
          <w:lang w:val="sl-SI"/>
        </w:rPr>
        <w:t>).</w:t>
      </w:r>
    </w:p>
    <w:p w14:paraId="5E076751" w14:textId="189515F1" w:rsidR="00A23D9A" w:rsidRPr="00A76EDD" w:rsidRDefault="00A76EDD" w:rsidP="00A76EDD">
      <w:pPr>
        <w:pStyle w:val="FootnoteText"/>
        <w:ind w:left="567" w:hanging="567"/>
        <w:rPr>
          <w:sz w:val="24"/>
          <w:vertAlign w:val="superscript"/>
          <w:lang w:val="sl-SI"/>
        </w:rPr>
      </w:pPr>
      <w:r w:rsidRPr="00A76EDD">
        <w:rPr>
          <w:sz w:val="24"/>
          <w:lang w:val="sl-SI"/>
        </w:rPr>
        <w:t xml:space="preserve"> </w:t>
      </w:r>
      <w:r w:rsidRPr="00A76EDD">
        <w:rPr>
          <w:sz w:val="24"/>
          <w:lang w:val="sl-SI"/>
        </w:rPr>
        <w:tab/>
      </w:r>
      <w:r w:rsidR="00A23D9A" w:rsidRPr="00A76EDD">
        <w:rPr>
          <w:sz w:val="24"/>
          <w:lang w:val="sl-SI"/>
        </w:rPr>
        <w:t>–</w:t>
      </w:r>
      <w:r w:rsidR="00A23D9A" w:rsidRPr="00A76EDD">
        <w:rPr>
          <w:sz w:val="24"/>
          <w:lang w:val="sl-SI"/>
        </w:rPr>
        <w:tab/>
        <w:t xml:space="preserve">resolucijo Evropskega parlamenta z dne 12. februarja 2025 o osnutku izvedbenega sklepa Komisije o odobritvi dajanja proizvodov, ki vsebujejo gensko spremenjeno koruzo MON 95275, so iz nje sestavljeni ali proizvedeni, na trg v skladu z Uredbo (ES) št. 1829/2003 Evropskega parlamenta in Sveta (UL C, C/2025/2247, 29.4.2025, ELI: </w:t>
      </w:r>
      <w:hyperlink r:id="rId13" w:tooltip="Omogoča dostop do dokumenta prek označevalnika/predloge ELI URI." w:history="1">
        <w:r w:rsidR="00A23D9A" w:rsidRPr="00A76EDD">
          <w:rPr>
            <w:rStyle w:val="Hyperlink"/>
            <w:sz w:val="24"/>
            <w:lang w:val="sl-SI"/>
          </w:rPr>
          <w:t>http://data.europa.eu/eli/C/2025/2247/oj</w:t>
        </w:r>
      </w:hyperlink>
      <w:r w:rsidR="00A23D9A" w:rsidRPr="00A76EDD">
        <w:rPr>
          <w:sz w:val="24"/>
          <w:lang w:val="sl-SI"/>
        </w:rPr>
        <w:t>).</w:t>
      </w:r>
    </w:p>
    <w:p w14:paraId="5D1378AC" w14:textId="36B7B3EB" w:rsidR="00A23D9A" w:rsidRPr="00A76EDD" w:rsidRDefault="00A76EDD" w:rsidP="00A76EDD">
      <w:pPr>
        <w:pStyle w:val="FootnoteText"/>
        <w:ind w:left="567" w:hanging="567"/>
        <w:rPr>
          <w:sz w:val="24"/>
          <w:vertAlign w:val="superscript"/>
          <w:lang w:val="sl-SI"/>
        </w:rPr>
      </w:pPr>
      <w:r w:rsidRPr="00A76EDD">
        <w:rPr>
          <w:sz w:val="24"/>
          <w:lang w:val="sl-SI"/>
        </w:rPr>
        <w:t xml:space="preserve"> </w:t>
      </w:r>
      <w:r w:rsidRPr="00A76EDD">
        <w:rPr>
          <w:sz w:val="24"/>
          <w:lang w:val="sl-SI"/>
        </w:rPr>
        <w:tab/>
      </w:r>
      <w:r w:rsidR="00A23D9A" w:rsidRPr="00A76EDD">
        <w:rPr>
          <w:sz w:val="24"/>
          <w:lang w:val="sl-SI"/>
        </w:rPr>
        <w:t>–</w:t>
      </w:r>
      <w:r w:rsidR="00A23D9A" w:rsidRPr="00A76EDD">
        <w:rPr>
          <w:sz w:val="24"/>
          <w:lang w:val="sl-SI"/>
        </w:rPr>
        <w:tab/>
        <w:t>resolucijo Evropskega parlamenta z dne 8. maja 2025 o osnutku izvedbenega sklepa Komisije o odobritvi dajanja proizvodov, ki vsebujejo gensko spremenjeno sojo MON 87705 × MON 87708 × MON 89788, so iz nje sestavljeni ali proizvedeni, na trg v skladu z Uredbo (ES) št. 1829/2003 Evropskega parlamenta in Sveta (</w:t>
      </w:r>
      <w:r w:rsidR="000D3D5B" w:rsidRPr="000D3D5B">
        <w:rPr>
          <w:sz w:val="24"/>
          <w:lang w:val="sl-SI"/>
        </w:rPr>
        <w:t xml:space="preserve">Sprejeta besedila, </w:t>
      </w:r>
      <w:r w:rsidR="00A23D9A" w:rsidRPr="00A76EDD">
        <w:rPr>
          <w:sz w:val="24"/>
          <w:lang w:val="sl-SI"/>
        </w:rPr>
        <w:t>P10_TA(2025)0106).</w:t>
      </w:r>
    </w:p>
    <w:p w14:paraId="4F094E0D" w14:textId="7C725E99" w:rsidR="00A23D9A" w:rsidRPr="00A76EDD" w:rsidRDefault="00A76EDD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sz w:val="24"/>
          <w:lang w:val="sl-SI"/>
        </w:rPr>
        <w:t xml:space="preserve"> </w:t>
      </w:r>
      <w:r w:rsidRPr="00A76EDD">
        <w:rPr>
          <w:sz w:val="24"/>
          <w:lang w:val="sl-SI"/>
        </w:rPr>
        <w:tab/>
      </w:r>
      <w:r w:rsidR="00A23D9A" w:rsidRPr="00A76EDD">
        <w:rPr>
          <w:sz w:val="24"/>
          <w:lang w:val="sl-SI"/>
        </w:rPr>
        <w:t>–</w:t>
      </w:r>
      <w:r w:rsidR="00A23D9A" w:rsidRPr="00A76EDD">
        <w:rPr>
          <w:sz w:val="24"/>
          <w:lang w:val="sl-SI"/>
        </w:rPr>
        <w:tab/>
        <w:t>resolucijo Evropskega parlamenta z dne 8. oktobra 2025 o Izvedbenem sklepu Komisije (EU) 2025/1898 z dne 22. septembra 2025 o odobritvi dajanja na trg proizvodov, ki vsebujejo gensko spremenjeno koruzo DP51291, so iz nje sestavljeni ali proizvedeni, v skladu z Uredbo (ES) št. 1829/2003 Evropskega parlamenta in Sveta (</w:t>
      </w:r>
      <w:r w:rsidR="000D3D5B" w:rsidRPr="000D3D5B">
        <w:rPr>
          <w:sz w:val="24"/>
          <w:lang w:val="sl-SI"/>
        </w:rPr>
        <w:t xml:space="preserve">Sprejeta besedila, </w:t>
      </w:r>
      <w:r w:rsidR="00A23D9A" w:rsidRPr="00A76EDD">
        <w:rPr>
          <w:sz w:val="24"/>
          <w:lang w:val="sl-SI"/>
        </w:rPr>
        <w:t>P10</w:t>
      </w:r>
      <w:r w:rsidR="006C2E03">
        <w:rPr>
          <w:sz w:val="24"/>
          <w:lang w:val="sl-SI"/>
        </w:rPr>
        <w:t>_</w:t>
      </w:r>
      <w:r w:rsidR="00A23D9A" w:rsidRPr="00A76EDD">
        <w:rPr>
          <w:sz w:val="24"/>
          <w:lang w:val="sl-SI"/>
        </w:rPr>
        <w:t>TA</w:t>
      </w:r>
      <w:proofErr w:type="gramStart"/>
      <w:r w:rsidR="00A23D9A" w:rsidRPr="00A76EDD">
        <w:rPr>
          <w:sz w:val="24"/>
          <w:lang w:val="sl-SI"/>
        </w:rPr>
        <w:t>(</w:t>
      </w:r>
      <w:proofErr w:type="gramEnd"/>
      <w:r w:rsidR="00A23D9A" w:rsidRPr="00A76EDD">
        <w:rPr>
          <w:sz w:val="24"/>
          <w:lang w:val="sl-SI"/>
        </w:rPr>
        <w:t>202</w:t>
      </w:r>
      <w:r w:rsidR="006C2E03">
        <w:rPr>
          <w:sz w:val="24"/>
          <w:lang w:val="sl-SI"/>
        </w:rPr>
        <w:t>5</w:t>
      </w:r>
      <w:r w:rsidR="00A23D9A" w:rsidRPr="00A76EDD">
        <w:rPr>
          <w:sz w:val="24"/>
          <w:lang w:val="sl-SI"/>
        </w:rPr>
        <w:t>)0222).</w:t>
      </w:r>
    </w:p>
  </w:footnote>
  <w:footnote w:id="5">
    <w:p w14:paraId="33043452" w14:textId="3AB91F7B" w:rsidR="00A23D9A" w:rsidRPr="00A76EDD" w:rsidRDefault="00A23D9A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rStyle w:val="FootnoteReference"/>
          <w:sz w:val="24"/>
          <w:lang w:val="sl-SI"/>
        </w:rPr>
        <w:footnoteRef/>
      </w:r>
      <w:r w:rsidR="00A76EDD" w:rsidRPr="00A76EDD">
        <w:rPr>
          <w:sz w:val="24"/>
          <w:lang w:val="sl-SI"/>
        </w:rPr>
        <w:t xml:space="preserve"> </w:t>
      </w:r>
      <w:r w:rsidR="00A76EDD" w:rsidRPr="00A76EDD">
        <w:rPr>
          <w:sz w:val="24"/>
          <w:lang w:val="sl-SI"/>
        </w:rPr>
        <w:tab/>
      </w:r>
      <w:r w:rsidRPr="00A76EDD">
        <w:rPr>
          <w:sz w:val="24"/>
          <w:lang w:val="sl-SI"/>
        </w:rPr>
        <w:t>Glej na primer:</w:t>
      </w:r>
      <w:r w:rsidRPr="00A76EDD">
        <w:rPr>
          <w:sz w:val="24"/>
          <w:lang w:val="sl-SI"/>
        </w:rPr>
        <w:br/>
      </w:r>
      <w:hyperlink r:id="rId14" w:history="1">
        <w:r w:rsidRPr="00A76EDD">
          <w:rPr>
            <w:rStyle w:val="Hyperlink"/>
            <w:sz w:val="24"/>
            <w:lang w:val="sl-SI"/>
          </w:rPr>
          <w:t>https://www.sciencedirect.com/science/article/pii/S1383574218300887</w:t>
        </w:r>
      </w:hyperlink>
      <w:r w:rsidRPr="00A76EDD">
        <w:rPr>
          <w:sz w:val="24"/>
          <w:lang w:val="sl-SI"/>
        </w:rPr>
        <w:t>,</w:t>
      </w:r>
      <w:r w:rsidRPr="00A76EDD">
        <w:rPr>
          <w:sz w:val="24"/>
          <w:lang w:val="sl-SI"/>
        </w:rPr>
        <w:br/>
      </w:r>
      <w:hyperlink r:id="rId15" w:history="1">
        <w:r w:rsidRPr="00A76EDD">
          <w:rPr>
            <w:rStyle w:val="Hyperlink"/>
            <w:sz w:val="24"/>
            <w:lang w:val="sl-SI"/>
          </w:rPr>
          <w:t>https://academic.oup.com/ije/advance-article/doi/10.1093/ije/dyz017/5382278</w:t>
        </w:r>
      </w:hyperlink>
      <w:r w:rsidRPr="00A76EDD">
        <w:rPr>
          <w:sz w:val="24"/>
          <w:lang w:val="sl-SI"/>
        </w:rPr>
        <w:t>,</w:t>
      </w:r>
      <w:r w:rsidRPr="00A76EDD">
        <w:rPr>
          <w:sz w:val="24"/>
          <w:lang w:val="sl-SI"/>
        </w:rPr>
        <w:br/>
      </w:r>
      <w:hyperlink r:id="rId16" w:history="1">
        <w:r w:rsidRPr="00A76EDD">
          <w:rPr>
            <w:rStyle w:val="Hyperlink"/>
            <w:sz w:val="24"/>
            <w:lang w:val="sl-SI"/>
          </w:rPr>
          <w:t>https://journals.plos.org/plosone/article?id=10.1371/journal.pone.0219610</w:t>
        </w:r>
      </w:hyperlink>
      <w:r w:rsidRPr="00A76EDD">
        <w:rPr>
          <w:sz w:val="24"/>
          <w:lang w:val="sl-SI"/>
        </w:rPr>
        <w:t xml:space="preserve"> in</w:t>
      </w:r>
      <w:r w:rsidRPr="00A76EDD">
        <w:rPr>
          <w:sz w:val="24"/>
          <w:lang w:val="sl-SI"/>
        </w:rPr>
        <w:br/>
      </w:r>
      <w:hyperlink r:id="rId17" w:history="1">
        <w:r w:rsidRPr="00A76EDD">
          <w:rPr>
            <w:rStyle w:val="Hyperlink"/>
            <w:sz w:val="24"/>
            <w:lang w:val="sl-SI"/>
          </w:rPr>
          <w:t>https://www.ncbi.nlm.nih.gov/pmc/articles/PMC6612199/</w:t>
        </w:r>
      </w:hyperlink>
      <w:r w:rsidRPr="00A76EDD">
        <w:rPr>
          <w:sz w:val="24"/>
          <w:lang w:val="sl-SI"/>
        </w:rPr>
        <w:t>.</w:t>
      </w:r>
    </w:p>
  </w:footnote>
  <w:footnote w:id="6">
    <w:p w14:paraId="43580156" w14:textId="4167B24A" w:rsidR="00A23D9A" w:rsidRPr="00A76EDD" w:rsidRDefault="00A23D9A" w:rsidP="00A76EDD">
      <w:pPr>
        <w:pStyle w:val="FootnoteText"/>
        <w:ind w:left="567" w:hanging="567"/>
        <w:rPr>
          <w:sz w:val="24"/>
          <w:lang w:val="sl-SI"/>
        </w:rPr>
      </w:pPr>
      <w:r w:rsidRPr="00A76EDD">
        <w:rPr>
          <w:rStyle w:val="FootnoteReference"/>
          <w:sz w:val="24"/>
          <w:lang w:val="sl-SI"/>
        </w:rPr>
        <w:footnoteRef/>
      </w:r>
      <w:r w:rsidR="00A76EDD" w:rsidRPr="00A76EDD">
        <w:rPr>
          <w:sz w:val="24"/>
          <w:lang w:val="sl-SI"/>
        </w:rPr>
        <w:t xml:space="preserve"> </w:t>
      </w:r>
      <w:r w:rsidR="00A76EDD" w:rsidRPr="00A76EDD">
        <w:rPr>
          <w:sz w:val="24"/>
          <w:lang w:val="sl-SI"/>
        </w:rPr>
        <w:tab/>
      </w:r>
      <w:r w:rsidRPr="00A76EDD">
        <w:rPr>
          <w:sz w:val="24"/>
          <w:lang w:val="sl-SI"/>
        </w:rPr>
        <w:t>Uredba (ES) št. 178/2002 Evropskega parlamenta in Sveta z dne 28. januarja 2002 o določitvi splošnih načel in zahtevah živilske zakonodaje, ustanovitvi Evropske agencije za varnost hrane in postopkih, ki zadevajo varnost hrane (UL L 31, 1.2.2002, str. 1, ELI: </w:t>
      </w:r>
      <w:hyperlink r:id="rId18" w:tgtFrame="Gives%20access%20to%20this%20document%20through%20its%20ELI%20URI." w:history="1">
        <w:r w:rsidRPr="00A76EDD">
          <w:rPr>
            <w:rStyle w:val="Hyperlink"/>
            <w:sz w:val="24"/>
            <w:lang w:val="sl-SI"/>
          </w:rPr>
          <w:t>http://data.europa.eu/eli/reg/2002/178/oj</w:t>
        </w:r>
      </w:hyperlink>
      <w:r w:rsidRPr="00A76EDD">
        <w:rPr>
          <w:sz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F52E" w14:textId="77777777" w:rsidR="00064002" w:rsidRPr="00A76E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D2683" w14:textId="77777777" w:rsidR="00064002" w:rsidRPr="00A76E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69FE" w14:textId="77777777" w:rsidR="00064002" w:rsidRPr="00A76E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2457355">
    <w:abstractNumId w:val="9"/>
  </w:num>
  <w:num w:numId="2" w16cid:durableId="498621918">
    <w:abstractNumId w:val="9"/>
  </w:num>
  <w:num w:numId="3" w16cid:durableId="545339973">
    <w:abstractNumId w:val="7"/>
  </w:num>
  <w:num w:numId="4" w16cid:durableId="485167284">
    <w:abstractNumId w:val="7"/>
  </w:num>
  <w:num w:numId="5" w16cid:durableId="350768889">
    <w:abstractNumId w:val="6"/>
  </w:num>
  <w:num w:numId="6" w16cid:durableId="2003265889">
    <w:abstractNumId w:val="6"/>
  </w:num>
  <w:num w:numId="7" w16cid:durableId="972947883">
    <w:abstractNumId w:val="5"/>
  </w:num>
  <w:num w:numId="8" w16cid:durableId="1479880690">
    <w:abstractNumId w:val="5"/>
  </w:num>
  <w:num w:numId="9" w16cid:durableId="140579448">
    <w:abstractNumId w:val="4"/>
  </w:num>
  <w:num w:numId="10" w16cid:durableId="1147867663">
    <w:abstractNumId w:val="4"/>
  </w:num>
  <w:num w:numId="11" w16cid:durableId="779494141">
    <w:abstractNumId w:val="8"/>
  </w:num>
  <w:num w:numId="12" w16cid:durableId="1323850595">
    <w:abstractNumId w:val="8"/>
  </w:num>
  <w:num w:numId="13" w16cid:durableId="1033651163">
    <w:abstractNumId w:val="3"/>
  </w:num>
  <w:num w:numId="14" w16cid:durableId="1390223666">
    <w:abstractNumId w:val="3"/>
  </w:num>
  <w:num w:numId="15" w16cid:durableId="2000884138">
    <w:abstractNumId w:val="2"/>
  </w:num>
  <w:num w:numId="16" w16cid:durableId="867836371">
    <w:abstractNumId w:val="2"/>
  </w:num>
  <w:num w:numId="17" w16cid:durableId="1015838496">
    <w:abstractNumId w:val="1"/>
  </w:num>
  <w:num w:numId="18" w16cid:durableId="1717781075">
    <w:abstractNumId w:val="1"/>
  </w:num>
  <w:num w:numId="19" w16cid:durableId="1695499589">
    <w:abstractNumId w:val="0"/>
  </w:num>
  <w:num w:numId="20" w16cid:durableId="1579824467">
    <w:abstractNumId w:val="0"/>
  </w:num>
  <w:num w:numId="21" w16cid:durableId="998461075">
    <w:abstractNumId w:val="9"/>
  </w:num>
  <w:num w:numId="22" w16cid:durableId="408386276">
    <w:abstractNumId w:val="7"/>
  </w:num>
  <w:num w:numId="23" w16cid:durableId="86970289">
    <w:abstractNumId w:val="6"/>
  </w:num>
  <w:num w:numId="24" w16cid:durableId="1075011992">
    <w:abstractNumId w:val="5"/>
  </w:num>
  <w:num w:numId="25" w16cid:durableId="1952081979">
    <w:abstractNumId w:val="4"/>
  </w:num>
  <w:num w:numId="26" w16cid:durableId="1993633329">
    <w:abstractNumId w:val="8"/>
  </w:num>
  <w:num w:numId="27" w16cid:durableId="1604455574">
    <w:abstractNumId w:val="3"/>
  </w:num>
  <w:num w:numId="28" w16cid:durableId="1368485796">
    <w:abstractNumId w:val="2"/>
  </w:num>
  <w:num w:numId="29" w16cid:durableId="1846941757">
    <w:abstractNumId w:val="1"/>
  </w:num>
  <w:num w:numId="30" w16cid:durableId="115343988">
    <w:abstractNumId w:val="0"/>
  </w:num>
  <w:num w:numId="31" w16cid:durableId="129985622">
    <w:abstractNumId w:val="9"/>
  </w:num>
  <w:num w:numId="32" w16cid:durableId="1960843266">
    <w:abstractNumId w:val="7"/>
  </w:num>
  <w:num w:numId="33" w16cid:durableId="819731327">
    <w:abstractNumId w:val="6"/>
  </w:num>
  <w:num w:numId="34" w16cid:durableId="928587778">
    <w:abstractNumId w:val="5"/>
  </w:num>
  <w:num w:numId="35" w16cid:durableId="530460589">
    <w:abstractNumId w:val="4"/>
  </w:num>
  <w:num w:numId="36" w16cid:durableId="1760297541">
    <w:abstractNumId w:val="8"/>
  </w:num>
  <w:num w:numId="37" w16cid:durableId="896478933">
    <w:abstractNumId w:val="3"/>
  </w:num>
  <w:num w:numId="38" w16cid:durableId="622347832">
    <w:abstractNumId w:val="2"/>
  </w:num>
  <w:num w:numId="39" w16cid:durableId="2045669356">
    <w:abstractNumId w:val="1"/>
  </w:num>
  <w:num w:numId="40" w16cid:durableId="196042886">
    <w:abstractNumId w:val="0"/>
  </w:num>
  <w:num w:numId="41" w16cid:durableId="1747458661">
    <w:abstractNumId w:val="10"/>
  </w:num>
  <w:num w:numId="42" w16cid:durableId="1812362089">
    <w:abstractNumId w:val="10"/>
  </w:num>
  <w:num w:numId="43" w16cid:durableId="1491679880">
    <w:abstractNumId w:val="10"/>
  </w:num>
  <w:num w:numId="44" w16cid:durableId="34621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SL"/>
    <w:docVar w:name="dvnumam" w:val="0"/>
    <w:docVar w:name="dvpe" w:val="778.111"/>
    <w:docVar w:name="dvtitre" w:val="Resolucija Evropskega parlamenta z dne … 2025 o osnutku izvedbenega sklepa Komisije o odobritvi dajanja na trg proizvodov, ki vsebujejo gensko spremenjeno koruzo DAS1131, so iz nje sestavljeni ali proizvedeni, v skladu z Uredbo (ES) št. 1829/2003 Evropskega parlamenta in Sveta(D109630/01 – 2025/2893(RSP))"/>
  </w:docVars>
  <w:rsids>
    <w:rsidRoot w:val="00C34CF3"/>
    <w:rsid w:val="00002272"/>
    <w:rsid w:val="00064002"/>
    <w:rsid w:val="000677B9"/>
    <w:rsid w:val="000831BA"/>
    <w:rsid w:val="000A42CC"/>
    <w:rsid w:val="000C7CBF"/>
    <w:rsid w:val="000D3D5B"/>
    <w:rsid w:val="000E7DD9"/>
    <w:rsid w:val="0010095E"/>
    <w:rsid w:val="00125B37"/>
    <w:rsid w:val="00187494"/>
    <w:rsid w:val="001F32AE"/>
    <w:rsid w:val="002767FF"/>
    <w:rsid w:val="002B18FE"/>
    <w:rsid w:val="002B5493"/>
    <w:rsid w:val="002C323E"/>
    <w:rsid w:val="00343214"/>
    <w:rsid w:val="00361C00"/>
    <w:rsid w:val="00364463"/>
    <w:rsid w:val="00395FA1"/>
    <w:rsid w:val="003D3CB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96D"/>
    <w:rsid w:val="005F1B17"/>
    <w:rsid w:val="006037C0"/>
    <w:rsid w:val="006631B6"/>
    <w:rsid w:val="00680577"/>
    <w:rsid w:val="006C2E0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AB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BDB"/>
    <w:rsid w:val="00981893"/>
    <w:rsid w:val="009F3C70"/>
    <w:rsid w:val="00A1687D"/>
    <w:rsid w:val="00A23D9A"/>
    <w:rsid w:val="00A43E52"/>
    <w:rsid w:val="00A4678D"/>
    <w:rsid w:val="00A76EDD"/>
    <w:rsid w:val="00A778C7"/>
    <w:rsid w:val="00AB441E"/>
    <w:rsid w:val="00AB6293"/>
    <w:rsid w:val="00AE0928"/>
    <w:rsid w:val="00AF3B82"/>
    <w:rsid w:val="00B12E95"/>
    <w:rsid w:val="00B22876"/>
    <w:rsid w:val="00B558F0"/>
    <w:rsid w:val="00B72161"/>
    <w:rsid w:val="00BD48FE"/>
    <w:rsid w:val="00BD7BD8"/>
    <w:rsid w:val="00BE5929"/>
    <w:rsid w:val="00BE6ADC"/>
    <w:rsid w:val="00C05BFE"/>
    <w:rsid w:val="00C23CD4"/>
    <w:rsid w:val="00C34CF3"/>
    <w:rsid w:val="00C61C0C"/>
    <w:rsid w:val="00C941CB"/>
    <w:rsid w:val="00CB4232"/>
    <w:rsid w:val="00CC2357"/>
    <w:rsid w:val="00CF071A"/>
    <w:rsid w:val="00D058B8"/>
    <w:rsid w:val="00D27704"/>
    <w:rsid w:val="00D56C11"/>
    <w:rsid w:val="00D834A0"/>
    <w:rsid w:val="00D872DF"/>
    <w:rsid w:val="00D91E21"/>
    <w:rsid w:val="00DA7FCD"/>
    <w:rsid w:val="00DD477F"/>
    <w:rsid w:val="00E365E1"/>
    <w:rsid w:val="00E6211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E1BF7"/>
  <w15:chartTrackingRefBased/>
  <w15:docId w15:val="{30F3C404-EDC9-49E2-8F81-0D783ADF3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A23D9A"/>
    <w:pPr>
      <w:spacing w:before="480" w:after="240"/>
    </w:pPr>
  </w:style>
  <w:style w:type="paragraph" w:customStyle="1" w:styleId="NormalHanging12a">
    <w:name w:val="NormalHanging12a"/>
    <w:basedOn w:val="Normal"/>
    <w:qFormat/>
    <w:rsid w:val="00A23D9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23D9A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A23D9A"/>
    <w:rPr>
      <w:vertAlign w:val="superscript"/>
    </w:rPr>
  </w:style>
  <w:style w:type="paragraph" w:styleId="Revision">
    <w:name w:val="Revision"/>
    <w:hidden/>
    <w:uiPriority w:val="99"/>
    <w:semiHidden/>
    <w:rsid w:val="000D3D5B"/>
    <w:rPr>
      <w:sz w:val="24"/>
      <w:lang w:val="sl-SI"/>
    </w:rPr>
  </w:style>
  <w:style w:type="character" w:styleId="CommentReference">
    <w:name w:val="annotation reference"/>
    <w:basedOn w:val="DefaultParagraphFont"/>
    <w:rsid w:val="000C7C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CBF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0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5901</Characters>
  <Application>Microsoft Office Word</Application>
  <DocSecurity>0</DocSecurity>
  <Lines>147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TERBOVC Spela</cp:lastModifiedBy>
  <cp:revision>2</cp:revision>
  <cp:lastPrinted>2004-11-19T15:42:00Z</cp:lastPrinted>
  <dcterms:created xsi:type="dcterms:W3CDTF">2026-01-23T09:26:00Z</dcterms:created>
  <dcterms:modified xsi:type="dcterms:W3CDTF">2026-01-23T09:26:00Z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