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E9E" w14:paraId="26582EB6" w14:textId="77777777" w:rsidTr="0010095E">
        <w:trPr>
          <w:trHeight w:hRule="exact" w:val="1418"/>
        </w:trPr>
        <w:tc>
          <w:tcPr>
            <w:tcW w:w="6804" w:type="dxa"/>
            <w:shd w:val="clear" w:color="auto" w:fill="auto"/>
            <w:vAlign w:val="center"/>
          </w:tcPr>
          <w:p w14:paraId="389EB2E6" w14:textId="77777777" w:rsidR="00751A4A" w:rsidRPr="00624E9E" w:rsidRDefault="003D4B11" w:rsidP="0010095E">
            <w:pPr>
              <w:pStyle w:val="EPName"/>
            </w:pPr>
            <w:r w:rsidRPr="00624E9E">
              <w:t>Euroopa Parlament</w:t>
            </w:r>
          </w:p>
          <w:p w14:paraId="3B41FF24" w14:textId="77777777" w:rsidR="00751A4A" w:rsidRPr="00624E9E" w:rsidRDefault="005F1B17" w:rsidP="005F1B17">
            <w:pPr>
              <w:pStyle w:val="EPTerm"/>
              <w:rPr>
                <w:rStyle w:val="HideTWBExt"/>
                <w:noProof w:val="0"/>
                <w:vanish w:val="0"/>
                <w:color w:val="auto"/>
              </w:rPr>
            </w:pPr>
            <w:r w:rsidRPr="00624E9E">
              <w:t>2024</w:t>
            </w:r>
            <w:r w:rsidR="00817416" w:rsidRPr="00624E9E">
              <w:t>-202</w:t>
            </w:r>
            <w:r w:rsidRPr="00624E9E">
              <w:t>9</w:t>
            </w:r>
          </w:p>
        </w:tc>
        <w:tc>
          <w:tcPr>
            <w:tcW w:w="2268" w:type="dxa"/>
            <w:shd w:val="clear" w:color="auto" w:fill="auto"/>
          </w:tcPr>
          <w:p w14:paraId="6DE5DCE5" w14:textId="77777777" w:rsidR="00751A4A" w:rsidRPr="00624E9E" w:rsidRDefault="00187494" w:rsidP="0010095E">
            <w:pPr>
              <w:pStyle w:val="EPLogo"/>
            </w:pPr>
            <w:r w:rsidRPr="00624E9E">
              <w:rPr>
                <w:noProof/>
                <w:lang w:eastAsia="ja-JP"/>
              </w:rPr>
              <w:drawing>
                <wp:inline distT="0" distB="0" distL="0" distR="0" wp14:anchorId="1DEB8CFC" wp14:editId="708C60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04B6CA" w14:textId="77777777" w:rsidR="00D058B8" w:rsidRPr="00624E9E" w:rsidRDefault="00D058B8" w:rsidP="004C5D52">
      <w:pPr>
        <w:pStyle w:val="LineTop"/>
      </w:pPr>
    </w:p>
    <w:p w14:paraId="6FE51F79" w14:textId="77777777" w:rsidR="00680577" w:rsidRPr="00624E9E" w:rsidRDefault="003D4B11" w:rsidP="00680577">
      <w:pPr>
        <w:pStyle w:val="EPBodyTA1"/>
      </w:pPr>
      <w:r w:rsidRPr="00624E9E">
        <w:t>VASTUVÕETUD TEKSTID</w:t>
      </w:r>
    </w:p>
    <w:p w14:paraId="43F558B9" w14:textId="77777777" w:rsidR="00D058B8" w:rsidRPr="00624E9E" w:rsidRDefault="00D058B8" w:rsidP="00D058B8">
      <w:pPr>
        <w:pStyle w:val="LineBottom"/>
      </w:pPr>
    </w:p>
    <w:p w14:paraId="36597D1C" w14:textId="0E953C5A" w:rsidR="003D4B11" w:rsidRPr="00624E9E" w:rsidRDefault="003D4B11" w:rsidP="003D4B11">
      <w:pPr>
        <w:pStyle w:val="ATHeading1"/>
      </w:pPr>
      <w:bookmarkStart w:id="0" w:name="TANumber"/>
      <w:r w:rsidRPr="00624E9E">
        <w:t>P10_TA(2025)0</w:t>
      </w:r>
      <w:r w:rsidR="00423C9E">
        <w:t>290</w:t>
      </w:r>
      <w:bookmarkEnd w:id="0"/>
    </w:p>
    <w:p w14:paraId="22217517" w14:textId="1B4768FA" w:rsidR="003D4B11" w:rsidRPr="00624E9E" w:rsidRDefault="00D56646" w:rsidP="003D4B11">
      <w:pPr>
        <w:pStyle w:val="ATHeading2"/>
      </w:pPr>
      <w:bookmarkStart w:id="1" w:name="title"/>
      <w:r>
        <w:rPr>
          <w:bCs/>
        </w:rPr>
        <w:t>G</w:t>
      </w:r>
      <w:r w:rsidRPr="00D56646">
        <w:rPr>
          <w:bCs/>
        </w:rPr>
        <w:t>eneetiliselt muundatud raps MON 88302</w:t>
      </w:r>
      <w:bookmarkEnd w:id="1"/>
    </w:p>
    <w:p w14:paraId="7895A5A1" w14:textId="77777777" w:rsidR="003D4B11" w:rsidRPr="00624E9E" w:rsidRDefault="003D4B11" w:rsidP="003D4B11">
      <w:pPr>
        <w:rPr>
          <w:i/>
          <w:vanish/>
        </w:rPr>
      </w:pPr>
      <w:r w:rsidRPr="00624E9E">
        <w:rPr>
          <w:i/>
        </w:rPr>
        <w:fldChar w:fldCharType="begin"/>
      </w:r>
      <w:r w:rsidRPr="00624E9E">
        <w:rPr>
          <w:i/>
        </w:rPr>
        <w:instrText xml:space="preserve"> TC"(</w:instrText>
      </w:r>
      <w:bookmarkStart w:id="2" w:name="DocNumber"/>
      <w:r w:rsidRPr="00624E9E">
        <w:rPr>
          <w:i/>
        </w:rPr>
        <w:instrText>B10-0490/2025</w:instrText>
      </w:r>
      <w:bookmarkEnd w:id="2"/>
      <w:r w:rsidRPr="00624E9E">
        <w:rPr>
          <w:i/>
        </w:rPr>
        <w:instrText xml:space="preserve">)"\l3 \n&gt; \* MERGEFORMAT </w:instrText>
      </w:r>
      <w:r w:rsidRPr="00624E9E">
        <w:rPr>
          <w:i/>
        </w:rPr>
        <w:fldChar w:fldCharType="end"/>
      </w:r>
    </w:p>
    <w:p w14:paraId="20000D1F" w14:textId="77777777" w:rsidR="003D4B11" w:rsidRPr="00624E9E" w:rsidRDefault="003D4B11" w:rsidP="003D4B11">
      <w:pPr>
        <w:rPr>
          <w:vanish/>
        </w:rPr>
      </w:pPr>
      <w:bookmarkStart w:id="3" w:name="PE"/>
      <w:r w:rsidRPr="00624E9E">
        <w:rPr>
          <w:vanish/>
        </w:rPr>
        <w:t>PE778.109</w:t>
      </w:r>
      <w:bookmarkEnd w:id="3"/>
    </w:p>
    <w:p w14:paraId="643FA241" w14:textId="3069E901" w:rsidR="003D4B11" w:rsidRPr="00624E9E" w:rsidRDefault="003D4B11" w:rsidP="00505BB5">
      <w:pPr>
        <w:pStyle w:val="ATHeading3"/>
      </w:pPr>
      <w:bookmarkStart w:id="4" w:name="Sujet"/>
      <w:r w:rsidRPr="00624E9E">
        <w:t xml:space="preserve">Euroopa Parlamendi </w:t>
      </w:r>
      <w:r w:rsidR="007062D6">
        <w:t xml:space="preserve">25. novembri </w:t>
      </w:r>
      <w:r w:rsidRPr="00624E9E">
        <w:t>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w:t>
      </w:r>
      <w:bookmarkEnd w:id="4"/>
      <w:r w:rsidRPr="00624E9E">
        <w:t xml:space="preserve"> </w:t>
      </w:r>
      <w:bookmarkStart w:id="5" w:name="References"/>
      <w:r w:rsidRPr="00624E9E">
        <w:t>(D109632/01 – 2025/2895(RSP))</w:t>
      </w:r>
      <w:bookmarkEnd w:id="5"/>
    </w:p>
    <w:p w14:paraId="0D5A198F" w14:textId="77777777" w:rsidR="00B62455" w:rsidRPr="00624E9E" w:rsidRDefault="00B62455" w:rsidP="00B62455">
      <w:pPr>
        <w:pStyle w:val="EPComma"/>
      </w:pPr>
      <w:bookmarkStart w:id="6" w:name="TextBodyBegin"/>
      <w:bookmarkEnd w:id="6"/>
      <w:r w:rsidRPr="00624E9E">
        <w:rPr>
          <w:i/>
        </w:rPr>
        <w:t>Euroopa Parlament</w:t>
      </w:r>
      <w:r w:rsidRPr="00624E9E">
        <w:t>,</w:t>
      </w:r>
    </w:p>
    <w:p w14:paraId="549345B6" w14:textId="77777777" w:rsidR="00B62455" w:rsidRPr="00624E9E" w:rsidRDefault="00B62455" w:rsidP="00B62455">
      <w:pPr>
        <w:pStyle w:val="NormalHanging12a"/>
      </w:pPr>
      <w:r w:rsidRPr="00624E9E">
        <w:t>–</w:t>
      </w:r>
      <w:r w:rsidRPr="00624E9E">
        <w:tab/>
        <w:t>võttes arvesse komisjoni rakendusotsuse eelnõu, millega pikendatakse geneetiliselt muundatud rapsi MON 88302 sisaldavate, sellest koosnevate või sellest valmistatud toodete turule laskmise loa kehtivust vastavalt Euroopa Parlamendi ja nõukogu määrusele (EÜ) nr 1829/2003 (D109632/01),</w:t>
      </w:r>
    </w:p>
    <w:p w14:paraId="30E62AE3" w14:textId="77777777" w:rsidR="00B62455" w:rsidRPr="00624E9E" w:rsidRDefault="00B62455" w:rsidP="00B62455">
      <w:pPr>
        <w:pStyle w:val="NormalHanging12a"/>
      </w:pPr>
      <w:r w:rsidRPr="00624E9E">
        <w:t>–</w:t>
      </w:r>
      <w:r w:rsidRPr="00624E9E">
        <w:tab/>
        <w:t>võttes arvesse Euroopa Parlamendi ja nõukogu 22. septembri 2003. aasta määrust (EÜ) nr 1829/2003 geneetiliselt muundatud toidu ja sööda kohta</w:t>
      </w:r>
      <w:r w:rsidRPr="00624E9E">
        <w:rPr>
          <w:vertAlign w:val="superscript"/>
        </w:rPr>
        <w:footnoteReference w:id="1"/>
      </w:r>
      <w:r w:rsidRPr="00624E9E">
        <w:t xml:space="preserve">, eriti selle artikli 11 lõiget 3 ja artikli 23 lõiget 3, </w:t>
      </w:r>
    </w:p>
    <w:p w14:paraId="09082328" w14:textId="53E265E7" w:rsidR="00B62455" w:rsidRPr="00624E9E" w:rsidRDefault="00B62455" w:rsidP="00C45952">
      <w:pPr>
        <w:pStyle w:val="NormalHanging12a"/>
      </w:pPr>
      <w:r w:rsidRPr="00624E9E">
        <w:t>–</w:t>
      </w:r>
      <w:r w:rsidRPr="00624E9E">
        <w:tab/>
        <w:t xml:space="preserve">võttes arvesse määruse (EÜ) nr 1829/2003 artiklis 35 osutatud </w:t>
      </w:r>
      <w:bookmarkStart w:id="7" w:name="_Hlk210664905"/>
      <w:r w:rsidRPr="00624E9E">
        <w:t>alalise taime-, looma-, toidu- ja söödakomitee</w:t>
      </w:r>
      <w:bookmarkEnd w:id="7"/>
      <w:r w:rsidRPr="00624E9E">
        <w:t xml:space="preserve"> hääletust, mis toimus 15. septembril 2025,</w:t>
      </w:r>
      <w:r w:rsidR="00C45952">
        <w:t xml:space="preserve"> </w:t>
      </w:r>
      <w:r w:rsidR="00C45952" w:rsidRPr="0039042C">
        <w:t>mille tulemusel arvamust ei esitatud,</w:t>
      </w:r>
      <w:r w:rsidR="00C45952">
        <w:t xml:space="preserve"> </w:t>
      </w:r>
      <w:r w:rsidR="00C45952" w:rsidRPr="00525E97">
        <w:t xml:space="preserve">ning </w:t>
      </w:r>
      <w:r w:rsidR="003F74F7">
        <w:t xml:space="preserve">apellatsioonikomitees </w:t>
      </w:r>
      <w:r w:rsidR="00C45952">
        <w:t>21</w:t>
      </w:r>
      <w:r w:rsidR="00C45952" w:rsidRPr="00525E97">
        <w:t>. </w:t>
      </w:r>
      <w:r w:rsidR="00C45952">
        <w:t>oktoobril</w:t>
      </w:r>
      <w:r w:rsidR="00C45952" w:rsidRPr="00525E97">
        <w:t> 202</w:t>
      </w:r>
      <w:r w:rsidR="00C45952">
        <w:t>5</w:t>
      </w:r>
      <w:r w:rsidR="00C45952" w:rsidRPr="00525E97">
        <w:t xml:space="preserve"> toimunud hääletus</w:t>
      </w:r>
      <w:r w:rsidR="003F74F7">
        <w:t>t, mille</w:t>
      </w:r>
      <w:r w:rsidR="00C45952" w:rsidRPr="00525E97">
        <w:t xml:space="preserve"> tulemusel samuti arvamust</w:t>
      </w:r>
      <w:r w:rsidR="003F74F7" w:rsidRPr="003F74F7">
        <w:t xml:space="preserve"> </w:t>
      </w:r>
      <w:r w:rsidR="003F74F7" w:rsidRPr="00525E97">
        <w:t>ei esitatud</w:t>
      </w:r>
      <w:r w:rsidR="00C45952">
        <w:t>,</w:t>
      </w:r>
    </w:p>
    <w:p w14:paraId="18395D19" w14:textId="66BA25BD" w:rsidR="00B62455" w:rsidRPr="00624E9E" w:rsidRDefault="00B62455" w:rsidP="00B62455">
      <w:pPr>
        <w:pStyle w:val="NormalHanging12a"/>
      </w:pPr>
      <w:r w:rsidRPr="00624E9E">
        <w:t>–</w:t>
      </w:r>
      <w:r w:rsidRPr="00624E9E">
        <w:tab/>
        <w:t>võttes arvesse Euroopa Parlamendi ja nõukogu 16. veebruari 2011. aasta määruse (EL) nr 182/2011</w:t>
      </w:r>
      <w:r w:rsidR="008D770D">
        <w:t>,</w:t>
      </w:r>
      <w:r w:rsidRPr="00624E9E">
        <w:t xml:space="preserve"> millega kehtestatakse eeskirjad ja üldpõhimõtted, mis käsitlevad liikmesriikide läbiviidava kontrolli mehhanisme, mida kohaldatakse komisjoni rakendamisvolituste teostamise suhtes</w:t>
      </w:r>
      <w:r w:rsidRPr="00624E9E">
        <w:rPr>
          <w:rStyle w:val="FootnoteReference"/>
        </w:rPr>
        <w:footnoteReference w:id="2"/>
      </w:r>
      <w:r w:rsidR="008D770D">
        <w:t xml:space="preserve"> artiklit 11</w:t>
      </w:r>
      <w:r w:rsidRPr="00624E9E">
        <w:t>,</w:t>
      </w:r>
    </w:p>
    <w:p w14:paraId="6BB537F5" w14:textId="77777777" w:rsidR="00B62455" w:rsidRPr="00624E9E" w:rsidRDefault="00B62455" w:rsidP="00B62455">
      <w:pPr>
        <w:pStyle w:val="NormalHanging12a"/>
      </w:pPr>
      <w:r w:rsidRPr="00624E9E">
        <w:t>–</w:t>
      </w:r>
      <w:r w:rsidRPr="00624E9E">
        <w:tab/>
        <w:t xml:space="preserve">võttes arvesse Euroopa Toiduohutusameti (EFSA) 26. märtsil 2025 vastu võetud ja </w:t>
      </w:r>
      <w:r w:rsidRPr="00624E9E">
        <w:lastRenderedPageBreak/>
        <w:t>13. mail 2025 avaldatud arvamust</w:t>
      </w:r>
      <w:r w:rsidRPr="00624E9E">
        <w:rPr>
          <w:rStyle w:val="FootnoteReference"/>
          <w:szCs w:val="24"/>
        </w:rPr>
        <w:footnoteReference w:id="3"/>
      </w:r>
      <w:r w:rsidRPr="00624E9E">
        <w:t>,</w:t>
      </w:r>
    </w:p>
    <w:p w14:paraId="2230B4D5" w14:textId="77777777" w:rsidR="00B62455" w:rsidRPr="00624E9E" w:rsidRDefault="00B62455" w:rsidP="00B62455">
      <w:pPr>
        <w:pStyle w:val="NormalHanging12a"/>
      </w:pPr>
      <w:r w:rsidRPr="00624E9E">
        <w:t>–</w:t>
      </w:r>
      <w:r w:rsidRPr="00624E9E">
        <w:tab/>
        <w:t>võttes arvesse oma varasemaid resolutsioone, milles esitatakse vastuväiteid geneetiliselt muundatud organismide (</w:t>
      </w:r>
      <w:proofErr w:type="spellStart"/>
      <w:r w:rsidRPr="00624E9E">
        <w:t>GMOd</w:t>
      </w:r>
      <w:proofErr w:type="spellEnd"/>
      <w:r w:rsidRPr="00624E9E">
        <w:t>) kasutamiseks lubade andmisele</w:t>
      </w:r>
      <w:r w:rsidRPr="00624E9E">
        <w:rPr>
          <w:rStyle w:val="FootnoteReference"/>
        </w:rPr>
        <w:footnoteReference w:id="4"/>
      </w:r>
      <w:r w:rsidRPr="00624E9E">
        <w:t>,</w:t>
      </w:r>
    </w:p>
    <w:p w14:paraId="4196088D" w14:textId="77777777" w:rsidR="00B62455" w:rsidRPr="00624E9E" w:rsidRDefault="00B62455" w:rsidP="00B62455">
      <w:pPr>
        <w:pStyle w:val="NormalHanging12a"/>
      </w:pPr>
      <w:r w:rsidRPr="00624E9E">
        <w:lastRenderedPageBreak/>
        <w:t>–</w:t>
      </w:r>
      <w:r w:rsidRPr="00624E9E">
        <w:tab/>
        <w:t>võttes arvesse kodukorra artikli 115 lõikeid 2 ja 3,</w:t>
      </w:r>
    </w:p>
    <w:p w14:paraId="33D2D367" w14:textId="77777777" w:rsidR="00B62455" w:rsidRPr="00624E9E" w:rsidRDefault="00B62455" w:rsidP="00B62455">
      <w:pPr>
        <w:pStyle w:val="NormalHanging12a"/>
      </w:pPr>
      <w:r w:rsidRPr="00624E9E">
        <w:t>–</w:t>
      </w:r>
      <w:r w:rsidRPr="00624E9E">
        <w:tab/>
        <w:t>võttes arvesse keskkonna-, kliima- ja toiduohutuse komisjoni resolutsiooni ettepanekut,</w:t>
      </w:r>
    </w:p>
    <w:p w14:paraId="3A04E984" w14:textId="6B1F67A1" w:rsidR="00B62455" w:rsidRPr="00624E9E" w:rsidRDefault="00B62455" w:rsidP="00B62455">
      <w:pPr>
        <w:pStyle w:val="NormalHanging12a"/>
      </w:pPr>
      <w:r w:rsidRPr="00624E9E">
        <w:t>A.</w:t>
      </w:r>
      <w:r w:rsidRPr="00624E9E">
        <w:tab/>
        <w:t>arvestades, et komisjoni 24.</w:t>
      </w:r>
      <w:r w:rsidRPr="00624E9E">
        <w:rPr>
          <w:b/>
        </w:rPr>
        <w:t> </w:t>
      </w:r>
      <w:r w:rsidRPr="00624E9E">
        <w:t>aprilli 2015. aasta rakendusotsusega (EL) 2015/687</w:t>
      </w:r>
      <w:r w:rsidRPr="00624E9E">
        <w:rPr>
          <w:rStyle w:val="FootnoteReference"/>
        </w:rPr>
        <w:footnoteReference w:id="5"/>
      </w:r>
      <w:r w:rsidRPr="00624E9E">
        <w:t xml:space="preserve"> lubati lasta turule geneetiliselt muundatud rapsi MON 88302 (</w:t>
      </w:r>
      <w:r w:rsidR="00E176B4">
        <w:t>edaspidi „</w:t>
      </w:r>
      <w:r w:rsidRPr="00624E9E">
        <w:t>geneetiliselt muundatud raps</w:t>
      </w:r>
      <w:r w:rsidR="00E176B4">
        <w:t>“</w:t>
      </w:r>
      <w:r w:rsidRPr="00624E9E">
        <w:t>) sisaldavaid, sellest koosnevaid või sellest valmistatud tooteid;</w:t>
      </w:r>
    </w:p>
    <w:p w14:paraId="697F3149" w14:textId="4690A39C" w:rsidR="00B62455" w:rsidRPr="00624E9E" w:rsidRDefault="00B62455" w:rsidP="00B62455">
      <w:pPr>
        <w:spacing w:after="240"/>
        <w:ind w:left="567" w:hanging="567"/>
      </w:pPr>
      <w:r w:rsidRPr="00624E9E">
        <w:t>B.</w:t>
      </w:r>
      <w:r w:rsidRPr="00624E9E">
        <w:tab/>
        <w:t xml:space="preserve">arvestades, et </w:t>
      </w:r>
      <w:r w:rsidR="008D770D">
        <w:t xml:space="preserve">Belgias asuv </w:t>
      </w:r>
      <w:r w:rsidRPr="00624E9E">
        <w:t xml:space="preserve">äriühing Bayer </w:t>
      </w:r>
      <w:proofErr w:type="spellStart"/>
      <w:r w:rsidRPr="00624E9E">
        <w:t>Agriculture</w:t>
      </w:r>
      <w:proofErr w:type="spellEnd"/>
      <w:r w:rsidRPr="00624E9E">
        <w:t xml:space="preserve"> B.V. esitas 28. veebruaril 2024 </w:t>
      </w:r>
      <w:r w:rsidR="008D770D">
        <w:t xml:space="preserve">Ameerika Ühendriikides asuva </w:t>
      </w:r>
      <w:r w:rsidRPr="00624E9E">
        <w:t xml:space="preserve">äriühingu Bayer </w:t>
      </w:r>
      <w:proofErr w:type="spellStart"/>
      <w:r w:rsidRPr="00624E9E">
        <w:t>CropScience</w:t>
      </w:r>
      <w:proofErr w:type="spellEnd"/>
      <w:r w:rsidRPr="00624E9E">
        <w:t xml:space="preserve"> LP nimel komisjonile määruse (EÜ) nr 1829/2003 artiklite 11 ja 23 kohase taotluse eespool nimetatud loa kehtivuse pikendamiseks; arvestades, et kõnealune luba hõlmas ka selliste muude toodete (v.a toit ja sööt) turule laskmist, mis sisaldavad geneetiliselt muundatud rapsi või koosnevad sellest ja mida kasutatakse nagu muud rapsi, kuid mida ei viljelda;</w:t>
      </w:r>
    </w:p>
    <w:p w14:paraId="4F92B089" w14:textId="35E17FAC" w:rsidR="00B62455" w:rsidRPr="00624E9E" w:rsidRDefault="00B62455" w:rsidP="00B62455">
      <w:pPr>
        <w:spacing w:after="240"/>
        <w:ind w:left="567" w:hanging="567"/>
      </w:pPr>
      <w:r w:rsidRPr="00624E9E">
        <w:t>C.</w:t>
      </w:r>
      <w:r w:rsidRPr="00624E9E">
        <w:tab/>
        <w:t xml:space="preserve">arvestades, et EFSA esitas 26. märtsil 2025 heakskiitva arvamuse, </w:t>
      </w:r>
      <w:r w:rsidR="008D770D">
        <w:t>jõudes</w:t>
      </w:r>
      <w:r w:rsidRPr="00624E9E">
        <w:t xml:space="preserve"> järeldusele, et kõnealuses pikendamistaotluses ei ole esitatud tõendeid uute ohtude, kokkupuutega seotud muutuste ega teadusliku ebamäärasuse kohta, mis muudaksid 2014. aastal avaldatud esialgse riskihindamise järeldusi;</w:t>
      </w:r>
    </w:p>
    <w:p w14:paraId="498B4AA4" w14:textId="77777777" w:rsidR="00B62455" w:rsidRPr="00624E9E" w:rsidRDefault="00B62455" w:rsidP="00B62455">
      <w:pPr>
        <w:spacing w:after="240"/>
        <w:ind w:left="567" w:hanging="567"/>
      </w:pPr>
      <w:r w:rsidRPr="00624E9E">
        <w:t>D.</w:t>
      </w:r>
      <w:r w:rsidRPr="00624E9E">
        <w:tab/>
        <w:t xml:space="preserve">arvestades, et geneetiliselt muundatud raps talub </w:t>
      </w:r>
      <w:proofErr w:type="spellStart"/>
      <w:r w:rsidRPr="00624E9E">
        <w:t>glüfosaati</w:t>
      </w:r>
      <w:proofErr w:type="spellEnd"/>
      <w:r w:rsidRPr="00624E9E">
        <w:t xml:space="preserve">; arvestades, et </w:t>
      </w:r>
      <w:proofErr w:type="spellStart"/>
      <w:r w:rsidRPr="00624E9E">
        <w:t>glüfosaadi</w:t>
      </w:r>
      <w:proofErr w:type="spellEnd"/>
      <w:r w:rsidRPr="00624E9E">
        <w:t xml:space="preserve"> kasutamine on seotud elurikkuse vähenemise, pinnase ja vee saastumise ning terviseprobleemidega;</w:t>
      </w:r>
    </w:p>
    <w:p w14:paraId="7FBB4B5E" w14:textId="77777777" w:rsidR="00B62455" w:rsidRPr="00624E9E" w:rsidRDefault="00B62455" w:rsidP="00B62455">
      <w:pPr>
        <w:spacing w:after="240"/>
        <w:ind w:left="567" w:hanging="567"/>
      </w:pPr>
      <w:r w:rsidRPr="00624E9E">
        <w:t>E.</w:t>
      </w:r>
      <w:r w:rsidRPr="00624E9E">
        <w:tab/>
        <w:t xml:space="preserve">arvestades, et EFSA arvamuses ei võetud piisavalt arvesse herbitsiidide intensiivsema kasutamise kumulatiivset ja koosmõju, kaudset keskkonnamõju ega </w:t>
      </w:r>
      <w:proofErr w:type="spellStart"/>
      <w:r w:rsidRPr="00624E9E">
        <w:t>sotsiaal-</w:t>
      </w:r>
      <w:r w:rsidRPr="00624E9E">
        <w:lastRenderedPageBreak/>
        <w:t>majanduslikke</w:t>
      </w:r>
      <w:proofErr w:type="spellEnd"/>
      <w:r w:rsidRPr="00624E9E">
        <w:t xml:space="preserve"> tagajärgi;</w:t>
      </w:r>
    </w:p>
    <w:p w14:paraId="4F475487" w14:textId="77777777" w:rsidR="00B62455" w:rsidRPr="00624E9E" w:rsidRDefault="00B62455" w:rsidP="00B62455">
      <w:pPr>
        <w:spacing w:after="240"/>
        <w:ind w:left="567" w:hanging="567"/>
      </w:pPr>
      <w:r w:rsidRPr="00624E9E">
        <w:t>F.</w:t>
      </w:r>
      <w:r w:rsidRPr="00624E9E">
        <w:tab/>
        <w:t>arvestades, et geneetiliselt muundatud rapsi puhul on kontrollimatu leviku ja geenivoo oht suur ning mitmes liikmesriigis on juba dokumenteeritud geneetiliselt muundatud rapsi metsikute populatsioonide juhtumid, mis tekitavad raskusi seoses samaaegse viljelemise, pikaajalise seire ja hävitamisega;</w:t>
      </w:r>
    </w:p>
    <w:p w14:paraId="7E8290C9" w14:textId="77777777" w:rsidR="00B62455" w:rsidRPr="00624E9E" w:rsidRDefault="00B62455" w:rsidP="00B62455">
      <w:pPr>
        <w:spacing w:after="240"/>
        <w:ind w:left="567" w:hanging="567"/>
      </w:pPr>
      <w:r w:rsidRPr="00624E9E">
        <w:t>G.</w:t>
      </w:r>
      <w:r w:rsidRPr="00624E9E">
        <w:tab/>
        <w:t>arvestades, et komisjoni rakendusotsuse eelnõus sätestatud keskkonnamõju seire kava tugineb peamiselt üldisele järelevalvele ning selles ei nähta ette konkreetseid sõltumatuid pikaajalisi uuringuid tolmeldajate, mullaorganismide ja sihtrühma mittekuuluvate taimede kohta;</w:t>
      </w:r>
    </w:p>
    <w:p w14:paraId="71F975BD" w14:textId="77777777" w:rsidR="00B62455" w:rsidRPr="00624E9E" w:rsidRDefault="00B62455" w:rsidP="00B62455">
      <w:pPr>
        <w:spacing w:after="240"/>
        <w:ind w:left="567" w:hanging="567"/>
      </w:pPr>
      <w:r w:rsidRPr="00624E9E">
        <w:t>H.</w:t>
      </w:r>
      <w:r w:rsidRPr="00624E9E">
        <w:tab/>
        <w:t>arvestades, et kohaldada tuleks Euroopa Liidu toimimise lepingu artiklis 191 sätestatud ettevaatuspõhimõtet, võttes arvesse teaduslikku ebamäärasust ja tõendeid geneetiliselt muundatud rapsi võimaliku püsivuse ja leviku kohta keskkonnas;</w:t>
      </w:r>
    </w:p>
    <w:p w14:paraId="0A26C448" w14:textId="77777777" w:rsidR="00B62455" w:rsidRPr="00624E9E" w:rsidRDefault="00B62455" w:rsidP="00B62455">
      <w:pPr>
        <w:spacing w:after="240"/>
        <w:ind w:left="567" w:hanging="567"/>
      </w:pPr>
      <w:r w:rsidRPr="00624E9E">
        <w:t>I.</w:t>
      </w:r>
      <w:r w:rsidRPr="00624E9E">
        <w:tab/>
        <w:t>arvestades, et määruses (EÜ) nr 1829/2003 nõutakse, et geneetiliselt muundatud toit ja sööt ei tohi avaldada inimeste ja loomade tervisele ega keskkonnale kahjulikku mõju;</w:t>
      </w:r>
    </w:p>
    <w:p w14:paraId="0C44B1EF" w14:textId="26EBC7D2" w:rsidR="00B62455" w:rsidRPr="00624E9E" w:rsidRDefault="00405D06" w:rsidP="00B62455">
      <w:pPr>
        <w:spacing w:after="240"/>
        <w:ind w:left="567" w:hanging="567"/>
      </w:pPr>
      <w:r>
        <w:t>J</w:t>
      </w:r>
      <w:r w:rsidR="00B62455" w:rsidRPr="00624E9E">
        <w:t>.</w:t>
      </w:r>
      <w:r w:rsidR="00B62455" w:rsidRPr="00624E9E">
        <w:tab/>
        <w:t>arvestades, et terviseühtsuse põhimõttega nõutakse terviklikku ülevaadet riskidest ja mõjust inimeste, loomade, taimede ja keskkonna tervisele, mis ei ole käesoleva hindamisega tagatud;</w:t>
      </w:r>
    </w:p>
    <w:p w14:paraId="426AE502" w14:textId="70ACB062" w:rsidR="00B62455" w:rsidRPr="00624E9E" w:rsidRDefault="00405D06" w:rsidP="00B62455">
      <w:pPr>
        <w:spacing w:after="240"/>
        <w:ind w:left="567" w:hanging="567"/>
      </w:pPr>
      <w:r>
        <w:t>K</w:t>
      </w:r>
      <w:r w:rsidR="00B62455" w:rsidRPr="00624E9E">
        <w:t>.</w:t>
      </w:r>
      <w:r w:rsidR="00B62455" w:rsidRPr="00624E9E">
        <w:tab/>
        <w:t xml:space="preserve">arvestades, et Euroopa Parlament on korduvalt esitanud vastuväiteid </w:t>
      </w:r>
      <w:proofErr w:type="spellStart"/>
      <w:r w:rsidR="00B62455" w:rsidRPr="00624E9E">
        <w:t>GMOdele</w:t>
      </w:r>
      <w:proofErr w:type="spellEnd"/>
      <w:r w:rsidR="00B62455" w:rsidRPr="00624E9E">
        <w:t xml:space="preserve"> lubade andmisele või lubade pikendamisele juhtudel, kui liikmesriigid ei saavuta </w:t>
      </w:r>
      <w:bookmarkStart w:id="8" w:name="_Hlk210670575"/>
      <w:r w:rsidR="00B62455" w:rsidRPr="00624E9E">
        <w:t>alalises taime-, looma-, toidu- ja söödakomitees või apellatsioonikomitees</w:t>
      </w:r>
      <w:bookmarkEnd w:id="8"/>
      <w:r w:rsidR="00B62455" w:rsidRPr="00624E9E">
        <w:t xml:space="preserve"> kvalifitseeritud häälteenamust, rõhutades </w:t>
      </w:r>
      <w:r w:rsidR="008D770D">
        <w:t>püsivat</w:t>
      </w:r>
      <w:r w:rsidR="008D770D" w:rsidRPr="00624E9E">
        <w:t xml:space="preserve"> </w:t>
      </w:r>
      <w:r w:rsidR="00B62455" w:rsidRPr="00624E9E">
        <w:t xml:space="preserve">demokraatia </w:t>
      </w:r>
      <w:r w:rsidR="008D770D">
        <w:t>puudujääki</w:t>
      </w:r>
      <w:r w:rsidR="008D770D" w:rsidRPr="00624E9E">
        <w:t xml:space="preserve"> </w:t>
      </w:r>
      <w:r w:rsidR="00B62455" w:rsidRPr="00624E9E">
        <w:t>lubade andmise menetluses;</w:t>
      </w:r>
    </w:p>
    <w:p w14:paraId="19E046A2" w14:textId="77777777" w:rsidR="00B62455" w:rsidRPr="00624E9E" w:rsidRDefault="00B62455" w:rsidP="00B62455">
      <w:pPr>
        <w:spacing w:after="240"/>
        <w:ind w:left="567" w:hanging="567"/>
      </w:pPr>
      <w:r w:rsidRPr="00624E9E">
        <w:t>1.</w:t>
      </w:r>
      <w:r w:rsidRPr="00624E9E">
        <w:tab/>
        <w:t>on seisukohal, et komisjoni rakendusotsuse eelnõu ületab määruses (EÜ) nr 1829/2003 sätestatud rakendamisvolitusi;</w:t>
      </w:r>
    </w:p>
    <w:p w14:paraId="4C028493" w14:textId="77777777" w:rsidR="00B62455" w:rsidRPr="00624E9E" w:rsidRDefault="00B62455" w:rsidP="00B62455">
      <w:pPr>
        <w:spacing w:after="240"/>
        <w:ind w:left="567" w:hanging="567"/>
      </w:pPr>
      <w:r w:rsidRPr="00624E9E">
        <w:t>2.</w:t>
      </w:r>
      <w:r w:rsidRPr="00624E9E">
        <w:tab/>
        <w:t>on seisukohal, et komisjoni rakendusotsuse eelnõu on vastuolus liidu õigusega, sest see on vastuolus määruse (EÜ) nr 1829/2003 eesmärgiga, milleks on kooskõlas Euroopa Parlamendi ja nõukogu määruses (EÜ) nr 178/2002</w:t>
      </w:r>
      <w:r w:rsidRPr="00624E9E">
        <w:footnoteReference w:id="6"/>
      </w:r>
      <w:r w:rsidRPr="00624E9E">
        <w:t xml:space="preserve"> sätestatud üldpõhimõtetega luua alus inimeste elu ja tervise, loomade tervise ja heaolu, keskkonna ja tarbijate huvide kõrgel tasemel kaitse tagamiseks seoses geneetiliselt muundatud toidu ja sööda kasutamisega, tagades ühtlasi siseturu tõhusa toimimise ja kooskõla ettevaatuspõhimõttega;</w:t>
      </w:r>
    </w:p>
    <w:p w14:paraId="17A4DF6F" w14:textId="77777777" w:rsidR="00B62455" w:rsidRPr="00624E9E" w:rsidRDefault="00B62455" w:rsidP="00B62455">
      <w:pPr>
        <w:spacing w:after="240"/>
        <w:ind w:left="567" w:hanging="567"/>
      </w:pPr>
      <w:r w:rsidRPr="00624E9E">
        <w:t>3.</w:t>
      </w:r>
      <w:r w:rsidRPr="00624E9E">
        <w:tab/>
        <w:t>palub komisjonil oma rakendusotsuse eelnõu tagasi võtta;</w:t>
      </w:r>
    </w:p>
    <w:p w14:paraId="2B1C6B9C" w14:textId="77777777" w:rsidR="00B62455" w:rsidRPr="00624E9E" w:rsidRDefault="00B62455" w:rsidP="00B62455">
      <w:pPr>
        <w:spacing w:after="240"/>
        <w:ind w:left="567" w:hanging="567"/>
      </w:pPr>
      <w:r w:rsidRPr="00624E9E">
        <w:t>4.</w:t>
      </w:r>
      <w:r w:rsidRPr="00624E9E">
        <w:tab/>
        <w:t>kutsub komisjoni üles jätma pikendamata geneetiliselt muundatud rapsi loa geenivoolu, keskkonnas püsimise, herbitsiidide kasutamise ja pikaajaliste tõendite ebapiisavusega seotud probleemide tõttu kooskõlas terviseühtsuse põhimõttega;</w:t>
      </w:r>
      <w:bookmarkStart w:id="9" w:name="_Hlk210900300"/>
    </w:p>
    <w:p w14:paraId="7C5901AE" w14:textId="77777777" w:rsidR="00B62455" w:rsidRPr="00624E9E" w:rsidRDefault="00B62455" w:rsidP="00B62455">
      <w:pPr>
        <w:spacing w:after="240"/>
        <w:ind w:left="567" w:hanging="567"/>
      </w:pPr>
      <w:r w:rsidRPr="00624E9E">
        <w:t>5.</w:t>
      </w:r>
      <w:r w:rsidRPr="00624E9E">
        <w:tab/>
        <w:t xml:space="preserve">kutsub komisjoni üles esitama viivitamata seadusandliku ettepaneku </w:t>
      </w:r>
      <w:proofErr w:type="spellStart"/>
      <w:r w:rsidRPr="00624E9E">
        <w:t>GMOsid</w:t>
      </w:r>
      <w:proofErr w:type="spellEnd"/>
      <w:r w:rsidRPr="00624E9E">
        <w:t xml:space="preserve"> käsitleva otsustusprotsessi reformimiseks, et reageerida Euroopa Parlamendi järjepidevatele </w:t>
      </w:r>
      <w:r w:rsidRPr="00624E9E">
        <w:lastRenderedPageBreak/>
        <w:t>vastuväidetele ja liikmesriikide pooldava kvalifitseeritud häälteenamuse puudumisele</w:t>
      </w:r>
      <w:bookmarkEnd w:id="9"/>
      <w:r w:rsidRPr="00624E9E">
        <w:t>;</w:t>
      </w:r>
      <w:bookmarkStart w:id="10" w:name="_Hlk210900241"/>
    </w:p>
    <w:p w14:paraId="7DA27162" w14:textId="77777777" w:rsidR="00B62455" w:rsidRPr="00624E9E" w:rsidRDefault="00B62455" w:rsidP="00B62455">
      <w:pPr>
        <w:spacing w:after="240"/>
        <w:ind w:left="567" w:hanging="567"/>
      </w:pPr>
      <w:r w:rsidRPr="00624E9E">
        <w:t>6.</w:t>
      </w:r>
      <w:r w:rsidRPr="00624E9E">
        <w:tab/>
        <w:t>nõuab tungivalt, et komisjon võtaks arvesse liidu kohustusi, mis tulenevad rahvusvahelistest kokkulepetest, nagu Pariisi kliimakokkulepe, ÜRO bioloogilise mitmekesisuse konventsioon ja ÜRO kestliku arengu eesmärgid;</w:t>
      </w:r>
    </w:p>
    <w:bookmarkEnd w:id="10"/>
    <w:p w14:paraId="5BE4C27F" w14:textId="5B060B7D" w:rsidR="00624E9E" w:rsidRPr="00624E9E" w:rsidRDefault="00B62455" w:rsidP="00624E9E">
      <w:pPr>
        <w:spacing w:after="240"/>
        <w:ind w:left="567" w:hanging="567"/>
      </w:pPr>
      <w:r w:rsidRPr="00624E9E">
        <w:t>7.</w:t>
      </w:r>
      <w:r w:rsidRPr="00624E9E">
        <w:tab/>
        <w:t>teeb presidendile ülesandeks edastada käesolev resolutsioon nõukogule ja komisjonile ning liikmesriikide valitsustele ja parlamentidele.</w:t>
      </w:r>
    </w:p>
    <w:p w14:paraId="60664619" w14:textId="729CC602" w:rsidR="00E365E1" w:rsidRPr="00624E9E" w:rsidRDefault="00E365E1" w:rsidP="003D4B11"/>
    <w:sectPr w:rsidR="00E365E1" w:rsidRPr="00624E9E" w:rsidSect="00624E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03778" w14:textId="77777777" w:rsidR="003D4B11" w:rsidRPr="00624E9E" w:rsidRDefault="003D4B11">
      <w:r w:rsidRPr="00624E9E">
        <w:separator/>
      </w:r>
    </w:p>
  </w:endnote>
  <w:endnote w:type="continuationSeparator" w:id="0">
    <w:p w14:paraId="18EB105C" w14:textId="77777777" w:rsidR="003D4B11" w:rsidRPr="00624E9E" w:rsidRDefault="003D4B11">
      <w:r w:rsidRPr="00624E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D6E3" w14:textId="77777777" w:rsidR="00064002" w:rsidRPr="00624E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80BD0" w14:textId="77777777" w:rsidR="00064002" w:rsidRPr="00624E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5427F" w14:textId="77777777" w:rsidR="00064002" w:rsidRPr="00624E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CDCA7" w14:textId="77777777" w:rsidR="003D4B11" w:rsidRPr="00624E9E" w:rsidRDefault="003D4B11">
      <w:r w:rsidRPr="00624E9E">
        <w:separator/>
      </w:r>
    </w:p>
  </w:footnote>
  <w:footnote w:type="continuationSeparator" w:id="0">
    <w:p w14:paraId="174BDF04" w14:textId="77777777" w:rsidR="003D4B11" w:rsidRPr="00624E9E" w:rsidRDefault="003D4B11">
      <w:r w:rsidRPr="00624E9E">
        <w:continuationSeparator/>
      </w:r>
    </w:p>
  </w:footnote>
  <w:footnote w:id="1">
    <w:p w14:paraId="7C6D302C" w14:textId="13D8F961" w:rsidR="00B62455" w:rsidRPr="00624E9E" w:rsidRDefault="00B62455" w:rsidP="00624E9E">
      <w:pPr>
        <w:pStyle w:val="FootnoteText"/>
        <w:ind w:left="567" w:hanging="567"/>
        <w:rPr>
          <w:sz w:val="24"/>
          <w:szCs w:val="22"/>
          <w:lang w:val="et-EE"/>
        </w:rPr>
      </w:pPr>
      <w:r w:rsidRPr="00624E9E">
        <w:rPr>
          <w:rStyle w:val="FootnoteReference"/>
          <w:sz w:val="24"/>
          <w:szCs w:val="22"/>
          <w:lang w:val="et-EE"/>
        </w:rPr>
        <w:footnoteRef/>
      </w:r>
      <w:r w:rsidR="00624E9E" w:rsidRPr="00624E9E">
        <w:rPr>
          <w:sz w:val="24"/>
          <w:lang w:val="et-EE"/>
        </w:rPr>
        <w:t xml:space="preserve"> </w:t>
      </w:r>
      <w:r w:rsidR="00624E9E" w:rsidRPr="00624E9E">
        <w:rPr>
          <w:sz w:val="24"/>
          <w:lang w:val="et-EE"/>
        </w:rPr>
        <w:tab/>
      </w:r>
      <w:r w:rsidRPr="00624E9E">
        <w:rPr>
          <w:sz w:val="24"/>
          <w:lang w:val="et-EE"/>
        </w:rPr>
        <w:t>ELT L 268, 18.10.2003, lk 1, ELI: </w:t>
      </w:r>
      <w:hyperlink r:id="rId1" w:history="1">
        <w:r w:rsidRPr="00624E9E">
          <w:rPr>
            <w:rStyle w:val="Hyperlink"/>
            <w:sz w:val="24"/>
            <w:lang w:val="et-EE"/>
          </w:rPr>
          <w:t>https://eur-lex.europa.eu/eli/reg/2003/1829/oj</w:t>
        </w:r>
      </w:hyperlink>
    </w:p>
  </w:footnote>
  <w:footnote w:id="2">
    <w:p w14:paraId="03DE1514" w14:textId="678C0B4F" w:rsidR="00B62455" w:rsidRPr="00624E9E" w:rsidRDefault="00B62455" w:rsidP="00624E9E">
      <w:pPr>
        <w:pStyle w:val="FootnoteText"/>
        <w:ind w:left="567" w:hanging="567"/>
        <w:rPr>
          <w:sz w:val="24"/>
          <w:szCs w:val="22"/>
          <w:lang w:val="et-EE"/>
        </w:rPr>
      </w:pPr>
      <w:r w:rsidRPr="00624E9E">
        <w:rPr>
          <w:rStyle w:val="FootnoteReference"/>
          <w:sz w:val="24"/>
          <w:szCs w:val="22"/>
          <w:lang w:val="et-EE"/>
        </w:rPr>
        <w:footnoteRef/>
      </w:r>
      <w:r w:rsidR="00624E9E" w:rsidRPr="00624E9E">
        <w:rPr>
          <w:sz w:val="24"/>
          <w:lang w:val="et-EE"/>
        </w:rPr>
        <w:t xml:space="preserve"> </w:t>
      </w:r>
      <w:r w:rsidR="00624E9E" w:rsidRPr="00624E9E">
        <w:rPr>
          <w:sz w:val="24"/>
          <w:lang w:val="et-EE"/>
        </w:rPr>
        <w:tab/>
      </w:r>
      <w:r w:rsidRPr="00624E9E">
        <w:rPr>
          <w:sz w:val="24"/>
          <w:lang w:val="et-EE"/>
        </w:rPr>
        <w:t xml:space="preserve">ELT L 55, 28.2.2011, lk 13, ELI: </w:t>
      </w:r>
      <w:hyperlink r:id="rId2" w:history="1">
        <w:r w:rsidRPr="00624E9E">
          <w:rPr>
            <w:rStyle w:val="Hyperlink"/>
            <w:sz w:val="24"/>
            <w:lang w:val="et-EE"/>
          </w:rPr>
          <w:t>http://data.europa.eu/eli/reg/2011/182/oj</w:t>
        </w:r>
      </w:hyperlink>
      <w:r w:rsidRPr="00624E9E">
        <w:rPr>
          <w:rStyle w:val="Hyperlink"/>
          <w:sz w:val="24"/>
          <w:lang w:val="et-EE"/>
        </w:rPr>
        <w:t>.</w:t>
      </w:r>
    </w:p>
  </w:footnote>
  <w:footnote w:id="3">
    <w:p w14:paraId="79DB54F0" w14:textId="5C386AEF" w:rsidR="00B62455" w:rsidRPr="00624E9E" w:rsidRDefault="00B62455" w:rsidP="00624E9E">
      <w:pPr>
        <w:pStyle w:val="FootnoteText"/>
        <w:ind w:left="567" w:hanging="567"/>
        <w:rPr>
          <w:sz w:val="24"/>
          <w:szCs w:val="22"/>
          <w:lang w:val="et-EE"/>
        </w:rPr>
      </w:pPr>
      <w:r w:rsidRPr="00624E9E">
        <w:rPr>
          <w:rStyle w:val="Funotenzeichen"/>
          <w:sz w:val="24"/>
          <w:szCs w:val="22"/>
          <w:lang w:val="et-EE"/>
        </w:rPr>
        <w:footnoteRef/>
      </w:r>
      <w:r w:rsidR="00624E9E" w:rsidRPr="00624E9E">
        <w:rPr>
          <w:sz w:val="24"/>
          <w:lang w:val="et-EE"/>
        </w:rPr>
        <w:t xml:space="preserve"> </w:t>
      </w:r>
      <w:r w:rsidR="00624E9E" w:rsidRPr="00624E9E">
        <w:rPr>
          <w:sz w:val="24"/>
          <w:lang w:val="et-EE"/>
        </w:rPr>
        <w:tab/>
      </w:r>
      <w:proofErr w:type="spellStart"/>
      <w:r w:rsidRPr="00624E9E">
        <w:rPr>
          <w:sz w:val="24"/>
          <w:lang w:val="et-EE"/>
        </w:rPr>
        <w:t>Scientific</w:t>
      </w:r>
      <w:proofErr w:type="spellEnd"/>
      <w:r w:rsidRPr="00624E9E">
        <w:rPr>
          <w:sz w:val="24"/>
          <w:lang w:val="et-EE"/>
        </w:rPr>
        <w:t xml:space="preserve"> </w:t>
      </w:r>
      <w:proofErr w:type="spellStart"/>
      <w:r w:rsidRPr="00624E9E">
        <w:rPr>
          <w:sz w:val="24"/>
          <w:lang w:val="et-EE"/>
        </w:rPr>
        <w:t>opinion</w:t>
      </w:r>
      <w:proofErr w:type="spellEnd"/>
      <w:r w:rsidRPr="00624E9E">
        <w:rPr>
          <w:sz w:val="24"/>
          <w:lang w:val="et-EE"/>
        </w:rPr>
        <w:t xml:space="preserve"> of the EFSA </w:t>
      </w:r>
      <w:proofErr w:type="spellStart"/>
      <w:r w:rsidRPr="00624E9E">
        <w:rPr>
          <w:sz w:val="24"/>
          <w:lang w:val="et-EE"/>
        </w:rPr>
        <w:t>Panel</w:t>
      </w:r>
      <w:proofErr w:type="spellEnd"/>
      <w:r w:rsidRPr="00624E9E">
        <w:rPr>
          <w:sz w:val="24"/>
          <w:lang w:val="et-EE"/>
        </w:rPr>
        <w:t xml:space="preserve"> on </w:t>
      </w:r>
      <w:proofErr w:type="spellStart"/>
      <w:r w:rsidRPr="00624E9E">
        <w:rPr>
          <w:sz w:val="24"/>
          <w:lang w:val="et-EE"/>
        </w:rPr>
        <w:t>Genetically</w:t>
      </w:r>
      <w:proofErr w:type="spellEnd"/>
      <w:r w:rsidRPr="00624E9E">
        <w:rPr>
          <w:sz w:val="24"/>
          <w:lang w:val="et-EE"/>
        </w:rPr>
        <w:t xml:space="preserve"> </w:t>
      </w:r>
      <w:proofErr w:type="spellStart"/>
      <w:r w:rsidRPr="00624E9E">
        <w:rPr>
          <w:sz w:val="24"/>
          <w:lang w:val="et-EE"/>
        </w:rPr>
        <w:t>Modified</w:t>
      </w:r>
      <w:proofErr w:type="spellEnd"/>
      <w:r w:rsidRPr="00624E9E">
        <w:rPr>
          <w:sz w:val="24"/>
          <w:lang w:val="et-EE"/>
        </w:rPr>
        <w:t xml:space="preserve"> </w:t>
      </w:r>
      <w:proofErr w:type="spellStart"/>
      <w:r w:rsidRPr="00624E9E">
        <w:rPr>
          <w:sz w:val="24"/>
          <w:lang w:val="et-EE"/>
        </w:rPr>
        <w:t>Organisms</w:t>
      </w:r>
      <w:proofErr w:type="spellEnd"/>
      <w:r w:rsidRPr="00624E9E">
        <w:rPr>
          <w:sz w:val="24"/>
          <w:lang w:val="et-EE"/>
        </w:rPr>
        <w:t xml:space="preserve"> on the ‘</w:t>
      </w:r>
      <w:proofErr w:type="spellStart"/>
      <w:r w:rsidRPr="00624E9E">
        <w:rPr>
          <w:sz w:val="24"/>
          <w:lang w:val="et-EE"/>
        </w:rPr>
        <w:t>Assessment</w:t>
      </w:r>
      <w:proofErr w:type="spellEnd"/>
      <w:r w:rsidRPr="00624E9E">
        <w:rPr>
          <w:sz w:val="24"/>
          <w:lang w:val="et-EE"/>
        </w:rPr>
        <w:t xml:space="preserve"> of </w:t>
      </w:r>
      <w:proofErr w:type="spellStart"/>
      <w:r w:rsidRPr="00624E9E">
        <w:rPr>
          <w:sz w:val="24"/>
          <w:lang w:val="et-EE"/>
        </w:rPr>
        <w:t>genetically</w:t>
      </w:r>
      <w:proofErr w:type="spellEnd"/>
      <w:r w:rsidRPr="00624E9E">
        <w:rPr>
          <w:sz w:val="24"/>
          <w:lang w:val="et-EE"/>
        </w:rPr>
        <w:t xml:space="preserve"> </w:t>
      </w:r>
      <w:proofErr w:type="spellStart"/>
      <w:r w:rsidRPr="00624E9E">
        <w:rPr>
          <w:sz w:val="24"/>
          <w:lang w:val="et-EE"/>
        </w:rPr>
        <w:t>modified</w:t>
      </w:r>
      <w:proofErr w:type="spellEnd"/>
      <w:r w:rsidRPr="00624E9E">
        <w:rPr>
          <w:sz w:val="24"/>
          <w:lang w:val="et-EE"/>
        </w:rPr>
        <w:t xml:space="preserve"> </w:t>
      </w:r>
      <w:proofErr w:type="spellStart"/>
      <w:r w:rsidRPr="00624E9E">
        <w:rPr>
          <w:sz w:val="24"/>
          <w:lang w:val="et-EE"/>
        </w:rPr>
        <w:t>oilseed</w:t>
      </w:r>
      <w:proofErr w:type="spellEnd"/>
      <w:r w:rsidRPr="00624E9E">
        <w:rPr>
          <w:sz w:val="24"/>
          <w:lang w:val="et-EE"/>
        </w:rPr>
        <w:t xml:space="preserve"> </w:t>
      </w:r>
      <w:proofErr w:type="spellStart"/>
      <w:r w:rsidRPr="00624E9E">
        <w:rPr>
          <w:sz w:val="24"/>
          <w:lang w:val="et-EE"/>
        </w:rPr>
        <w:t>rape</w:t>
      </w:r>
      <w:proofErr w:type="spellEnd"/>
      <w:r w:rsidRPr="00624E9E">
        <w:rPr>
          <w:sz w:val="24"/>
          <w:lang w:val="et-EE"/>
        </w:rPr>
        <w:t> MON 88302 (</w:t>
      </w:r>
      <w:proofErr w:type="spellStart"/>
      <w:r w:rsidRPr="00624E9E">
        <w:rPr>
          <w:sz w:val="24"/>
          <w:lang w:val="et-EE"/>
        </w:rPr>
        <w:t>application</w:t>
      </w:r>
      <w:proofErr w:type="spellEnd"/>
      <w:r w:rsidRPr="00624E9E">
        <w:rPr>
          <w:sz w:val="24"/>
          <w:lang w:val="et-EE"/>
        </w:rPr>
        <w:t xml:space="preserve"> GMFF-2023-21220)’ (EFSA geneetiliselt muundatud organismide komisjoni teaduslik arvamus geneetiliselt muundatud rapsi MON 88302 hindamise kohta (taotlus GMFF-2023-21220)). EFSA </w:t>
      </w:r>
      <w:proofErr w:type="spellStart"/>
      <w:r w:rsidRPr="00624E9E">
        <w:rPr>
          <w:sz w:val="24"/>
          <w:lang w:val="et-EE"/>
        </w:rPr>
        <w:t>Journal</w:t>
      </w:r>
      <w:proofErr w:type="spellEnd"/>
      <w:r w:rsidRPr="00624E9E">
        <w:rPr>
          <w:sz w:val="24"/>
          <w:lang w:val="et-EE"/>
        </w:rPr>
        <w:t xml:space="preserve"> 2025;23(5):9378; https://doi.org/10.2903/j.efsa.2025.9378. </w:t>
      </w:r>
    </w:p>
  </w:footnote>
  <w:footnote w:id="4">
    <w:p w14:paraId="6E566FA0" w14:textId="45AD2C8D" w:rsidR="00B62455" w:rsidRPr="00624E9E" w:rsidRDefault="00B62455" w:rsidP="00624E9E">
      <w:pPr>
        <w:pStyle w:val="FootnoteText"/>
        <w:ind w:left="567" w:hanging="567"/>
        <w:rPr>
          <w:color w:val="000000" w:themeColor="text1"/>
          <w:sz w:val="24"/>
          <w:szCs w:val="22"/>
          <w:vertAlign w:val="superscript"/>
          <w:lang w:val="et-EE"/>
        </w:rPr>
      </w:pPr>
      <w:r w:rsidRPr="00624E9E">
        <w:rPr>
          <w:rStyle w:val="FootnoteReference"/>
          <w:sz w:val="24"/>
          <w:szCs w:val="22"/>
          <w:lang w:val="et-EE"/>
        </w:rPr>
        <w:footnoteRef/>
      </w:r>
      <w:r w:rsidR="00624E9E" w:rsidRPr="00624E9E">
        <w:rPr>
          <w:color w:val="000000" w:themeColor="text1"/>
          <w:sz w:val="24"/>
          <w:lang w:val="et-EE"/>
        </w:rPr>
        <w:t xml:space="preserve"> </w:t>
      </w:r>
      <w:r w:rsidR="00624E9E" w:rsidRPr="00624E9E">
        <w:rPr>
          <w:color w:val="000000" w:themeColor="text1"/>
          <w:sz w:val="24"/>
          <w:lang w:val="et-EE"/>
        </w:rPr>
        <w:tab/>
      </w:r>
      <w:r w:rsidR="008D770D">
        <w:rPr>
          <w:color w:val="000000" w:themeColor="text1"/>
          <w:sz w:val="24"/>
          <w:lang w:val="et-EE"/>
        </w:rPr>
        <w:t xml:space="preserve">Euroopa </w:t>
      </w:r>
      <w:r w:rsidRPr="00624E9E">
        <w:rPr>
          <w:color w:val="000000" w:themeColor="text1"/>
          <w:sz w:val="24"/>
          <w:lang w:val="et-EE"/>
        </w:rPr>
        <w:t xml:space="preserve">Parlament võttis kaheksandal ametiajal vastu 36 resolutsiooni ja üheksandal ametiajal 38 resolutsiooni, milles vaidlustati </w:t>
      </w:r>
      <w:proofErr w:type="spellStart"/>
      <w:r w:rsidRPr="00624E9E">
        <w:rPr>
          <w:color w:val="000000" w:themeColor="text1"/>
          <w:sz w:val="24"/>
          <w:lang w:val="et-EE"/>
        </w:rPr>
        <w:t>GMOde</w:t>
      </w:r>
      <w:proofErr w:type="spellEnd"/>
      <w:r w:rsidRPr="00624E9E">
        <w:rPr>
          <w:color w:val="000000" w:themeColor="text1"/>
          <w:sz w:val="24"/>
          <w:lang w:val="et-EE"/>
        </w:rPr>
        <w:t xml:space="preserve"> lubamine. Lisaks on Euroopa Parlament kümnendal ametiajal vastu võtnud järgmised resolutsioonid.</w:t>
      </w:r>
    </w:p>
    <w:p w14:paraId="05053175" w14:textId="1EE7363D" w:rsidR="00B62455" w:rsidRPr="00624E9E" w:rsidRDefault="00624E9E" w:rsidP="00624E9E">
      <w:pPr>
        <w:pStyle w:val="FootnoteText"/>
        <w:ind w:left="567" w:hanging="567"/>
        <w:rPr>
          <w:color w:val="000000" w:themeColor="text1"/>
          <w:sz w:val="24"/>
          <w:szCs w:val="22"/>
          <w:vertAlign w:val="superscript"/>
          <w:lang w:val="et-EE"/>
        </w:rPr>
      </w:pPr>
      <w:r w:rsidRPr="00624E9E">
        <w:rPr>
          <w:color w:val="000000" w:themeColor="text1"/>
          <w:sz w:val="24"/>
          <w:lang w:val="et-EE"/>
        </w:rPr>
        <w:t xml:space="preserve"> </w:t>
      </w:r>
      <w:r w:rsidRPr="00624E9E">
        <w:rPr>
          <w:color w:val="000000" w:themeColor="text1"/>
          <w:sz w:val="24"/>
          <w:lang w:val="et-EE"/>
        </w:rPr>
        <w:tab/>
      </w:r>
      <w:r w:rsidR="00B62455" w:rsidRPr="00624E9E">
        <w:rPr>
          <w:color w:val="000000" w:themeColor="text1"/>
          <w:sz w:val="24"/>
          <w:lang w:val="et-EE"/>
        </w:rPr>
        <w:t>–</w:t>
      </w:r>
      <w:r w:rsidR="00B62455" w:rsidRPr="00624E9E">
        <w:rPr>
          <w:color w:val="000000" w:themeColor="text1"/>
          <w:sz w:val="24"/>
          <w:lang w:val="et-EE"/>
        </w:rPr>
        <w:tab/>
        <w:t xml:space="preserve">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3" w:history="1">
        <w:r w:rsidR="00B62455" w:rsidRPr="00624E9E">
          <w:rPr>
            <w:rStyle w:val="Hyperlink"/>
            <w:sz w:val="24"/>
            <w:lang w:val="et-EE"/>
          </w:rPr>
          <w:t>http://data.europa.eu/eli/C/2025/1797/oj</w:t>
        </w:r>
      </w:hyperlink>
      <w:r w:rsidR="00B62455" w:rsidRPr="00624E9E">
        <w:rPr>
          <w:color w:val="000000" w:themeColor="text1"/>
          <w:sz w:val="24"/>
          <w:lang w:val="et-EE"/>
        </w:rPr>
        <w:t>).</w:t>
      </w:r>
    </w:p>
    <w:p w14:paraId="3347115F" w14:textId="27188B84" w:rsidR="00B62455" w:rsidRPr="00624E9E" w:rsidRDefault="00624E9E" w:rsidP="00624E9E">
      <w:pPr>
        <w:pStyle w:val="FootnoteText"/>
        <w:ind w:left="567" w:hanging="567"/>
        <w:rPr>
          <w:color w:val="000000" w:themeColor="text1"/>
          <w:sz w:val="24"/>
          <w:szCs w:val="22"/>
          <w:vertAlign w:val="superscript"/>
          <w:lang w:val="et-EE"/>
        </w:rPr>
      </w:pPr>
      <w:r w:rsidRPr="00624E9E">
        <w:rPr>
          <w:color w:val="000000" w:themeColor="text1"/>
          <w:sz w:val="24"/>
          <w:lang w:val="et-EE"/>
        </w:rPr>
        <w:t xml:space="preserve"> </w:t>
      </w:r>
      <w:r w:rsidRPr="00624E9E">
        <w:rPr>
          <w:color w:val="000000" w:themeColor="text1"/>
          <w:sz w:val="24"/>
          <w:lang w:val="et-EE"/>
        </w:rPr>
        <w:tab/>
      </w:r>
      <w:r w:rsidR="00B62455" w:rsidRPr="00624E9E">
        <w:rPr>
          <w:color w:val="000000" w:themeColor="text1"/>
          <w:sz w:val="24"/>
          <w:lang w:val="et-EE"/>
        </w:rPr>
        <w:t>–</w:t>
      </w:r>
      <w:r w:rsidR="00B62455" w:rsidRPr="00624E9E">
        <w:rPr>
          <w:color w:val="000000" w:themeColor="text1"/>
          <w:sz w:val="24"/>
          <w:lang w:val="et-EE"/>
        </w:rPr>
        <w:tab/>
        <w:t xml:space="preserve">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4" w:history="1">
        <w:r w:rsidR="00B62455" w:rsidRPr="00624E9E">
          <w:rPr>
            <w:rStyle w:val="Hyperlink"/>
            <w:sz w:val="24"/>
            <w:lang w:val="et-EE"/>
          </w:rPr>
          <w:t>http://data.europa.eu/eli/C/2025/1798/oj</w:t>
        </w:r>
      </w:hyperlink>
      <w:r w:rsidR="00B62455" w:rsidRPr="00624E9E">
        <w:rPr>
          <w:color w:val="000000" w:themeColor="text1"/>
          <w:sz w:val="24"/>
          <w:lang w:val="et-EE"/>
        </w:rPr>
        <w:t>).</w:t>
      </w:r>
    </w:p>
    <w:p w14:paraId="4872485F" w14:textId="73AD1A1F" w:rsidR="00B62455" w:rsidRPr="00624E9E" w:rsidRDefault="00624E9E" w:rsidP="00624E9E">
      <w:pPr>
        <w:pStyle w:val="FootnoteText"/>
        <w:ind w:left="567" w:hanging="567"/>
        <w:rPr>
          <w:color w:val="000000" w:themeColor="text1"/>
          <w:sz w:val="24"/>
          <w:szCs w:val="22"/>
          <w:vertAlign w:val="superscript"/>
          <w:lang w:val="et-EE"/>
        </w:rPr>
      </w:pPr>
      <w:r w:rsidRPr="00624E9E">
        <w:rPr>
          <w:color w:val="000000" w:themeColor="text1"/>
          <w:sz w:val="24"/>
          <w:lang w:val="et-EE"/>
        </w:rPr>
        <w:t xml:space="preserve"> </w:t>
      </w:r>
      <w:r w:rsidRPr="00624E9E">
        <w:rPr>
          <w:color w:val="000000" w:themeColor="text1"/>
          <w:sz w:val="24"/>
          <w:lang w:val="et-EE"/>
        </w:rPr>
        <w:tab/>
      </w:r>
      <w:r w:rsidR="00B62455" w:rsidRPr="00624E9E">
        <w:rPr>
          <w:color w:val="000000" w:themeColor="text1"/>
          <w:sz w:val="24"/>
          <w:lang w:val="et-EE"/>
        </w:rPr>
        <w:t>–</w:t>
      </w:r>
      <w:r w:rsidR="00B62455" w:rsidRPr="00624E9E">
        <w:rPr>
          <w:color w:val="000000" w:themeColor="text1"/>
          <w:sz w:val="24"/>
          <w:lang w:val="et-EE"/>
        </w:rPr>
        <w:tab/>
        <w:t xml:space="preserve">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5" w:history="1">
        <w:r w:rsidR="00B62455" w:rsidRPr="00624E9E">
          <w:rPr>
            <w:rStyle w:val="Hyperlink"/>
            <w:sz w:val="24"/>
            <w:lang w:val="et-EE"/>
          </w:rPr>
          <w:t>http://data.europa.eu/eli/C/2025/1799/oj</w:t>
        </w:r>
      </w:hyperlink>
      <w:r w:rsidR="00B62455" w:rsidRPr="00624E9E">
        <w:rPr>
          <w:color w:val="000000" w:themeColor="text1"/>
          <w:sz w:val="24"/>
          <w:lang w:val="et-EE"/>
        </w:rPr>
        <w:t>).</w:t>
      </w:r>
    </w:p>
    <w:p w14:paraId="634F3CB3" w14:textId="52D008ED" w:rsidR="00B62455" w:rsidRPr="00624E9E" w:rsidRDefault="00624E9E" w:rsidP="00624E9E">
      <w:pPr>
        <w:pStyle w:val="FootnoteText"/>
        <w:ind w:left="567" w:hanging="567"/>
        <w:rPr>
          <w:color w:val="000000" w:themeColor="text1"/>
          <w:sz w:val="24"/>
          <w:szCs w:val="22"/>
          <w:vertAlign w:val="superscript"/>
          <w:lang w:val="et-EE"/>
        </w:rPr>
      </w:pPr>
      <w:r w:rsidRPr="00624E9E">
        <w:rPr>
          <w:color w:val="000000" w:themeColor="text1"/>
          <w:sz w:val="24"/>
          <w:lang w:val="et-EE"/>
        </w:rPr>
        <w:t xml:space="preserve"> </w:t>
      </w:r>
      <w:r w:rsidRPr="00624E9E">
        <w:rPr>
          <w:color w:val="000000" w:themeColor="text1"/>
          <w:sz w:val="24"/>
          <w:lang w:val="et-EE"/>
        </w:rPr>
        <w:tab/>
      </w:r>
      <w:r w:rsidR="00B62455" w:rsidRPr="00624E9E">
        <w:rPr>
          <w:color w:val="000000" w:themeColor="text1"/>
          <w:sz w:val="24"/>
          <w:lang w:val="et-EE"/>
        </w:rPr>
        <w:t>–</w:t>
      </w:r>
      <w:r w:rsidR="00B62455" w:rsidRPr="00624E9E">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proofErr w:type="spellStart"/>
      <w:r w:rsidR="00B62455" w:rsidRPr="00624E9E">
        <w:rPr>
          <w:color w:val="000000" w:themeColor="text1"/>
          <w:sz w:val="24"/>
          <w:lang w:val="et-EE"/>
        </w:rPr>
        <w:t>turuleviimise</w:t>
      </w:r>
      <w:proofErr w:type="spellEnd"/>
      <w:r w:rsidR="00B62455" w:rsidRPr="00624E9E">
        <w:rPr>
          <w:color w:val="000000" w:themeColor="text1"/>
          <w:sz w:val="24"/>
          <w:lang w:val="et-EE"/>
        </w:rPr>
        <w:t xml:space="preserve"> loa kehtivust vastavalt Euroopa Parlamendi ja nõukogu määrusele (EÜ) nr 1829/2003 ning tunnistatakse kehtetuks komisjoni rakendusotsus (EL) 2017/1207 (ELT C, C/2025/1800, 4.4.2025, ELI: </w:t>
      </w:r>
      <w:hyperlink r:id="rId6" w:history="1">
        <w:r w:rsidR="00B62455" w:rsidRPr="00624E9E">
          <w:rPr>
            <w:rStyle w:val="Hyperlink"/>
            <w:sz w:val="24"/>
            <w:lang w:val="et-EE"/>
          </w:rPr>
          <w:t>http://data.europa.eu/eli/C/2025/1800/oj</w:t>
        </w:r>
      </w:hyperlink>
      <w:r w:rsidR="00B62455" w:rsidRPr="00624E9E">
        <w:rPr>
          <w:color w:val="000000" w:themeColor="text1"/>
          <w:sz w:val="24"/>
          <w:lang w:val="et-EE"/>
        </w:rPr>
        <w:t>).</w:t>
      </w:r>
    </w:p>
    <w:p w14:paraId="71D89736" w14:textId="11F35B12" w:rsidR="00B62455" w:rsidRPr="00624E9E" w:rsidRDefault="00624E9E" w:rsidP="00624E9E">
      <w:pPr>
        <w:pStyle w:val="FootnoteText"/>
        <w:ind w:left="567" w:hanging="567"/>
        <w:rPr>
          <w:color w:val="000000" w:themeColor="text1"/>
          <w:sz w:val="24"/>
          <w:szCs w:val="22"/>
          <w:vertAlign w:val="superscript"/>
          <w:lang w:val="et-EE"/>
        </w:rPr>
      </w:pPr>
      <w:r w:rsidRPr="00624E9E">
        <w:rPr>
          <w:color w:val="000000" w:themeColor="text1"/>
          <w:sz w:val="24"/>
          <w:lang w:val="et-EE"/>
        </w:rPr>
        <w:t xml:space="preserve"> </w:t>
      </w:r>
      <w:r w:rsidRPr="00624E9E">
        <w:rPr>
          <w:color w:val="000000" w:themeColor="text1"/>
          <w:sz w:val="24"/>
          <w:lang w:val="et-EE"/>
        </w:rPr>
        <w:tab/>
      </w:r>
      <w:r w:rsidR="00B62455" w:rsidRPr="00624E9E">
        <w:rPr>
          <w:color w:val="000000" w:themeColor="text1"/>
          <w:sz w:val="24"/>
          <w:lang w:val="et-EE"/>
        </w:rPr>
        <w:t>–</w:t>
      </w:r>
      <w:r w:rsidR="00B62455" w:rsidRPr="00624E9E">
        <w:rPr>
          <w:color w:val="000000" w:themeColor="text1"/>
          <w:sz w:val="24"/>
          <w:lang w:val="et-EE"/>
        </w:rPr>
        <w:tab/>
        <w:t xml:space="preserve">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7" w:history="1">
        <w:r w:rsidR="00B62455" w:rsidRPr="00624E9E">
          <w:rPr>
            <w:rStyle w:val="Hyperlink"/>
            <w:sz w:val="24"/>
            <w:lang w:val="et-EE"/>
          </w:rPr>
          <w:t>http://data.europa.eu/eli/C/2025/1801/oj</w:t>
        </w:r>
      </w:hyperlink>
      <w:r w:rsidR="00B62455" w:rsidRPr="00624E9E">
        <w:rPr>
          <w:color w:val="000000" w:themeColor="text1"/>
          <w:sz w:val="24"/>
          <w:lang w:val="et-EE"/>
        </w:rPr>
        <w:t>).</w:t>
      </w:r>
    </w:p>
    <w:p w14:paraId="1D2DD9F2" w14:textId="3FF97564" w:rsidR="00B62455" w:rsidRPr="00624E9E" w:rsidRDefault="00624E9E" w:rsidP="00624E9E">
      <w:pPr>
        <w:pStyle w:val="FootnoteText"/>
        <w:ind w:left="567" w:hanging="567"/>
        <w:rPr>
          <w:color w:val="000000" w:themeColor="text1"/>
          <w:sz w:val="24"/>
          <w:szCs w:val="22"/>
          <w:vertAlign w:val="superscript"/>
          <w:lang w:val="et-EE"/>
        </w:rPr>
      </w:pPr>
      <w:r w:rsidRPr="00624E9E">
        <w:rPr>
          <w:color w:val="000000" w:themeColor="text1"/>
          <w:sz w:val="24"/>
          <w:lang w:val="et-EE"/>
        </w:rPr>
        <w:t xml:space="preserve"> </w:t>
      </w:r>
      <w:r w:rsidRPr="00624E9E">
        <w:rPr>
          <w:color w:val="000000" w:themeColor="text1"/>
          <w:sz w:val="24"/>
          <w:lang w:val="et-EE"/>
        </w:rPr>
        <w:tab/>
      </w:r>
      <w:r w:rsidR="00B62455" w:rsidRPr="00624E9E">
        <w:rPr>
          <w:color w:val="000000" w:themeColor="text1"/>
          <w:sz w:val="24"/>
          <w:lang w:val="et-EE"/>
        </w:rPr>
        <w:t>–</w:t>
      </w:r>
      <w:r w:rsidR="00B62455" w:rsidRPr="00624E9E">
        <w:rPr>
          <w:color w:val="000000" w:themeColor="text1"/>
          <w:sz w:val="24"/>
          <w:lang w:val="et-EE"/>
        </w:rPr>
        <w:tab/>
        <w:t xml:space="preserve">Euroopa Parlamendi 26. novembri 2024. aasta resolutsioon komisjoni rakendusotsuse (EL) 2024/1826 kohta, millega lubatakse viia turule geneetiliselt muundatud maisi DP23211 sisaldavaid, sellest koosnevaid või sellest toodetud tooteid vastavalt Euroopa Parlamendi ja nõukogu määrusele (EÜ) nr 1829/2003 (ELT C, C/2025/1802, 4.4.2025, ELI: </w:t>
      </w:r>
      <w:hyperlink r:id="rId8" w:history="1">
        <w:r w:rsidR="00B62455" w:rsidRPr="00624E9E">
          <w:rPr>
            <w:rStyle w:val="Hyperlink"/>
            <w:sz w:val="24"/>
            <w:lang w:val="et-EE"/>
          </w:rPr>
          <w:t>http://data.europa.eu/eli/C/2025/1802/oj</w:t>
        </w:r>
      </w:hyperlink>
      <w:r w:rsidR="00B62455" w:rsidRPr="00624E9E">
        <w:rPr>
          <w:color w:val="000000" w:themeColor="text1"/>
          <w:sz w:val="24"/>
          <w:lang w:val="et-EE"/>
        </w:rPr>
        <w:t>).</w:t>
      </w:r>
    </w:p>
    <w:p w14:paraId="030EDEFA" w14:textId="60194B7A" w:rsidR="00B62455" w:rsidRPr="00624E9E" w:rsidRDefault="00624E9E" w:rsidP="00624E9E">
      <w:pPr>
        <w:pStyle w:val="FootnoteText"/>
        <w:ind w:left="567" w:hanging="567"/>
        <w:rPr>
          <w:color w:val="000000" w:themeColor="text1"/>
          <w:sz w:val="24"/>
          <w:szCs w:val="22"/>
          <w:vertAlign w:val="superscript"/>
          <w:lang w:val="et-EE"/>
        </w:rPr>
      </w:pPr>
      <w:r w:rsidRPr="00624E9E">
        <w:rPr>
          <w:color w:val="000000" w:themeColor="text1"/>
          <w:sz w:val="24"/>
          <w:lang w:val="et-EE"/>
        </w:rPr>
        <w:t xml:space="preserve"> </w:t>
      </w:r>
      <w:r w:rsidRPr="00624E9E">
        <w:rPr>
          <w:color w:val="000000" w:themeColor="text1"/>
          <w:sz w:val="24"/>
          <w:lang w:val="et-EE"/>
        </w:rPr>
        <w:tab/>
      </w:r>
      <w:r w:rsidR="00B62455" w:rsidRPr="00624E9E">
        <w:rPr>
          <w:color w:val="000000" w:themeColor="text1"/>
          <w:sz w:val="24"/>
          <w:lang w:val="et-EE"/>
        </w:rPr>
        <w:t>–</w:t>
      </w:r>
      <w:r w:rsidR="00B62455" w:rsidRPr="00624E9E">
        <w:rPr>
          <w:color w:val="000000" w:themeColor="text1"/>
          <w:sz w:val="24"/>
          <w:lang w:val="et-EE"/>
        </w:rPr>
        <w:tab/>
        <w:t xml:space="preserve">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9" w:history="1">
        <w:r w:rsidR="00B62455" w:rsidRPr="00624E9E">
          <w:rPr>
            <w:rStyle w:val="Hyperlink"/>
            <w:sz w:val="24"/>
            <w:lang w:val="et-EE"/>
          </w:rPr>
          <w:t>http://data.europa.eu/eli/C/2025/1803/oj</w:t>
        </w:r>
      </w:hyperlink>
      <w:r w:rsidR="00B62455" w:rsidRPr="00624E9E">
        <w:rPr>
          <w:color w:val="000000" w:themeColor="text1"/>
          <w:sz w:val="24"/>
          <w:lang w:val="et-EE"/>
        </w:rPr>
        <w:t>).</w:t>
      </w:r>
    </w:p>
    <w:p w14:paraId="6C8CC9ED" w14:textId="45717278" w:rsidR="00B62455" w:rsidRPr="00624E9E" w:rsidRDefault="00624E9E" w:rsidP="00624E9E">
      <w:pPr>
        <w:pStyle w:val="FootnoteText"/>
        <w:ind w:left="567" w:hanging="567"/>
        <w:rPr>
          <w:color w:val="000000" w:themeColor="text1"/>
          <w:sz w:val="24"/>
          <w:szCs w:val="22"/>
          <w:vertAlign w:val="superscript"/>
          <w:lang w:val="et-EE"/>
        </w:rPr>
      </w:pPr>
      <w:r w:rsidRPr="00624E9E">
        <w:rPr>
          <w:color w:val="000000" w:themeColor="text1"/>
          <w:sz w:val="24"/>
          <w:lang w:val="et-EE"/>
        </w:rPr>
        <w:t xml:space="preserve"> </w:t>
      </w:r>
      <w:r w:rsidRPr="00624E9E">
        <w:rPr>
          <w:color w:val="000000" w:themeColor="text1"/>
          <w:sz w:val="24"/>
          <w:lang w:val="et-EE"/>
        </w:rPr>
        <w:tab/>
      </w:r>
      <w:r w:rsidR="00B62455" w:rsidRPr="00624E9E">
        <w:rPr>
          <w:color w:val="000000" w:themeColor="text1"/>
          <w:sz w:val="24"/>
          <w:lang w:val="et-EE"/>
        </w:rPr>
        <w:t>–</w:t>
      </w:r>
      <w:r w:rsidR="00B62455" w:rsidRPr="00624E9E">
        <w:rPr>
          <w:color w:val="000000" w:themeColor="text1"/>
          <w:sz w:val="24"/>
          <w:lang w:val="et-EE"/>
        </w:rPr>
        <w:tab/>
        <w:t xml:space="preserve">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0" w:history="1">
        <w:r w:rsidR="00B62455" w:rsidRPr="00624E9E">
          <w:rPr>
            <w:rStyle w:val="Hyperlink"/>
            <w:sz w:val="24"/>
            <w:lang w:val="et-EE"/>
          </w:rPr>
          <w:t>http://data.europa.eu/eli/C/2025/1804/oj</w:t>
        </w:r>
      </w:hyperlink>
      <w:r w:rsidR="00B62455" w:rsidRPr="00624E9E">
        <w:rPr>
          <w:color w:val="000000" w:themeColor="text1"/>
          <w:sz w:val="24"/>
          <w:lang w:val="et-EE"/>
        </w:rPr>
        <w:t>).</w:t>
      </w:r>
    </w:p>
    <w:p w14:paraId="702B7046" w14:textId="2C4135B2" w:rsidR="00B62455" w:rsidRPr="00624E9E" w:rsidRDefault="00624E9E" w:rsidP="00624E9E">
      <w:pPr>
        <w:pStyle w:val="FootnoteText"/>
        <w:ind w:left="567" w:hanging="567"/>
        <w:rPr>
          <w:sz w:val="24"/>
          <w:szCs w:val="22"/>
          <w:vertAlign w:val="superscript"/>
          <w:lang w:val="et-EE"/>
        </w:rPr>
      </w:pPr>
      <w:r w:rsidRPr="00624E9E">
        <w:rPr>
          <w:color w:val="000000" w:themeColor="text1"/>
          <w:sz w:val="24"/>
          <w:lang w:val="et-EE"/>
        </w:rPr>
        <w:t xml:space="preserve"> </w:t>
      </w:r>
      <w:r w:rsidRPr="00624E9E">
        <w:rPr>
          <w:color w:val="000000" w:themeColor="text1"/>
          <w:sz w:val="24"/>
          <w:lang w:val="et-EE"/>
        </w:rPr>
        <w:tab/>
      </w:r>
      <w:r w:rsidR="00B62455" w:rsidRPr="00624E9E">
        <w:rPr>
          <w:color w:val="000000" w:themeColor="text1"/>
          <w:sz w:val="24"/>
          <w:lang w:val="et-EE"/>
        </w:rPr>
        <w:t>–</w:t>
      </w:r>
      <w:r w:rsidR="00B62455" w:rsidRPr="00624E9E">
        <w:rPr>
          <w:color w:val="000000" w:themeColor="text1"/>
          <w:sz w:val="24"/>
          <w:lang w:val="et-EE"/>
        </w:rPr>
        <w:tab/>
      </w:r>
      <w:r w:rsidR="00B62455" w:rsidRPr="00624E9E">
        <w:rPr>
          <w:sz w:val="24"/>
          <w:lang w:val="et-EE"/>
        </w:rPr>
        <w:t xml:space="preserve">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1" w:tooltip="Annab dokumendile juurdepääsu selle ELI URI kaudu." w:history="1">
        <w:r w:rsidR="00B62455" w:rsidRPr="00624E9E">
          <w:rPr>
            <w:rStyle w:val="Hyperlink"/>
            <w:sz w:val="24"/>
            <w:lang w:val="et-EE"/>
          </w:rPr>
          <w:t>http://data.europa.eu/eli/C/2025/2246/oj</w:t>
        </w:r>
      </w:hyperlink>
      <w:r w:rsidR="00B62455" w:rsidRPr="00624E9E">
        <w:rPr>
          <w:sz w:val="24"/>
          <w:lang w:val="et-EE"/>
        </w:rPr>
        <w:t>).</w:t>
      </w:r>
    </w:p>
    <w:p w14:paraId="4D7F22D8" w14:textId="5CB5A7CF" w:rsidR="00B62455" w:rsidRPr="00624E9E" w:rsidRDefault="00624E9E" w:rsidP="00624E9E">
      <w:pPr>
        <w:pStyle w:val="FootnoteText"/>
        <w:ind w:left="567" w:hanging="567"/>
        <w:rPr>
          <w:sz w:val="24"/>
          <w:szCs w:val="22"/>
          <w:vertAlign w:val="superscript"/>
          <w:lang w:val="et-EE"/>
        </w:rPr>
      </w:pPr>
      <w:r w:rsidRPr="00624E9E">
        <w:rPr>
          <w:sz w:val="24"/>
          <w:lang w:val="et-EE"/>
        </w:rPr>
        <w:t xml:space="preserve"> </w:t>
      </w:r>
      <w:r w:rsidRPr="00624E9E">
        <w:rPr>
          <w:sz w:val="24"/>
          <w:lang w:val="et-EE"/>
        </w:rPr>
        <w:tab/>
      </w:r>
      <w:r w:rsidR="00B62455" w:rsidRPr="00624E9E">
        <w:rPr>
          <w:sz w:val="24"/>
          <w:lang w:val="et-EE"/>
        </w:rPr>
        <w:t>–</w:t>
      </w:r>
      <w:r w:rsidR="00B62455" w:rsidRPr="00624E9E">
        <w:rPr>
          <w:sz w:val="24"/>
          <w:lang w:val="et-EE"/>
        </w:rPr>
        <w:tab/>
        <w:t xml:space="preserve">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2" w:tooltip="Annab dokumendile juurdepääsu selle ELI URI kaudu." w:history="1">
        <w:r w:rsidR="00B62455" w:rsidRPr="00624E9E">
          <w:rPr>
            <w:rStyle w:val="Hyperlink"/>
            <w:sz w:val="24"/>
            <w:lang w:val="et-EE"/>
          </w:rPr>
          <w:t>http://data.europa.eu/eli/C/2025/2247/oj</w:t>
        </w:r>
      </w:hyperlink>
      <w:r w:rsidR="00B62455" w:rsidRPr="00624E9E">
        <w:rPr>
          <w:sz w:val="24"/>
          <w:lang w:val="et-EE"/>
        </w:rPr>
        <w:t>).</w:t>
      </w:r>
    </w:p>
    <w:p w14:paraId="21688439" w14:textId="3FF3883E" w:rsidR="00B62455" w:rsidRPr="00624E9E" w:rsidRDefault="00624E9E" w:rsidP="00624E9E">
      <w:pPr>
        <w:pStyle w:val="FootnoteText"/>
        <w:ind w:left="567" w:hanging="567"/>
        <w:rPr>
          <w:sz w:val="24"/>
          <w:szCs w:val="22"/>
          <w:vertAlign w:val="superscript"/>
          <w:lang w:val="et-EE"/>
        </w:rPr>
      </w:pPr>
      <w:r w:rsidRPr="00624E9E">
        <w:rPr>
          <w:sz w:val="24"/>
          <w:lang w:val="et-EE"/>
        </w:rPr>
        <w:t xml:space="preserve"> </w:t>
      </w:r>
      <w:r w:rsidRPr="00624E9E">
        <w:rPr>
          <w:sz w:val="24"/>
          <w:lang w:val="et-EE"/>
        </w:rPr>
        <w:tab/>
      </w:r>
      <w:r w:rsidR="00B62455" w:rsidRPr="00624E9E">
        <w:rPr>
          <w:sz w:val="24"/>
          <w:lang w:val="et-EE"/>
        </w:rPr>
        <w:t>–</w:t>
      </w:r>
      <w:r w:rsidR="00B62455" w:rsidRPr="00624E9E">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(P10_TA(2025)0106).</w:t>
      </w:r>
    </w:p>
    <w:p w14:paraId="41A54AAF" w14:textId="7CBE7668" w:rsidR="00B62455" w:rsidRPr="00624E9E" w:rsidRDefault="00624E9E" w:rsidP="00624E9E">
      <w:pPr>
        <w:pStyle w:val="FootnoteText"/>
        <w:ind w:left="567" w:hanging="567"/>
        <w:rPr>
          <w:sz w:val="24"/>
          <w:szCs w:val="22"/>
          <w:lang w:val="et-EE"/>
        </w:rPr>
      </w:pPr>
      <w:r w:rsidRPr="00624E9E">
        <w:rPr>
          <w:sz w:val="24"/>
          <w:lang w:val="et-EE"/>
        </w:rPr>
        <w:t xml:space="preserve"> </w:t>
      </w:r>
      <w:r w:rsidRPr="00624E9E">
        <w:rPr>
          <w:sz w:val="24"/>
          <w:lang w:val="et-EE"/>
        </w:rPr>
        <w:tab/>
      </w:r>
      <w:r w:rsidR="00B62455" w:rsidRPr="00624E9E">
        <w:rPr>
          <w:sz w:val="24"/>
          <w:lang w:val="et-EE"/>
        </w:rPr>
        <w:t>–</w:t>
      </w:r>
      <w:r w:rsidR="00B62455" w:rsidRPr="00624E9E">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(P10_TA(2025)0222).</w:t>
      </w:r>
    </w:p>
  </w:footnote>
  <w:footnote w:id="5">
    <w:p w14:paraId="7D2EFC74" w14:textId="69E0B5E0" w:rsidR="00B62455" w:rsidRPr="00624E9E" w:rsidRDefault="00B62455" w:rsidP="00624E9E">
      <w:pPr>
        <w:pStyle w:val="FootnoteText"/>
        <w:ind w:left="567" w:hanging="567"/>
        <w:rPr>
          <w:sz w:val="24"/>
          <w:szCs w:val="22"/>
          <w:lang w:val="et-EE"/>
        </w:rPr>
      </w:pPr>
      <w:r w:rsidRPr="00624E9E">
        <w:rPr>
          <w:rStyle w:val="FootnoteReference"/>
          <w:sz w:val="24"/>
          <w:szCs w:val="22"/>
          <w:lang w:val="et-EE"/>
        </w:rPr>
        <w:footnoteRef/>
      </w:r>
      <w:r w:rsidR="00624E9E" w:rsidRPr="00624E9E">
        <w:rPr>
          <w:sz w:val="24"/>
          <w:lang w:val="et-EE"/>
        </w:rPr>
        <w:t xml:space="preserve"> </w:t>
      </w:r>
      <w:r w:rsidR="00624E9E" w:rsidRPr="00624E9E">
        <w:rPr>
          <w:sz w:val="24"/>
          <w:lang w:val="et-EE"/>
        </w:rPr>
        <w:tab/>
      </w:r>
      <w:r w:rsidRPr="00624E9E">
        <w:rPr>
          <w:sz w:val="24"/>
          <w:lang w:val="et-EE"/>
        </w:rPr>
        <w:t>ELT L 112, 30.4.2015, lk 22, ELI: </w:t>
      </w:r>
      <w:hyperlink r:id="rId13" w:tooltip="Annab dokumendile juurdepääsu selle ELI URI kaudu." w:history="1">
        <w:r w:rsidRPr="00624E9E">
          <w:rPr>
            <w:rStyle w:val="Hyperlink"/>
            <w:sz w:val="24"/>
            <w:lang w:val="et-EE"/>
          </w:rPr>
          <w:t>http://data.europa.eu/eli/dec_impl/2015/687/oj</w:t>
        </w:r>
      </w:hyperlink>
      <w:r w:rsidRPr="00624E9E">
        <w:rPr>
          <w:sz w:val="24"/>
          <w:lang w:val="et-EE"/>
        </w:rPr>
        <w:t>.</w:t>
      </w:r>
    </w:p>
  </w:footnote>
  <w:footnote w:id="6">
    <w:p w14:paraId="0E97E907" w14:textId="5CAC3797" w:rsidR="00B62455" w:rsidRPr="00624E9E" w:rsidRDefault="00B62455" w:rsidP="00624E9E">
      <w:pPr>
        <w:pStyle w:val="FootnoteText"/>
        <w:ind w:left="567" w:hanging="567"/>
        <w:rPr>
          <w:sz w:val="24"/>
          <w:szCs w:val="22"/>
          <w:lang w:val="et-EE"/>
        </w:rPr>
      </w:pPr>
      <w:r w:rsidRPr="00624E9E">
        <w:rPr>
          <w:rStyle w:val="FootnoteReference"/>
          <w:sz w:val="24"/>
          <w:szCs w:val="22"/>
          <w:lang w:val="et-EE"/>
        </w:rPr>
        <w:footnoteRef/>
      </w:r>
      <w:r w:rsidR="00624E9E" w:rsidRPr="00624E9E">
        <w:rPr>
          <w:sz w:val="24"/>
          <w:lang w:val="et-EE"/>
        </w:rPr>
        <w:t xml:space="preserve"> </w:t>
      </w:r>
      <w:r w:rsidR="00624E9E" w:rsidRPr="00624E9E">
        <w:rPr>
          <w:sz w:val="24"/>
          <w:lang w:val="et-EE"/>
        </w:rPr>
        <w:tab/>
      </w:r>
      <w:r w:rsidRPr="00624E9E">
        <w:rPr>
          <w:sz w:val="24"/>
          <w:lang w:val="et-EE"/>
        </w:rPr>
        <w:t>Euroopa Parlamendi ja nõukogu 28. jaanuari 2002. aasta määrus (EÜ) nr 178/2002, millega sätestatakse toidualaste õigusnormide üldised põhimõtted ja nõuded, asutatakse Euroopa Toiduohutusamet ja kehtestatakse toidu ohutusega seotud menetlused (EÜT L 31, 1.2.2002, lk 1, ELI: </w:t>
      </w:r>
      <w:hyperlink r:id="rId14" w:tgtFrame="Gives%20access%20to%20this%20document%20through%20its%20ELI%20URI." w:history="1">
        <w:r w:rsidRPr="00624E9E">
          <w:rPr>
            <w:rStyle w:val="Hyperlink"/>
            <w:sz w:val="24"/>
            <w:lang w:val="et-EE"/>
          </w:rPr>
          <w:t>http://data.europa.eu/eli/reg/2002/178/oj</w:t>
        </w:r>
      </w:hyperlink>
      <w:r w:rsidRPr="00624E9E">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9038" w14:textId="77777777" w:rsidR="00064002" w:rsidRPr="00624E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8CADC" w14:textId="77777777" w:rsidR="00064002" w:rsidRPr="00624E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68C92" w14:textId="77777777" w:rsidR="00064002" w:rsidRPr="00624E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6330453">
    <w:abstractNumId w:val="9"/>
  </w:num>
  <w:num w:numId="2" w16cid:durableId="1222013027">
    <w:abstractNumId w:val="9"/>
  </w:num>
  <w:num w:numId="3" w16cid:durableId="649868328">
    <w:abstractNumId w:val="7"/>
  </w:num>
  <w:num w:numId="4" w16cid:durableId="1282808163">
    <w:abstractNumId w:val="7"/>
  </w:num>
  <w:num w:numId="5" w16cid:durableId="1994481917">
    <w:abstractNumId w:val="6"/>
  </w:num>
  <w:num w:numId="6" w16cid:durableId="1559633075">
    <w:abstractNumId w:val="6"/>
  </w:num>
  <w:num w:numId="7" w16cid:durableId="1675573077">
    <w:abstractNumId w:val="5"/>
  </w:num>
  <w:num w:numId="8" w16cid:durableId="2126540567">
    <w:abstractNumId w:val="5"/>
  </w:num>
  <w:num w:numId="9" w16cid:durableId="414204029">
    <w:abstractNumId w:val="4"/>
  </w:num>
  <w:num w:numId="10" w16cid:durableId="190727717">
    <w:abstractNumId w:val="4"/>
  </w:num>
  <w:num w:numId="11" w16cid:durableId="1510872434">
    <w:abstractNumId w:val="8"/>
  </w:num>
  <w:num w:numId="12" w16cid:durableId="115489580">
    <w:abstractNumId w:val="8"/>
  </w:num>
  <w:num w:numId="13" w16cid:durableId="1340306842">
    <w:abstractNumId w:val="3"/>
  </w:num>
  <w:num w:numId="14" w16cid:durableId="559706987">
    <w:abstractNumId w:val="3"/>
  </w:num>
  <w:num w:numId="15" w16cid:durableId="194318097">
    <w:abstractNumId w:val="2"/>
  </w:num>
  <w:num w:numId="16" w16cid:durableId="1727758170">
    <w:abstractNumId w:val="2"/>
  </w:num>
  <w:num w:numId="17" w16cid:durableId="1158613458">
    <w:abstractNumId w:val="1"/>
  </w:num>
  <w:num w:numId="18" w16cid:durableId="2035302035">
    <w:abstractNumId w:val="1"/>
  </w:num>
  <w:num w:numId="19" w16cid:durableId="1078476682">
    <w:abstractNumId w:val="0"/>
  </w:num>
  <w:num w:numId="20" w16cid:durableId="1104573032">
    <w:abstractNumId w:val="0"/>
  </w:num>
  <w:num w:numId="21" w16cid:durableId="1233931480">
    <w:abstractNumId w:val="9"/>
  </w:num>
  <w:num w:numId="22" w16cid:durableId="1801268265">
    <w:abstractNumId w:val="7"/>
  </w:num>
  <w:num w:numId="23" w16cid:durableId="1434549142">
    <w:abstractNumId w:val="6"/>
  </w:num>
  <w:num w:numId="24" w16cid:durableId="562906591">
    <w:abstractNumId w:val="5"/>
  </w:num>
  <w:num w:numId="25" w16cid:durableId="1353191095">
    <w:abstractNumId w:val="4"/>
  </w:num>
  <w:num w:numId="26" w16cid:durableId="1080298461">
    <w:abstractNumId w:val="8"/>
  </w:num>
  <w:num w:numId="27" w16cid:durableId="130487933">
    <w:abstractNumId w:val="3"/>
  </w:num>
  <w:num w:numId="28" w16cid:durableId="1491024774">
    <w:abstractNumId w:val="2"/>
  </w:num>
  <w:num w:numId="29" w16cid:durableId="550265056">
    <w:abstractNumId w:val="1"/>
  </w:num>
  <w:num w:numId="30" w16cid:durableId="664865462">
    <w:abstractNumId w:val="0"/>
  </w:num>
  <w:num w:numId="31" w16cid:durableId="2058315599">
    <w:abstractNumId w:val="9"/>
  </w:num>
  <w:num w:numId="32" w16cid:durableId="84885767">
    <w:abstractNumId w:val="7"/>
  </w:num>
  <w:num w:numId="33" w16cid:durableId="110780745">
    <w:abstractNumId w:val="6"/>
  </w:num>
  <w:num w:numId="34" w16cid:durableId="2122338506">
    <w:abstractNumId w:val="5"/>
  </w:num>
  <w:num w:numId="35" w16cid:durableId="1595015844">
    <w:abstractNumId w:val="4"/>
  </w:num>
  <w:num w:numId="36" w16cid:durableId="399328303">
    <w:abstractNumId w:val="8"/>
  </w:num>
  <w:num w:numId="37" w16cid:durableId="1026754929">
    <w:abstractNumId w:val="3"/>
  </w:num>
  <w:num w:numId="38" w16cid:durableId="282686880">
    <w:abstractNumId w:val="2"/>
  </w:num>
  <w:num w:numId="39" w16cid:durableId="97335988">
    <w:abstractNumId w:val="1"/>
  </w:num>
  <w:num w:numId="40" w16cid:durableId="1156873043">
    <w:abstractNumId w:val="0"/>
  </w:num>
  <w:num w:numId="41" w16cid:durableId="546458444">
    <w:abstractNumId w:val="10"/>
  </w:num>
  <w:num w:numId="42" w16cid:durableId="323708165">
    <w:abstractNumId w:val="10"/>
  </w:num>
  <w:num w:numId="43" w16cid:durableId="1187210296">
    <w:abstractNumId w:val="10"/>
  </w:num>
  <w:num w:numId="44" w16cid:durableId="216596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ET"/>
    <w:docVar w:name="dvnumam" w:val="0"/>
    <w:docVar w:name="dvpe" w:val="778.109"/>
    <w:docVar w:name="dvtitre" w:val="Euroopa Parlamendi .... 2025. aasta resolutsioon komisjoni rakendusotsuse eelnõu kohta, millega pikendatakse geneetiliselt muundatud rapsi MON 88302 sisaldavate, sellest koosnevate või sellest valmistatud toodete turule laskmise loa kehtivust vastavalt Euroopa Parlamendi ja nõukogu määrusele (EÜ) nr 1829/2003(D109632/01 – 2025/2895(RSP))"/>
  </w:docVars>
  <w:rsids>
    <w:rsidRoot w:val="003D4B11"/>
    <w:rsid w:val="00002272"/>
    <w:rsid w:val="00064002"/>
    <w:rsid w:val="000677B9"/>
    <w:rsid w:val="000831BA"/>
    <w:rsid w:val="000A42CC"/>
    <w:rsid w:val="000E7DD9"/>
    <w:rsid w:val="0010095E"/>
    <w:rsid w:val="00125B37"/>
    <w:rsid w:val="00187494"/>
    <w:rsid w:val="001F32AE"/>
    <w:rsid w:val="002767FF"/>
    <w:rsid w:val="002B18FE"/>
    <w:rsid w:val="002B5493"/>
    <w:rsid w:val="00315769"/>
    <w:rsid w:val="00343214"/>
    <w:rsid w:val="00361C00"/>
    <w:rsid w:val="00370AD3"/>
    <w:rsid w:val="00395377"/>
    <w:rsid w:val="00395FA1"/>
    <w:rsid w:val="003D4B11"/>
    <w:rsid w:val="003E15D4"/>
    <w:rsid w:val="003F74F7"/>
    <w:rsid w:val="00405D06"/>
    <w:rsid w:val="00411CCE"/>
    <w:rsid w:val="0041666E"/>
    <w:rsid w:val="00421060"/>
    <w:rsid w:val="00423C9E"/>
    <w:rsid w:val="00471C19"/>
    <w:rsid w:val="004867E3"/>
    <w:rsid w:val="00494A28"/>
    <w:rsid w:val="004C0004"/>
    <w:rsid w:val="004C5D52"/>
    <w:rsid w:val="0050519A"/>
    <w:rsid w:val="00505BB5"/>
    <w:rsid w:val="005072A1"/>
    <w:rsid w:val="00514517"/>
    <w:rsid w:val="00545827"/>
    <w:rsid w:val="00560270"/>
    <w:rsid w:val="005C2568"/>
    <w:rsid w:val="005F1B17"/>
    <w:rsid w:val="006037C0"/>
    <w:rsid w:val="00624E9E"/>
    <w:rsid w:val="006631B6"/>
    <w:rsid w:val="00680577"/>
    <w:rsid w:val="006F74FA"/>
    <w:rsid w:val="007062D6"/>
    <w:rsid w:val="00731ADD"/>
    <w:rsid w:val="00734777"/>
    <w:rsid w:val="00747932"/>
    <w:rsid w:val="00751A4A"/>
    <w:rsid w:val="00756632"/>
    <w:rsid w:val="00762C74"/>
    <w:rsid w:val="00786EC0"/>
    <w:rsid w:val="007D1690"/>
    <w:rsid w:val="007E22AD"/>
    <w:rsid w:val="00817416"/>
    <w:rsid w:val="00842779"/>
    <w:rsid w:val="00855081"/>
    <w:rsid w:val="00865F67"/>
    <w:rsid w:val="00881A7B"/>
    <w:rsid w:val="008840E5"/>
    <w:rsid w:val="00887B3E"/>
    <w:rsid w:val="008C2AC6"/>
    <w:rsid w:val="008D770D"/>
    <w:rsid w:val="00930C23"/>
    <w:rsid w:val="0093193B"/>
    <w:rsid w:val="009509D8"/>
    <w:rsid w:val="00950B64"/>
    <w:rsid w:val="00981893"/>
    <w:rsid w:val="00A1687D"/>
    <w:rsid w:val="00A43E52"/>
    <w:rsid w:val="00A43FB0"/>
    <w:rsid w:val="00A4678D"/>
    <w:rsid w:val="00A778C7"/>
    <w:rsid w:val="00AB441E"/>
    <w:rsid w:val="00AB6293"/>
    <w:rsid w:val="00AE0928"/>
    <w:rsid w:val="00AF3B82"/>
    <w:rsid w:val="00B12E95"/>
    <w:rsid w:val="00B22876"/>
    <w:rsid w:val="00B558F0"/>
    <w:rsid w:val="00B62455"/>
    <w:rsid w:val="00BD48FE"/>
    <w:rsid w:val="00BD7BD8"/>
    <w:rsid w:val="00BE6ADC"/>
    <w:rsid w:val="00C05BFE"/>
    <w:rsid w:val="00C23CD4"/>
    <w:rsid w:val="00C45952"/>
    <w:rsid w:val="00C61C0C"/>
    <w:rsid w:val="00C941CB"/>
    <w:rsid w:val="00CC2357"/>
    <w:rsid w:val="00CF071A"/>
    <w:rsid w:val="00D058B8"/>
    <w:rsid w:val="00D1113E"/>
    <w:rsid w:val="00D56646"/>
    <w:rsid w:val="00D56C11"/>
    <w:rsid w:val="00D82140"/>
    <w:rsid w:val="00D834A0"/>
    <w:rsid w:val="00D872DF"/>
    <w:rsid w:val="00D91E21"/>
    <w:rsid w:val="00DA7FCD"/>
    <w:rsid w:val="00DF0823"/>
    <w:rsid w:val="00E176B4"/>
    <w:rsid w:val="00E365E1"/>
    <w:rsid w:val="00E820A4"/>
    <w:rsid w:val="00EB006A"/>
    <w:rsid w:val="00EB4772"/>
    <w:rsid w:val="00ED169E"/>
    <w:rsid w:val="00ED4235"/>
    <w:rsid w:val="00F04346"/>
    <w:rsid w:val="00F075DC"/>
    <w:rsid w:val="00F149E9"/>
    <w:rsid w:val="00F5134D"/>
    <w:rsid w:val="00F51BE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51A17"/>
  <w15:chartTrackingRefBased/>
  <w15:docId w15:val="{D12407E7-8C97-464D-BC5A-6C616C69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2455"/>
    <w:pPr>
      <w:spacing w:before="480" w:after="240"/>
    </w:pPr>
  </w:style>
  <w:style w:type="paragraph" w:customStyle="1" w:styleId="NormalHanging12a">
    <w:name w:val="NormalHanging12a"/>
    <w:basedOn w:val="Normal"/>
    <w:qFormat/>
    <w:rsid w:val="00B62455"/>
    <w:pPr>
      <w:spacing w:after="240"/>
      <w:ind w:left="567" w:hanging="567"/>
    </w:pPr>
  </w:style>
  <w:style w:type="character" w:styleId="Hyperlink">
    <w:name w:val="Hyperlink"/>
    <w:basedOn w:val="DefaultParagraphFont"/>
    <w:uiPriority w:val="99"/>
    <w:unhideWhenUsed/>
    <w:rsid w:val="00B62455"/>
    <w:rPr>
      <w:color w:val="0563C1" w:themeColor="hyperlink"/>
      <w:u w:val="single"/>
    </w:rPr>
  </w:style>
  <w:style w:type="character" w:customStyle="1" w:styleId="Funotenzeichen">
    <w:name w:val="Fußnotenzeichen"/>
    <w:basedOn w:val="DefaultParagraphFont"/>
    <w:qFormat/>
    <w:rsid w:val="00B62455"/>
    <w:rPr>
      <w:vertAlign w:val="superscript"/>
    </w:rPr>
  </w:style>
  <w:style w:type="paragraph" w:styleId="Revision">
    <w:name w:val="Revision"/>
    <w:hidden/>
    <w:uiPriority w:val="99"/>
    <w:semiHidden/>
    <w:rsid w:val="007062D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 TargetMode="External"/><Relationship Id="rId13" Type="http://schemas.openxmlformats.org/officeDocument/2006/relationships/hyperlink" Target="http://data.europa.eu/eli/dec_impl/2015/687/oj" TargetMode="External"/><Relationship Id="rId3" Type="http://schemas.openxmlformats.org/officeDocument/2006/relationships/hyperlink" Target="http://data.europa.eu/eli/C/2025/1797/oj" TargetMode="External"/><Relationship Id="rId7" Type="http://schemas.openxmlformats.org/officeDocument/2006/relationships/hyperlink" Target="http://data.europa.eu/eli/C/2025/1801/oj" TargetMode="External"/><Relationship Id="rId12" Type="http://schemas.openxmlformats.org/officeDocument/2006/relationships/hyperlink" Target="http://data.europa.eu/eli/C/2025/2247/oj" TargetMode="External"/><Relationship Id="rId2" Type="http://schemas.openxmlformats.org/officeDocument/2006/relationships/hyperlink" Target="http://data.europa.eu/eli/reg/2011/182/oj"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800/oj" TargetMode="External"/><Relationship Id="rId11" Type="http://schemas.openxmlformats.org/officeDocument/2006/relationships/hyperlink" Target="http://data.europa.eu/eli/C/2025/2246/oj" TargetMode="External"/><Relationship Id="rId5" Type="http://schemas.openxmlformats.org/officeDocument/2006/relationships/hyperlink" Target="http://data.europa.eu/eli/C/2025/1799/oj" TargetMode="External"/><Relationship Id="rId10" Type="http://schemas.openxmlformats.org/officeDocument/2006/relationships/hyperlink" Target="http://data.europa.eu/eli/C/2025/1804/oj" TargetMode="External"/><Relationship Id="rId4" Type="http://schemas.openxmlformats.org/officeDocument/2006/relationships/hyperlink" Target="http://data.europa.eu/eli/C/2025/1798/oj" TargetMode="External"/><Relationship Id="rId9" Type="http://schemas.openxmlformats.org/officeDocument/2006/relationships/hyperlink" Target="http://data.europa.eu/eli/C/2025/1803/oj"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775</Words>
  <Characters>5741</Characters>
  <Application>Microsoft Office Word</Application>
  <DocSecurity>0</DocSecurity>
  <Lines>229</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2025-11-25T16:08:00Z</dcterms:created>
  <dcterms:modified xsi:type="dcterms:W3CDTF">2025-11-25T16:08:00Z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B10-0490/2025</vt:lpwstr>
  </property>
  <property fmtid="{D5CDD505-2E9C-101B-9397-08002B2CF9AE}" pid="4" name="&lt;Type&gt;">
    <vt:lpwstr>RR</vt:lpwstr>
  </property>
</Properties>
</file>