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E6C" w14:paraId="027CD02E" w14:textId="77777777" w:rsidTr="0010095E">
        <w:trPr>
          <w:trHeight w:hRule="exact" w:val="1418"/>
        </w:trPr>
        <w:tc>
          <w:tcPr>
            <w:tcW w:w="6804" w:type="dxa"/>
            <w:shd w:val="clear" w:color="auto" w:fill="auto"/>
            <w:vAlign w:val="center"/>
          </w:tcPr>
          <w:p w14:paraId="5EB8CAC4" w14:textId="313938CB" w:rsidR="00751A4A" w:rsidRPr="000D1E6C" w:rsidRDefault="00B82BBB" w:rsidP="0010095E">
            <w:pPr>
              <w:pStyle w:val="EPName"/>
            </w:pPr>
            <w:r w:rsidRPr="000D1E6C">
              <w:t>Europees Parlement</w:t>
            </w:r>
          </w:p>
          <w:p w14:paraId="7247ADC5" w14:textId="77777777" w:rsidR="00751A4A" w:rsidRPr="000D1E6C" w:rsidRDefault="005F1B17" w:rsidP="005F1B17">
            <w:pPr>
              <w:pStyle w:val="EPTerm"/>
              <w:rPr>
                <w:rStyle w:val="HideTWBExt"/>
                <w:noProof w:val="0"/>
                <w:vanish w:val="0"/>
                <w:color w:val="auto"/>
              </w:rPr>
            </w:pPr>
            <w:r w:rsidRPr="000D1E6C">
              <w:t>2024</w:t>
            </w:r>
            <w:r w:rsidR="00817416" w:rsidRPr="000D1E6C">
              <w:t>-202</w:t>
            </w:r>
            <w:r w:rsidRPr="000D1E6C">
              <w:t>9</w:t>
            </w:r>
          </w:p>
        </w:tc>
        <w:tc>
          <w:tcPr>
            <w:tcW w:w="2268" w:type="dxa"/>
            <w:shd w:val="clear" w:color="auto" w:fill="auto"/>
          </w:tcPr>
          <w:p w14:paraId="42E26656" w14:textId="77777777" w:rsidR="00751A4A" w:rsidRPr="000D1E6C" w:rsidRDefault="00187494" w:rsidP="0010095E">
            <w:pPr>
              <w:pStyle w:val="EPLogo"/>
            </w:pPr>
            <w:r w:rsidRPr="000D1E6C">
              <w:rPr>
                <w:noProof/>
                <w:lang w:eastAsia="ja-JP"/>
              </w:rPr>
              <w:drawing>
                <wp:inline distT="0" distB="0" distL="0" distR="0" wp14:anchorId="77138989" wp14:editId="43904A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B2D83" w14:textId="77777777" w:rsidR="00D058B8" w:rsidRPr="000D1E6C" w:rsidRDefault="00D058B8" w:rsidP="004C5D52">
      <w:pPr>
        <w:pStyle w:val="LineTop"/>
      </w:pPr>
    </w:p>
    <w:p w14:paraId="241DA1EE" w14:textId="0E78E20B" w:rsidR="00680577" w:rsidRPr="000D1E6C" w:rsidRDefault="00B82BBB" w:rsidP="00680577">
      <w:pPr>
        <w:pStyle w:val="EPBodyTA1"/>
      </w:pPr>
      <w:r w:rsidRPr="000D1E6C">
        <w:t>AANGENOMEN TEKSTEN</w:t>
      </w:r>
    </w:p>
    <w:p w14:paraId="1FD9FFCB" w14:textId="77777777" w:rsidR="00D058B8" w:rsidRPr="000D1E6C" w:rsidRDefault="00D058B8" w:rsidP="00D058B8">
      <w:pPr>
        <w:pStyle w:val="LineBottom"/>
      </w:pPr>
    </w:p>
    <w:p w14:paraId="40ECA4DC" w14:textId="7523E705" w:rsidR="00B82BBB" w:rsidRPr="000D1E6C" w:rsidRDefault="00B82BBB" w:rsidP="00B82BBB">
      <w:pPr>
        <w:pStyle w:val="ATHeading1"/>
      </w:pPr>
      <w:bookmarkStart w:id="0" w:name="TANumber"/>
      <w:r w:rsidRPr="000D1E6C">
        <w:t>P10_</w:t>
      </w:r>
      <w:proofErr w:type="gramStart"/>
      <w:r w:rsidRPr="000D1E6C">
        <w:t>TA(</w:t>
      </w:r>
      <w:proofErr w:type="gramEnd"/>
      <w:r w:rsidRPr="000D1E6C">
        <w:t>2025)0</w:t>
      </w:r>
      <w:r w:rsidR="000D1E6C" w:rsidRPr="000D1E6C">
        <w:t>290</w:t>
      </w:r>
      <w:bookmarkEnd w:id="0"/>
    </w:p>
    <w:p w14:paraId="4FC3EE95" w14:textId="3118039F" w:rsidR="00B82BBB" w:rsidRPr="000D1E6C" w:rsidRDefault="001A35C2" w:rsidP="00B82BBB">
      <w:pPr>
        <w:pStyle w:val="ATHeading2"/>
      </w:pPr>
      <w:bookmarkStart w:id="1" w:name="title"/>
      <w:r w:rsidRPr="000D1E6C">
        <w:t>G</w:t>
      </w:r>
      <w:r w:rsidR="00B82BBB" w:rsidRPr="000D1E6C">
        <w:t>enetisch gemodificeerd koolzaad MON 88302</w:t>
      </w:r>
      <w:bookmarkEnd w:id="1"/>
    </w:p>
    <w:p w14:paraId="573764CC" w14:textId="77777777" w:rsidR="00B82BBB" w:rsidRPr="000D1E6C" w:rsidRDefault="00B82BBB" w:rsidP="00B82BBB">
      <w:pPr>
        <w:rPr>
          <w:i/>
          <w:vanish/>
        </w:rPr>
      </w:pPr>
      <w:r w:rsidRPr="000D1E6C">
        <w:rPr>
          <w:i/>
        </w:rPr>
        <w:fldChar w:fldCharType="begin"/>
      </w:r>
      <w:r w:rsidRPr="000D1E6C">
        <w:rPr>
          <w:i/>
        </w:rPr>
        <w:instrText xml:space="preserve"> TC"(</w:instrText>
      </w:r>
      <w:bookmarkStart w:id="2" w:name="DocNumber"/>
      <w:r w:rsidRPr="000D1E6C">
        <w:rPr>
          <w:i/>
        </w:rPr>
        <w:instrText>B10-0490/2025</w:instrText>
      </w:r>
      <w:bookmarkEnd w:id="2"/>
      <w:r w:rsidRPr="000D1E6C">
        <w:rPr>
          <w:i/>
        </w:rPr>
        <w:instrText xml:space="preserve">)"\l3 \n&gt; \* MERGEFORMAT </w:instrText>
      </w:r>
      <w:r w:rsidRPr="000D1E6C">
        <w:rPr>
          <w:i/>
        </w:rPr>
        <w:fldChar w:fldCharType="end"/>
      </w:r>
    </w:p>
    <w:p w14:paraId="53994B6E" w14:textId="77777777" w:rsidR="00B82BBB" w:rsidRPr="000D1E6C" w:rsidRDefault="00B82BBB" w:rsidP="00B82BBB">
      <w:pPr>
        <w:rPr>
          <w:vanish/>
        </w:rPr>
      </w:pPr>
      <w:bookmarkStart w:id="3" w:name="PE"/>
      <w:r w:rsidRPr="000D1E6C">
        <w:rPr>
          <w:vanish/>
        </w:rPr>
        <w:t>PE778.109</w:t>
      </w:r>
      <w:bookmarkEnd w:id="3"/>
    </w:p>
    <w:p w14:paraId="723404E1" w14:textId="130900AD" w:rsidR="00B82BBB" w:rsidRPr="000D1E6C" w:rsidRDefault="00B82BBB" w:rsidP="00B82BBB">
      <w:pPr>
        <w:pStyle w:val="ATHeading3"/>
      </w:pPr>
      <w:bookmarkStart w:id="4" w:name="Sujet"/>
      <w:r w:rsidRPr="000D1E6C">
        <w:t xml:space="preserve">Resolutie van het Europees Parlement van </w:t>
      </w:r>
      <w:r w:rsidR="001A35C2" w:rsidRPr="000D1E6C">
        <w:t xml:space="preserve">25 </w:t>
      </w:r>
      <w:r w:rsidRPr="000D1E6C">
        <w:t>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w:t>
      </w:r>
      <w:bookmarkEnd w:id="4"/>
      <w:r w:rsidRPr="000D1E6C">
        <w:t xml:space="preserve"> </w:t>
      </w:r>
      <w:bookmarkStart w:id="5" w:name="References"/>
      <w:r w:rsidRPr="000D1E6C">
        <w:t>(D109632/01 – 2025/2895(RSP))</w:t>
      </w:r>
      <w:bookmarkEnd w:id="5"/>
    </w:p>
    <w:p w14:paraId="5146E92A" w14:textId="77777777" w:rsidR="003F135E" w:rsidRPr="000D1E6C" w:rsidRDefault="003F135E" w:rsidP="003F135E">
      <w:pPr>
        <w:pStyle w:val="EPComma"/>
      </w:pPr>
      <w:bookmarkStart w:id="6" w:name="TextBodyBegin"/>
      <w:bookmarkEnd w:id="6"/>
      <w:r w:rsidRPr="000D1E6C">
        <w:rPr>
          <w:i/>
        </w:rPr>
        <w:t>Het Europees Parlement</w:t>
      </w:r>
      <w:r w:rsidRPr="000D1E6C">
        <w:t>,</w:t>
      </w:r>
    </w:p>
    <w:p w14:paraId="286BD21E" w14:textId="77777777" w:rsidR="003F135E" w:rsidRPr="000D1E6C" w:rsidRDefault="003F135E" w:rsidP="003F135E">
      <w:pPr>
        <w:pStyle w:val="NormalHanging12a"/>
      </w:pPr>
      <w:r w:rsidRPr="000D1E6C">
        <w:t>–</w:t>
      </w:r>
      <w:r w:rsidRPr="000D1E6C">
        <w:tab/>
        <w:t>gezien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(D109632/01),</w:t>
      </w:r>
    </w:p>
    <w:p w14:paraId="4B6884EA" w14:textId="77777777" w:rsidR="003F135E" w:rsidRPr="000D1E6C" w:rsidRDefault="003F135E" w:rsidP="003F135E">
      <w:pPr>
        <w:pStyle w:val="NormalHanging12a"/>
      </w:pPr>
      <w:r w:rsidRPr="000D1E6C">
        <w:t>–</w:t>
      </w:r>
      <w:r w:rsidRPr="000D1E6C">
        <w:tab/>
        <w:t>gezien Verordening (EG) nr. 1829/2003 van het Europees Parlement en de Raad van 22 september 2003 inzake genetisch gemodificeerde levensmiddelen en diervoeders</w:t>
      </w:r>
      <w:r w:rsidRPr="000D1E6C">
        <w:rPr>
          <w:vertAlign w:val="superscript"/>
        </w:rPr>
        <w:footnoteReference w:id="1"/>
      </w:r>
      <w:r w:rsidRPr="000D1E6C">
        <w:t xml:space="preserve">, en met name artikel 11, lid 3, en artikel 23, lid 3, </w:t>
      </w:r>
    </w:p>
    <w:p w14:paraId="03BFF1CF" w14:textId="191E0BB9" w:rsidR="003F135E" w:rsidRPr="000D1E6C" w:rsidRDefault="003F135E" w:rsidP="003F135E">
      <w:pPr>
        <w:pStyle w:val="NormalHanging12a"/>
      </w:pPr>
      <w:r w:rsidRPr="000D1E6C">
        <w:t>–</w:t>
      </w:r>
      <w:r w:rsidRPr="000D1E6C">
        <w:tab/>
        <w:t xml:space="preserve">gezien de stemming van 15 september 2025 in het </w:t>
      </w:r>
      <w:bookmarkStart w:id="7" w:name="_Hlk210664905"/>
      <w:r w:rsidRPr="000D1E6C">
        <w:t>Permanent Comité voor planten, dieren, levensmiddelen en diervoeders</w:t>
      </w:r>
      <w:bookmarkEnd w:id="7"/>
      <w:r w:rsidRPr="000D1E6C">
        <w:t xml:space="preserve"> als bedoeld in artikel 35 van Verordening (EG) nr. 1829/2003,</w:t>
      </w:r>
      <w:r w:rsidR="001A35C2" w:rsidRPr="000D1E6C">
        <w:t xml:space="preserve"> die geen advies heeft opgeleverd, en de stemming van 21 oktober 2025 in het comité van beroep, die evenmin een advies heeft opgeleverd,</w:t>
      </w:r>
    </w:p>
    <w:p w14:paraId="75AC3BC8" w14:textId="77777777" w:rsidR="003F135E" w:rsidRPr="000D1E6C" w:rsidRDefault="003F135E" w:rsidP="003F135E">
      <w:pPr>
        <w:pStyle w:val="NormalHanging12a"/>
      </w:pPr>
      <w:r w:rsidRPr="000D1E6C">
        <w:t>–</w:t>
      </w:r>
      <w:r w:rsidRPr="000D1E6C">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0D1E6C">
        <w:rPr>
          <w:rStyle w:val="FootnoteReference"/>
        </w:rPr>
        <w:footnoteReference w:id="2"/>
      </w:r>
      <w:r w:rsidRPr="000D1E6C">
        <w:t>,</w:t>
      </w:r>
    </w:p>
    <w:p w14:paraId="6B7E6097" w14:textId="77777777" w:rsidR="003F135E" w:rsidRPr="000D1E6C" w:rsidRDefault="003F135E" w:rsidP="003F135E">
      <w:pPr>
        <w:pStyle w:val="NormalHanging12a"/>
      </w:pPr>
      <w:r w:rsidRPr="000D1E6C">
        <w:t>–</w:t>
      </w:r>
      <w:r w:rsidRPr="000D1E6C">
        <w:tab/>
        <w:t xml:space="preserve">gezien het advies dat op 26 maart 2025 door de Europese Autoriteit voor </w:t>
      </w:r>
      <w:r w:rsidRPr="000D1E6C">
        <w:lastRenderedPageBreak/>
        <w:t>voedselveiligheid (EFSA) is goedgekeurd en op 13 mei 2025 is gepubliceerd</w:t>
      </w:r>
      <w:r w:rsidRPr="000D1E6C">
        <w:rPr>
          <w:rStyle w:val="FootnoteReference"/>
          <w:szCs w:val="24"/>
        </w:rPr>
        <w:footnoteReference w:id="3"/>
      </w:r>
      <w:r w:rsidRPr="000D1E6C">
        <w:t>,</w:t>
      </w:r>
    </w:p>
    <w:p w14:paraId="6A4C6149" w14:textId="77777777" w:rsidR="003F135E" w:rsidRPr="000D1E6C" w:rsidRDefault="003F135E" w:rsidP="003F135E">
      <w:pPr>
        <w:pStyle w:val="NormalHanging12a"/>
      </w:pPr>
      <w:r w:rsidRPr="000D1E6C">
        <w:t>–</w:t>
      </w:r>
      <w:r w:rsidRPr="000D1E6C">
        <w:tab/>
        <w:t>gezien zijn eerdere resoluties waarin bezwaar wordt gemaakt tegen het verlenen van vergunningen voor genetisch gemodificeerde organismen</w:t>
      </w:r>
      <w:r w:rsidRPr="000D1E6C">
        <w:rPr>
          <w:rStyle w:val="FootnoteReference"/>
        </w:rPr>
        <w:footnoteReference w:id="4"/>
      </w:r>
      <w:r w:rsidRPr="000D1E6C">
        <w:t xml:space="preserve"> (hierna “ggo’s”),</w:t>
      </w:r>
    </w:p>
    <w:p w14:paraId="0F3D2509" w14:textId="77777777" w:rsidR="003F135E" w:rsidRPr="000D1E6C" w:rsidRDefault="003F135E" w:rsidP="003F135E">
      <w:pPr>
        <w:pStyle w:val="NormalHanging12a"/>
      </w:pPr>
      <w:r w:rsidRPr="000D1E6C">
        <w:lastRenderedPageBreak/>
        <w:t>–</w:t>
      </w:r>
      <w:r w:rsidRPr="000D1E6C">
        <w:tab/>
        <w:t>gezien artikel 115, leden 2 en 3, van zijn Reglement,</w:t>
      </w:r>
    </w:p>
    <w:p w14:paraId="37C272E2" w14:textId="77777777" w:rsidR="003F135E" w:rsidRPr="000D1E6C" w:rsidRDefault="003F135E" w:rsidP="003F135E">
      <w:pPr>
        <w:pStyle w:val="NormalHanging12a"/>
      </w:pPr>
      <w:r w:rsidRPr="000D1E6C">
        <w:t>–</w:t>
      </w:r>
      <w:r w:rsidRPr="000D1E6C">
        <w:tab/>
        <w:t>gezien de ontwerpresolutie van de Commissie milieubeheer, klimaat en voedselveiligheid,</w:t>
      </w:r>
    </w:p>
    <w:p w14:paraId="39BE0CD0" w14:textId="77777777" w:rsidR="003F135E" w:rsidRPr="000D1E6C" w:rsidRDefault="003F135E" w:rsidP="003F135E">
      <w:pPr>
        <w:pStyle w:val="NormalHanging12a"/>
      </w:pPr>
      <w:r w:rsidRPr="000D1E6C">
        <w:t>A.</w:t>
      </w:r>
      <w:r w:rsidRPr="000D1E6C">
        <w:tab/>
        <w:t>overwegende dat bij Uitvoeringsbesluit (EU) 2015/687 van de Commissie van 24 april 2015</w:t>
      </w:r>
      <w:r w:rsidRPr="000D1E6C">
        <w:rPr>
          <w:rStyle w:val="FootnoteReference"/>
        </w:rPr>
        <w:footnoteReference w:id="5"/>
      </w:r>
      <w:r w:rsidRPr="000D1E6C">
        <w:t xml:space="preserve"> een vergunning is verleend voor het in de handel brengen van producten die geheel of gedeeltelijk bestaan uit of zijn geproduceerd met het genetisch gemodificeerde koolzaad MON 88302 (hierna het “genetisch gemodificeerde koolzaad”);</w:t>
      </w:r>
    </w:p>
    <w:p w14:paraId="4AFE50B1" w14:textId="77777777" w:rsidR="003F135E" w:rsidRPr="000D1E6C" w:rsidRDefault="003F135E" w:rsidP="003F135E">
      <w:pPr>
        <w:spacing w:after="240"/>
        <w:ind w:left="567" w:hanging="567"/>
      </w:pPr>
      <w:r w:rsidRPr="000D1E6C">
        <w:t>B.</w:t>
      </w:r>
      <w:r w:rsidRPr="000D1E6C">
        <w:tab/>
        <w:t xml:space="preserve">overwegende dat Bayer Agriculture BV, gevestigd in België, namens Bayer CropScience LP, gevestigd in de Verenigde Staten, op 28 februari 2024 een aanvraag bij de Commissie heeft ingediend voor de verlenging van die vergunning, overeenkomstig de artikelen 11 en 23 van Verordening (EG) nr. 1829/2003; overwegende dat deze vergunning ook betrekking heeft op het in de handel brengen van </w:t>
      </w:r>
      <w:r w:rsidRPr="000D1E6C">
        <w:lastRenderedPageBreak/>
        <w:t>andere producten dan levensmiddelen en diervoeders die geheel of gedeeltelijk bestaan uit het genetisch gemodificeerde koolzaad voor dezelfde toepassingen als andere koolzaadsoorten, met uitzondering van de teelt;</w:t>
      </w:r>
    </w:p>
    <w:p w14:paraId="196A7AEF" w14:textId="77777777" w:rsidR="003F135E" w:rsidRPr="000D1E6C" w:rsidRDefault="003F135E" w:rsidP="003F135E">
      <w:pPr>
        <w:spacing w:after="240"/>
        <w:ind w:left="567" w:hanging="567"/>
      </w:pPr>
      <w:r w:rsidRPr="000D1E6C">
        <w:t>C.</w:t>
      </w:r>
      <w:r w:rsidRPr="000D1E6C">
        <w:tab/>
        <w:t>overwegende dat de EFSA op 26 maart 2025 een gunstig advies heeft uitgebracht, waarin zij concludeert dat de aanvraag tot verlenging geen elementen bevat die duiden op nieuwe gevaren, gewijzigde blootstelling of wetenschappelijke onzekerheden die tot een wijziging van de conclusies van haar oorspronkelijke risicobeoordeling uit 2014 zouden leiden;</w:t>
      </w:r>
    </w:p>
    <w:p w14:paraId="24FAD421" w14:textId="77777777" w:rsidR="003F135E" w:rsidRPr="000D1E6C" w:rsidRDefault="003F135E" w:rsidP="003F135E">
      <w:pPr>
        <w:spacing w:after="240"/>
        <w:ind w:left="567" w:hanging="567"/>
      </w:pPr>
      <w:r w:rsidRPr="000D1E6C">
        <w:t>D.</w:t>
      </w:r>
      <w:r w:rsidRPr="000D1E6C">
        <w:tab/>
        <w:t>overwegende dat het genetisch gemodificeerde koolzaad tolerant is voor glyfosaat; overwegende dat het gebruik van glyfosaat in verband wordt gebracht met de achteruitgang van de biodiversiteit, bodem- en waterverontreiniging en gezondheidsrisico’s;</w:t>
      </w:r>
    </w:p>
    <w:p w14:paraId="45A8BD65" w14:textId="77777777" w:rsidR="003F135E" w:rsidRPr="000D1E6C" w:rsidRDefault="003F135E" w:rsidP="003F135E">
      <w:pPr>
        <w:spacing w:after="240"/>
        <w:ind w:left="567" w:hanging="567"/>
      </w:pPr>
      <w:r w:rsidRPr="000D1E6C">
        <w:t>E.</w:t>
      </w:r>
      <w:r w:rsidRPr="000D1E6C">
        <w:tab/>
        <w:t>overwegende dat in het advies van de EFSA onvoldoende rekening is gehouden met cumulatieve en combinatorische effecten, indirecte milieueffecten en de sociaal-economische gevolgen van een intensiever gebruik van herbiciden;</w:t>
      </w:r>
    </w:p>
    <w:p w14:paraId="7576A980" w14:textId="77777777" w:rsidR="003F135E" w:rsidRPr="000D1E6C" w:rsidRDefault="003F135E" w:rsidP="003F135E">
      <w:pPr>
        <w:spacing w:after="240"/>
        <w:ind w:left="567" w:hanging="567"/>
      </w:pPr>
      <w:r w:rsidRPr="000D1E6C">
        <w:t>F.</w:t>
      </w:r>
      <w:r w:rsidRPr="000D1E6C">
        <w:tab/>
        <w:t>overwegende dat het genetisch gemodificeerde koolzaad zich snel ongecontroleerd verspreidt en gemakkelijk genetisch materiaal uitwisselt, en dat in verscheidene lidstaten al gevallen zijn vastgesteld van wilde populaties van genetisch gemodificeerd koolzaad, waardoor coëxistentie, monitoring op de lange termijn en uitroeiing worden bemoeilijkt;</w:t>
      </w:r>
    </w:p>
    <w:p w14:paraId="64517D39" w14:textId="77777777" w:rsidR="003F135E" w:rsidRPr="000D1E6C" w:rsidRDefault="003F135E" w:rsidP="003F135E">
      <w:pPr>
        <w:spacing w:after="240"/>
        <w:ind w:left="567" w:hanging="567"/>
      </w:pPr>
      <w:r w:rsidRPr="000D1E6C">
        <w:t>G.</w:t>
      </w:r>
      <w:r w:rsidRPr="000D1E6C">
        <w:tab/>
        <w:t>overwegende dat het monitoringplan voor de milieueffecten dat in het ontwerp van uitvoeringsbesluit van de Commissie is opgenomen, voornamelijk gebaseerd is op algemeen toezicht en niet voorziet in specifieke, onafhankelijke langetermijnstudies over bestuivers, bodemorganismen en niet-doelplanten;</w:t>
      </w:r>
    </w:p>
    <w:p w14:paraId="253DD8F0" w14:textId="77777777" w:rsidR="003F135E" w:rsidRPr="000D1E6C" w:rsidRDefault="003F135E" w:rsidP="003F135E">
      <w:pPr>
        <w:spacing w:after="240"/>
        <w:ind w:left="567" w:hanging="567"/>
      </w:pPr>
      <w:r w:rsidRPr="000D1E6C">
        <w:t>H.</w:t>
      </w:r>
      <w:r w:rsidRPr="000D1E6C">
        <w:tab/>
        <w:t>overwegende dat het voorzorgsbeginsel, dat is verankerd in artikel 191 van het Verdrag betreffende de werking van de Europese Unie, moet worden toegepast gezien de wetenschappelijke onzekerheden en bewijzen van mogelijke persistentie en verspreiding van genetisch gemodificeerd koolzaad in het milieu;</w:t>
      </w:r>
    </w:p>
    <w:p w14:paraId="50B831DF" w14:textId="77777777" w:rsidR="003F135E" w:rsidRPr="000D1E6C" w:rsidRDefault="003F135E" w:rsidP="003F135E">
      <w:pPr>
        <w:spacing w:after="240"/>
        <w:ind w:left="567" w:hanging="567"/>
      </w:pPr>
      <w:r w:rsidRPr="000D1E6C">
        <w:t>I.</w:t>
      </w:r>
      <w:r w:rsidRPr="000D1E6C">
        <w:tab/>
        <w:t>overwegende dat in Verordening (EG) nr. 1829/2003 is bepaald dat genetisch gemodificeerde levensmiddelen en diervoeders geen negatieve effecten mogen hebben op de menselijke gezondheid, op de diergezondheid of op het milieu;</w:t>
      </w:r>
    </w:p>
    <w:p w14:paraId="455E2B2D" w14:textId="7CB7E8ED" w:rsidR="003F135E" w:rsidRPr="000D1E6C" w:rsidRDefault="001A35C2" w:rsidP="003F135E">
      <w:pPr>
        <w:spacing w:after="240"/>
        <w:ind w:left="567" w:hanging="567"/>
      </w:pPr>
      <w:r w:rsidRPr="000D1E6C">
        <w:t>J</w:t>
      </w:r>
      <w:r w:rsidR="003F135E" w:rsidRPr="000D1E6C">
        <w:t>.</w:t>
      </w:r>
      <w:r w:rsidR="003F135E" w:rsidRPr="000D1E6C">
        <w:tab/>
        <w:t>overwegende dat de “één gezondheid”-benadering een geïntegreerd beeld van de risico’s en de gevolgen voor de gezondheid van mensen, dieren, planten en het milieu vereist, hetgeen in de huidige beoordeling niet wordt gewaarborgd;</w:t>
      </w:r>
    </w:p>
    <w:p w14:paraId="48AB3E28" w14:textId="366FBCF1" w:rsidR="003F135E" w:rsidRPr="000D1E6C" w:rsidRDefault="001A35C2" w:rsidP="003F135E">
      <w:pPr>
        <w:spacing w:after="240"/>
        <w:ind w:left="567" w:hanging="567"/>
      </w:pPr>
      <w:r w:rsidRPr="000D1E6C">
        <w:t>K</w:t>
      </w:r>
      <w:r w:rsidR="003F135E" w:rsidRPr="000D1E6C">
        <w:t>.</w:t>
      </w:r>
      <w:r w:rsidR="003F135E" w:rsidRPr="000D1E6C">
        <w:tab/>
        <w:t>overwegende dat het Parlement herhaaldelijk bezwaar heeft gemaakt tegen de verlening of verlenging van vergunningen voor ggo’s indien er geen gekwalificeerde meerderheid onder de lidstaten</w:t>
      </w:r>
      <w:bookmarkStart w:id="8" w:name="_Hlk210670575"/>
      <w:r w:rsidR="003F135E" w:rsidRPr="000D1E6C">
        <w:t xml:space="preserve"> in het Permanent Comité voor planten, dieren, levensmiddelen en diervoeders of in het comité van beroep</w:t>
      </w:r>
      <w:bookmarkEnd w:id="8"/>
      <w:r w:rsidR="003F135E" w:rsidRPr="000D1E6C">
        <w:t xml:space="preserve"> kon worden bereikt, en daarbij heeft gewezen op het aanhoudende democratische tekort in de vergunningsprocedure;</w:t>
      </w:r>
    </w:p>
    <w:p w14:paraId="6C7C5214" w14:textId="77777777" w:rsidR="003F135E" w:rsidRPr="000D1E6C" w:rsidRDefault="003F135E" w:rsidP="003F135E">
      <w:pPr>
        <w:spacing w:after="240"/>
        <w:ind w:left="567" w:hanging="567"/>
      </w:pPr>
      <w:r w:rsidRPr="000D1E6C">
        <w:t>1.</w:t>
      </w:r>
      <w:r w:rsidRPr="000D1E6C">
        <w:tab/>
        <w:t>is van mening dat het ontwerp van uitvoeringsbesluit van de Commissie de in Verordening (EG) nr. 1829/2003 bedoelde uitvoeringsbevoegdheden overschrijdt;</w:t>
      </w:r>
    </w:p>
    <w:p w14:paraId="7865C964" w14:textId="77777777" w:rsidR="003F135E" w:rsidRPr="000D1E6C" w:rsidRDefault="003F135E" w:rsidP="003F135E">
      <w:pPr>
        <w:spacing w:after="240"/>
        <w:ind w:left="567" w:hanging="567"/>
      </w:pPr>
      <w:r w:rsidRPr="000D1E6C">
        <w:lastRenderedPageBreak/>
        <w:t>2.</w:t>
      </w:r>
      <w:r w:rsidRPr="000D1E6C">
        <w:tab/>
        <w:t>is van mening dat het ontwerp van uitvoeringsbesluit van de Commissie niet in overeenstemming is met het recht van de Unie, aangezien het niet verenigbaar is met het doel van Verordening (EG) nr. 1829/2003 om, overeenkomstig de algemene beginselen van Verordening (EG) nr. 178/2002 van het Europees Parlement en de Raad</w:t>
      </w:r>
      <w:r w:rsidRPr="000D1E6C">
        <w:rPr>
          <w:rStyle w:val="FootnoteReference"/>
        </w:rPr>
        <w:footnoteReference w:id="6"/>
      </w:r>
      <w:r w:rsidRPr="000D1E6C">
        <w:t>,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 en het voorzorgsbeginsel in acht wordt genomen;</w:t>
      </w:r>
    </w:p>
    <w:p w14:paraId="73EBF28B" w14:textId="77777777" w:rsidR="003F135E" w:rsidRPr="000D1E6C" w:rsidRDefault="003F135E" w:rsidP="003F135E">
      <w:pPr>
        <w:spacing w:after="240"/>
        <w:ind w:left="567" w:hanging="567"/>
      </w:pPr>
      <w:r w:rsidRPr="000D1E6C">
        <w:t>3.</w:t>
      </w:r>
      <w:r w:rsidRPr="000D1E6C">
        <w:tab/>
        <w:t>verzoekt de Commissie haar ontwerp van uitvoeringsbesluit in te trekken;</w:t>
      </w:r>
    </w:p>
    <w:p w14:paraId="3DC4AA05" w14:textId="77777777" w:rsidR="003F135E" w:rsidRPr="000D1E6C" w:rsidRDefault="003F135E" w:rsidP="003F135E">
      <w:pPr>
        <w:spacing w:after="240"/>
        <w:ind w:left="567" w:hanging="567"/>
      </w:pPr>
      <w:r w:rsidRPr="000D1E6C">
        <w:t>4.</w:t>
      </w:r>
      <w:r w:rsidRPr="000D1E6C">
        <w:tab/>
        <w:t>verzoekt de Commissie om in overeenstemming met de “één gezondheid”-benadering de vergunning voor het genetisch gemodificeerde koolzaad niet te verlengen wegens bezorgdheid over de genenstroom, de persistentie ervan in het milieu, het gebruik van herbiciden en onvoldoende bewijs op lange termijn;</w:t>
      </w:r>
      <w:bookmarkStart w:id="9" w:name="_Hlk210900300"/>
    </w:p>
    <w:p w14:paraId="3CBB4E78" w14:textId="77777777" w:rsidR="003F135E" w:rsidRPr="000D1E6C" w:rsidRDefault="003F135E" w:rsidP="003F135E">
      <w:pPr>
        <w:spacing w:after="240"/>
        <w:ind w:left="567" w:hanging="567"/>
      </w:pPr>
      <w:r w:rsidRPr="000D1E6C">
        <w:t>5.</w:t>
      </w:r>
      <w:r w:rsidRPr="000D1E6C">
        <w:tab/>
        <w:t>verzoekt de Commissie onverwijld een wetgevingsvoorstel in te dienen voor de hervorming van de besluitvormingsprocedure inzake ggo’s, teneinde tegemoet te komen aan de aanhoudende bezwaren van het Parlement en iets te doen aan het feit dat er geen gekwalificeerde meerderheid onder de lidstaten</w:t>
      </w:r>
      <w:bookmarkEnd w:id="9"/>
      <w:r w:rsidRPr="000D1E6C">
        <w:t xml:space="preserve"> wordt bereikt;</w:t>
      </w:r>
      <w:bookmarkStart w:id="10" w:name="_Hlk210900241"/>
    </w:p>
    <w:p w14:paraId="78BE2476" w14:textId="77777777" w:rsidR="003F135E" w:rsidRPr="000D1E6C" w:rsidRDefault="003F135E" w:rsidP="003F135E">
      <w:pPr>
        <w:spacing w:after="240"/>
        <w:ind w:left="567" w:hanging="567"/>
      </w:pPr>
      <w:r w:rsidRPr="000D1E6C">
        <w:t>6.</w:t>
      </w:r>
      <w:r w:rsidRPr="000D1E6C">
        <w:tab/>
        <w:t>dringt er bij de Commissie op aan rekening te houden met de verplichtingen van de Unie uit hoofde van internationale overeenkomsten, zoals de Klimaatovereenkomst van Parijs, het Verdrag van de Verenigde Naties (VN) inzake biologische diversiteit en de duurzameontwikkelingsdoelstellingen van de VN;</w:t>
      </w:r>
    </w:p>
    <w:bookmarkEnd w:id="10"/>
    <w:p w14:paraId="3189BF06" w14:textId="48EA8EDC" w:rsidR="000E5E03" w:rsidRPr="000D1E6C" w:rsidRDefault="003F135E" w:rsidP="000E5E03">
      <w:pPr>
        <w:spacing w:after="240"/>
        <w:ind w:left="567" w:hanging="567"/>
      </w:pPr>
      <w:r w:rsidRPr="000D1E6C">
        <w:t>7.</w:t>
      </w:r>
      <w:r w:rsidRPr="000D1E6C">
        <w:tab/>
        <w:t>verzoekt zijn Voorzitter deze resolutie te doen toekomen aan de Raad en de Commissie, alsmede aan de regeringen en parlementen van de lidstaten.</w:t>
      </w:r>
    </w:p>
    <w:sectPr w:rsidR="000E5E03" w:rsidRPr="000D1E6C" w:rsidSect="000E5E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95956" w14:textId="77777777" w:rsidR="00B82BBB" w:rsidRPr="000E5E03" w:rsidRDefault="00B82BBB">
      <w:r w:rsidRPr="000E5E03">
        <w:separator/>
      </w:r>
    </w:p>
  </w:endnote>
  <w:endnote w:type="continuationSeparator" w:id="0">
    <w:p w14:paraId="4A2C761C" w14:textId="77777777" w:rsidR="00B82BBB" w:rsidRPr="000E5E03" w:rsidRDefault="00B82BBB">
      <w:r w:rsidRPr="000E5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3082E" w14:textId="77777777" w:rsidR="00064002" w:rsidRPr="000E5E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B0BE" w14:textId="77777777" w:rsidR="00064002" w:rsidRPr="000E5E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7FE28" w14:textId="77777777" w:rsidR="00064002" w:rsidRPr="000E5E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AF967" w14:textId="77777777" w:rsidR="00B82BBB" w:rsidRPr="000E5E03" w:rsidRDefault="00B82BBB">
      <w:r w:rsidRPr="000E5E03">
        <w:separator/>
      </w:r>
    </w:p>
  </w:footnote>
  <w:footnote w:type="continuationSeparator" w:id="0">
    <w:p w14:paraId="5327AD2A" w14:textId="77777777" w:rsidR="00B82BBB" w:rsidRPr="000E5E03" w:rsidRDefault="00B82BBB">
      <w:r w:rsidRPr="000E5E03">
        <w:continuationSeparator/>
      </w:r>
    </w:p>
  </w:footnote>
  <w:footnote w:id="1">
    <w:p w14:paraId="119989C9" w14:textId="75509743" w:rsidR="003F135E" w:rsidRPr="000E5E03" w:rsidRDefault="003F135E" w:rsidP="000E5E03">
      <w:pPr>
        <w:pStyle w:val="FootnoteText"/>
        <w:ind w:left="567" w:hanging="567"/>
        <w:rPr>
          <w:sz w:val="24"/>
          <w:szCs w:val="22"/>
          <w:lang w:val="nl-NL"/>
        </w:rPr>
      </w:pPr>
      <w:r w:rsidRPr="000E5E03">
        <w:rPr>
          <w:rStyle w:val="FootnoteReference"/>
          <w:sz w:val="24"/>
          <w:szCs w:val="22"/>
          <w:lang w:val="nl-NL"/>
        </w:rPr>
        <w:footnoteRef/>
      </w:r>
      <w:r w:rsidR="000E5E03" w:rsidRPr="000E5E03">
        <w:rPr>
          <w:sz w:val="24"/>
          <w:lang w:val="nl-NL"/>
        </w:rPr>
        <w:t xml:space="preserve"> </w:t>
      </w:r>
      <w:r w:rsidR="000E5E03" w:rsidRPr="000E5E03">
        <w:rPr>
          <w:sz w:val="24"/>
          <w:lang w:val="nl-NL"/>
        </w:rPr>
        <w:tab/>
      </w:r>
      <w:r w:rsidRPr="000E5E03">
        <w:rPr>
          <w:sz w:val="24"/>
          <w:lang w:val="nl-NL"/>
        </w:rPr>
        <w:t>PB L 268 van 18.10.2003, blz. 1, ELI: </w:t>
      </w:r>
      <w:hyperlink r:id="rId1" w:history="1">
        <w:r w:rsidRPr="000E5E03">
          <w:rPr>
            <w:rStyle w:val="Hyperlink"/>
            <w:sz w:val="24"/>
            <w:lang w:val="nl-NL"/>
          </w:rPr>
          <w:t>https://eur-lex.europa.eu/eli/reg/2003/1829/oj</w:t>
        </w:r>
      </w:hyperlink>
      <w:r w:rsidRPr="000E5E03">
        <w:rPr>
          <w:sz w:val="24"/>
          <w:lang w:val="nl-NL"/>
        </w:rPr>
        <w:t>.</w:t>
      </w:r>
    </w:p>
  </w:footnote>
  <w:footnote w:id="2">
    <w:p w14:paraId="4A4799E5" w14:textId="52129053" w:rsidR="003F135E" w:rsidRPr="000E5E03" w:rsidRDefault="003F135E" w:rsidP="000E5E03">
      <w:pPr>
        <w:pStyle w:val="FootnoteText"/>
        <w:ind w:left="567" w:hanging="567"/>
        <w:rPr>
          <w:sz w:val="24"/>
          <w:szCs w:val="22"/>
          <w:lang w:val="nl-NL"/>
        </w:rPr>
      </w:pPr>
      <w:r w:rsidRPr="000E5E03">
        <w:rPr>
          <w:rStyle w:val="FootnoteReference"/>
          <w:sz w:val="24"/>
          <w:szCs w:val="22"/>
          <w:lang w:val="nl-NL"/>
        </w:rPr>
        <w:footnoteRef/>
      </w:r>
      <w:r w:rsidR="000E5E03" w:rsidRPr="000E5E03">
        <w:rPr>
          <w:sz w:val="24"/>
          <w:lang w:val="nl-NL"/>
        </w:rPr>
        <w:t xml:space="preserve"> </w:t>
      </w:r>
      <w:r w:rsidR="000E5E03" w:rsidRPr="000E5E03">
        <w:rPr>
          <w:sz w:val="24"/>
          <w:lang w:val="nl-NL"/>
        </w:rPr>
        <w:tab/>
      </w:r>
      <w:r w:rsidRPr="000E5E03">
        <w:rPr>
          <w:sz w:val="24"/>
          <w:lang w:val="nl-NL"/>
        </w:rPr>
        <w:t xml:space="preserve">PB L 55 van 28.2.2011, blz. 13, ELI: </w:t>
      </w:r>
      <w:hyperlink r:id="rId2" w:history="1">
        <w:r w:rsidRPr="000E5E03">
          <w:rPr>
            <w:rStyle w:val="Hyperlink"/>
            <w:sz w:val="24"/>
            <w:lang w:val="nl-NL"/>
          </w:rPr>
          <w:t>http://data.europa.eu/eli/reg/2011/182/oj</w:t>
        </w:r>
      </w:hyperlink>
      <w:r w:rsidRPr="000E5E03">
        <w:rPr>
          <w:sz w:val="24"/>
          <w:lang w:val="nl-NL"/>
        </w:rPr>
        <w:t>.</w:t>
      </w:r>
    </w:p>
  </w:footnote>
  <w:footnote w:id="3">
    <w:p w14:paraId="37E7B0AC" w14:textId="39EF7188" w:rsidR="003F135E" w:rsidRPr="000E5E03" w:rsidRDefault="003F135E" w:rsidP="000E5E03">
      <w:pPr>
        <w:pStyle w:val="FootnoteText"/>
        <w:ind w:left="567" w:hanging="567"/>
        <w:rPr>
          <w:sz w:val="24"/>
          <w:szCs w:val="22"/>
          <w:lang w:val="nl-NL"/>
        </w:rPr>
      </w:pPr>
      <w:r w:rsidRPr="000E5E03">
        <w:rPr>
          <w:rStyle w:val="Funotenzeichen"/>
          <w:sz w:val="24"/>
          <w:szCs w:val="22"/>
          <w:lang w:val="nl-NL"/>
        </w:rPr>
        <w:footnoteRef/>
      </w:r>
      <w:r w:rsidR="000E5E03" w:rsidRPr="000E5E03">
        <w:rPr>
          <w:sz w:val="24"/>
          <w:lang w:val="nl-NL"/>
        </w:rPr>
        <w:t xml:space="preserve"> </w:t>
      </w:r>
      <w:r w:rsidR="000E5E03" w:rsidRPr="000E5E03">
        <w:rPr>
          <w:sz w:val="24"/>
          <w:lang w:val="nl-NL"/>
        </w:rPr>
        <w:tab/>
      </w:r>
      <w:r w:rsidRPr="000E5E03">
        <w:rPr>
          <w:sz w:val="24"/>
          <w:lang w:val="nl-NL"/>
        </w:rPr>
        <w:t xml:space="preserve">Wetenschappelijk advies van het EFSA-panel voor genetisch gemodificeerde organismen getiteld “Assessment of genetically modified oilseed rape MON 88302 (application GMFF-2023-21220)”. EFSA Journal, 2025; 23(5):9378. </w:t>
      </w:r>
      <w:hyperlink r:id="rId3" w:history="1">
        <w:r w:rsidR="001A35C2" w:rsidRPr="00194D54">
          <w:rPr>
            <w:rStyle w:val="Hyperlink"/>
            <w:sz w:val="24"/>
            <w:lang w:val="nl-NL"/>
          </w:rPr>
          <w:t>https://doi.org/10.2903/j.efsa.2025.9378</w:t>
        </w:r>
      </w:hyperlink>
      <w:r w:rsidRPr="000E5E03">
        <w:rPr>
          <w:sz w:val="24"/>
          <w:lang w:val="nl-NL"/>
        </w:rPr>
        <w:t xml:space="preserve">. </w:t>
      </w:r>
    </w:p>
  </w:footnote>
  <w:footnote w:id="4">
    <w:p w14:paraId="4E717F17" w14:textId="5ED164B2" w:rsidR="003F135E" w:rsidRPr="000E5E03" w:rsidRDefault="003F135E" w:rsidP="000E5E03">
      <w:pPr>
        <w:pStyle w:val="FootnoteText"/>
        <w:ind w:left="567" w:hanging="567"/>
        <w:rPr>
          <w:color w:val="000000" w:themeColor="text1"/>
          <w:sz w:val="24"/>
          <w:szCs w:val="22"/>
          <w:vertAlign w:val="superscript"/>
          <w:lang w:val="nl-NL"/>
        </w:rPr>
      </w:pPr>
      <w:r w:rsidRPr="000E5E03">
        <w:rPr>
          <w:rStyle w:val="FootnoteReference"/>
          <w:sz w:val="24"/>
          <w:szCs w:val="22"/>
          <w:lang w:val="nl-NL"/>
        </w:rPr>
        <w:footnoteRef/>
      </w:r>
      <w:r w:rsidR="000E5E03" w:rsidRPr="000E5E03">
        <w:rPr>
          <w:color w:val="000000" w:themeColor="text1"/>
          <w:sz w:val="24"/>
          <w:lang w:val="nl-NL"/>
        </w:rPr>
        <w:t xml:space="preserve"> </w:t>
      </w:r>
      <w:r w:rsidR="000E5E03" w:rsidRPr="000E5E03">
        <w:rPr>
          <w:color w:val="000000" w:themeColor="text1"/>
          <w:sz w:val="24"/>
          <w:lang w:val="nl-NL"/>
        </w:rPr>
        <w:tab/>
      </w:r>
      <w:r w:rsidRPr="000E5E03">
        <w:rPr>
          <w:color w:val="000000" w:themeColor="text1"/>
          <w:sz w:val="24"/>
          <w:lang w:val="nl-NL"/>
        </w:rPr>
        <w:t>Het Parlement heeft in de achtste zittingsperiode 36 resoluties en in de negende zittingsperiode 38 resoluties aangenomen waarin het bezwaar maakt tegen het verlenen van vergunningen voor ggo’s. Daarnaast heeft het Parlement in de tiende zittingsperiode de volgende resoluties aangenomen:</w:t>
      </w:r>
    </w:p>
    <w:p w14:paraId="73256F91" w14:textId="2210E24C"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history="1">
        <w:r w:rsidR="003F135E" w:rsidRPr="000E5E03">
          <w:rPr>
            <w:rStyle w:val="Hyperlink"/>
            <w:sz w:val="24"/>
            <w:lang w:val="nl-NL"/>
          </w:rPr>
          <w:t>http://data.europa.eu/eli/C/2025/1797/oj</w:t>
        </w:r>
      </w:hyperlink>
      <w:r w:rsidR="003F135E" w:rsidRPr="000E5E03">
        <w:rPr>
          <w:color w:val="000000" w:themeColor="text1"/>
          <w:sz w:val="24"/>
          <w:lang w:val="nl-NL"/>
        </w:rPr>
        <w:t>).</w:t>
      </w:r>
    </w:p>
    <w:p w14:paraId="7E360230" w14:textId="7CC64B15"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3F135E" w:rsidRPr="000E5E03">
          <w:rPr>
            <w:rStyle w:val="Hyperlink"/>
            <w:sz w:val="24"/>
            <w:lang w:val="nl-NL"/>
          </w:rPr>
          <w:t>http://data.europa.eu/eli/C/2025/1798/oj</w:t>
        </w:r>
      </w:hyperlink>
      <w:r w:rsidR="003F135E" w:rsidRPr="000E5E03">
        <w:rPr>
          <w:color w:val="000000" w:themeColor="text1"/>
          <w:sz w:val="24"/>
          <w:lang w:val="nl-NL"/>
        </w:rPr>
        <w:t>).</w:t>
      </w:r>
    </w:p>
    <w:p w14:paraId="78FED6A8" w14:textId="5E3B5DC9"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subcombinaties daarvan overeenkomstig Verordening (EG) nr. 1829/2003 van het Europees Parlement en de Raad (PB C, C/2025/1799, 4.4.2025, ELI: </w:t>
      </w:r>
      <w:hyperlink r:id="rId6" w:history="1">
        <w:r w:rsidR="003F135E" w:rsidRPr="000E5E03">
          <w:rPr>
            <w:rStyle w:val="Hyperlink"/>
            <w:sz w:val="24"/>
            <w:lang w:val="nl-NL"/>
          </w:rPr>
          <w:t>http://data.europa.eu/eli/C/2025/1799/oj</w:t>
        </w:r>
      </w:hyperlink>
      <w:r w:rsidR="003F135E" w:rsidRPr="000E5E03">
        <w:rPr>
          <w:color w:val="000000" w:themeColor="text1"/>
          <w:sz w:val="24"/>
          <w:lang w:val="nl-NL"/>
        </w:rPr>
        <w:t>).</w:t>
      </w:r>
    </w:p>
    <w:p w14:paraId="637DE889" w14:textId="2689DD49"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maïs MON 810 overeenkomstig Verordening (EG) nr. 1829/2003 van het Europees Parlement en de Raad en tot intrekking van Uitvoeringsbesluit (EU) 2017/1207 van de Commissie (PB C, C/2025/1800, 4.4.2025, ELI: </w:t>
      </w:r>
      <w:hyperlink r:id="rId7" w:history="1">
        <w:r w:rsidR="003F135E" w:rsidRPr="000E5E03">
          <w:rPr>
            <w:rStyle w:val="Hyperlink"/>
            <w:sz w:val="24"/>
            <w:lang w:val="nl-NL"/>
          </w:rPr>
          <w:t>http://data.europa.eu/eli/C/2025/1800/oj</w:t>
        </w:r>
      </w:hyperlink>
      <w:r w:rsidR="003F135E" w:rsidRPr="000E5E03">
        <w:rPr>
          <w:color w:val="000000" w:themeColor="text1"/>
          <w:sz w:val="24"/>
          <w:lang w:val="nl-NL"/>
        </w:rPr>
        <w:t>).</w:t>
      </w:r>
    </w:p>
    <w:p w14:paraId="704EB332" w14:textId="11FAF743"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maïs DP915635 overeenkomstig Verordening (EG) nr. 1829/2003 van het Europees Parlement en de Raad (PB C, C/2025/1801, 4.4.2025, ELI: </w:t>
      </w:r>
      <w:hyperlink r:id="rId8" w:history="1">
        <w:r w:rsidR="003F135E" w:rsidRPr="000E5E03">
          <w:rPr>
            <w:rStyle w:val="Hyperlink"/>
            <w:sz w:val="24"/>
            <w:lang w:val="nl-NL"/>
          </w:rPr>
          <w:t>http://data.europa.eu/eli/C/2025/1801/oj</w:t>
        </w:r>
      </w:hyperlink>
      <w:r w:rsidR="003F135E" w:rsidRPr="000E5E03">
        <w:rPr>
          <w:color w:val="000000" w:themeColor="text1"/>
          <w:sz w:val="24"/>
          <w:lang w:val="nl-NL"/>
        </w:rPr>
        <w:t>).</w:t>
      </w:r>
    </w:p>
    <w:p w14:paraId="163D86CB" w14:textId="63EC9297"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Raad(PB C, C/2025/1802, 4.4.2025, ELI: </w:t>
      </w:r>
      <w:hyperlink r:id="rId9" w:history="1">
        <w:r w:rsidR="003F135E" w:rsidRPr="000E5E03">
          <w:rPr>
            <w:rStyle w:val="Hyperlink"/>
            <w:sz w:val="24"/>
            <w:lang w:val="nl-NL"/>
          </w:rPr>
          <w:t>http://data.europa.eu/eli/C/2025/1802/oj</w:t>
        </w:r>
      </w:hyperlink>
      <w:r w:rsidR="003F135E" w:rsidRPr="000E5E03">
        <w:rPr>
          <w:color w:val="000000" w:themeColor="text1"/>
          <w:sz w:val="24"/>
          <w:lang w:val="nl-NL"/>
        </w:rPr>
        <w:t>).</w:t>
      </w:r>
    </w:p>
    <w:p w14:paraId="5168D683" w14:textId="05C08F1D"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maïs DP202216 overeenkomstig Verordening (EG) nr. 1829/2003 van het Europees Parlement en de Raad (PB C, C/2025/1803, 4.4.2025, ELI: </w:t>
      </w:r>
      <w:hyperlink r:id="rId10" w:history="1">
        <w:r w:rsidR="003F135E" w:rsidRPr="000E5E03">
          <w:rPr>
            <w:rStyle w:val="Hyperlink"/>
            <w:sz w:val="24"/>
            <w:lang w:val="nl-NL"/>
          </w:rPr>
          <w:t>http://data.europa.eu/eli/C/2025/1803/oj</w:t>
        </w:r>
      </w:hyperlink>
      <w:r w:rsidR="003F135E" w:rsidRPr="000E5E03">
        <w:rPr>
          <w:color w:val="000000" w:themeColor="text1"/>
          <w:sz w:val="24"/>
          <w:lang w:val="nl-NL"/>
        </w:rPr>
        <w:t>).</w:t>
      </w:r>
    </w:p>
    <w:p w14:paraId="3DFA4558" w14:textId="473F005C" w:rsidR="003F135E" w:rsidRPr="000E5E03" w:rsidRDefault="000E5E03" w:rsidP="000E5E03">
      <w:pPr>
        <w:pStyle w:val="FootnoteText"/>
        <w:ind w:left="567" w:hanging="567"/>
        <w:rPr>
          <w:color w:val="000000" w:themeColor="text1"/>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maïs MON 94804 overeenkomstig Verordening (EG) nr. 1829/2003 van het Europees Parlement en de Raad (PB C, C/2025/1804, 4.4.2025, ELI: </w:t>
      </w:r>
      <w:hyperlink r:id="rId11" w:history="1">
        <w:r w:rsidR="003F135E" w:rsidRPr="000E5E03">
          <w:rPr>
            <w:rStyle w:val="Hyperlink"/>
            <w:sz w:val="24"/>
            <w:lang w:val="nl-NL"/>
          </w:rPr>
          <w:t>http://data.europa.eu/eli/C/2025/1804/oj</w:t>
        </w:r>
      </w:hyperlink>
      <w:r w:rsidR="003F135E" w:rsidRPr="000E5E03">
        <w:rPr>
          <w:color w:val="000000" w:themeColor="text1"/>
          <w:sz w:val="24"/>
          <w:lang w:val="nl-NL"/>
        </w:rPr>
        <w:t>).</w:t>
      </w:r>
    </w:p>
    <w:p w14:paraId="45430E12" w14:textId="56FDA56F" w:rsidR="003F135E" w:rsidRPr="000E5E03" w:rsidRDefault="000E5E03" w:rsidP="000E5E03">
      <w:pPr>
        <w:pStyle w:val="FootnoteText"/>
        <w:ind w:left="567" w:hanging="567"/>
        <w:rPr>
          <w:sz w:val="24"/>
          <w:szCs w:val="22"/>
          <w:vertAlign w:val="superscript"/>
          <w:lang w:val="nl-NL"/>
        </w:rPr>
      </w:pPr>
      <w:r w:rsidRPr="000E5E03">
        <w:rPr>
          <w:color w:val="000000" w:themeColor="text1"/>
          <w:sz w:val="24"/>
          <w:lang w:val="nl-NL"/>
        </w:rPr>
        <w:t xml:space="preserve"> </w:t>
      </w:r>
      <w:r w:rsidRPr="000E5E03">
        <w:rPr>
          <w:color w:val="000000" w:themeColor="text1"/>
          <w:sz w:val="24"/>
          <w:lang w:val="nl-NL"/>
        </w:rPr>
        <w:tab/>
      </w:r>
      <w:r w:rsidR="003F135E" w:rsidRPr="000E5E03">
        <w:rPr>
          <w:color w:val="000000" w:themeColor="text1"/>
          <w:sz w:val="24"/>
          <w:lang w:val="nl-NL"/>
        </w:rPr>
        <w:t>–</w:t>
      </w:r>
      <w:r w:rsidR="003F135E" w:rsidRPr="000E5E03">
        <w:rPr>
          <w:color w:val="000000" w:themeColor="text1"/>
          <w:sz w:val="24"/>
          <w:lang w:val="nl-NL"/>
        </w:rPr>
        <w:tab/>
      </w:r>
      <w:r w:rsidR="003F135E" w:rsidRPr="000E5E03">
        <w:rPr>
          <w:sz w:val="24"/>
          <w:lang w:val="nl-NL"/>
        </w:rPr>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maïs DP910521 overeenkomstig Verordening (EG) nr. 1829/2003 van het Europees Parlement en de Raad (PB C, C/2025/2246, 29.4.2025, ELI: </w:t>
      </w:r>
      <w:hyperlink r:id="rId12" w:tooltip="Biedt toegang tot dit document via de ELI‑URI." w:history="1">
        <w:r w:rsidR="003F135E" w:rsidRPr="000E5E03">
          <w:rPr>
            <w:rStyle w:val="Hyperlink"/>
            <w:sz w:val="24"/>
            <w:lang w:val="nl-NL"/>
          </w:rPr>
          <w:t>http://data.europa.eu/eli/C/2025/2246/oj</w:t>
        </w:r>
      </w:hyperlink>
      <w:r w:rsidR="003F135E" w:rsidRPr="000E5E03">
        <w:rPr>
          <w:sz w:val="24"/>
          <w:lang w:val="nl-NL"/>
        </w:rPr>
        <w:t>).</w:t>
      </w:r>
    </w:p>
    <w:p w14:paraId="387F9EDB" w14:textId="5BC06F43" w:rsidR="003F135E" w:rsidRPr="000E5E03" w:rsidRDefault="000E5E03" w:rsidP="000E5E03">
      <w:pPr>
        <w:pStyle w:val="FootnoteText"/>
        <w:ind w:left="567" w:hanging="567"/>
        <w:rPr>
          <w:sz w:val="24"/>
          <w:szCs w:val="22"/>
          <w:vertAlign w:val="superscript"/>
          <w:lang w:val="nl-NL"/>
        </w:rPr>
      </w:pPr>
      <w:r w:rsidRPr="000E5E03">
        <w:rPr>
          <w:sz w:val="24"/>
          <w:lang w:val="nl-NL"/>
        </w:rPr>
        <w:t xml:space="preserve"> </w:t>
      </w:r>
      <w:r w:rsidRPr="000E5E03">
        <w:rPr>
          <w:sz w:val="24"/>
          <w:lang w:val="nl-NL"/>
        </w:rPr>
        <w:tab/>
      </w:r>
      <w:r w:rsidR="003F135E" w:rsidRPr="000E5E03">
        <w:rPr>
          <w:sz w:val="24"/>
          <w:lang w:val="nl-NL"/>
        </w:rPr>
        <w:t>–</w:t>
      </w:r>
      <w:r w:rsidR="003F135E" w:rsidRPr="000E5E03">
        <w:rPr>
          <w:sz w:val="24"/>
          <w:lang w:val="nl-NL"/>
        </w:rPr>
        <w:tab/>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maïs MON 95275 overeenkomstig Verordening (EG) nr. 1829/2003 van het Europees Parlement en de Raad (PB C, C/2025/2247, 29.4.2025, ELI: </w:t>
      </w:r>
      <w:hyperlink r:id="rId13" w:tooltip="Biedt toegang tot dit document via de ELI‑URI." w:history="1">
        <w:r w:rsidR="003F135E" w:rsidRPr="000E5E03">
          <w:rPr>
            <w:rStyle w:val="Hyperlink"/>
            <w:sz w:val="24"/>
            <w:lang w:val="nl-NL"/>
          </w:rPr>
          <w:t>http://data.europa.eu/eli/C/2025/2247/oj</w:t>
        </w:r>
      </w:hyperlink>
      <w:r w:rsidR="003F135E" w:rsidRPr="000E5E03">
        <w:rPr>
          <w:sz w:val="24"/>
          <w:lang w:val="nl-NL"/>
        </w:rPr>
        <w:t>).</w:t>
      </w:r>
    </w:p>
    <w:p w14:paraId="12FE1AFE" w14:textId="00793250" w:rsidR="003F135E" w:rsidRPr="000E5E03" w:rsidRDefault="000E5E03" w:rsidP="000E5E03">
      <w:pPr>
        <w:pStyle w:val="FootnoteText"/>
        <w:ind w:left="567" w:hanging="567"/>
        <w:rPr>
          <w:sz w:val="24"/>
          <w:szCs w:val="22"/>
          <w:vertAlign w:val="superscript"/>
          <w:lang w:val="nl-NL"/>
        </w:rPr>
      </w:pPr>
      <w:r w:rsidRPr="000E5E03">
        <w:rPr>
          <w:sz w:val="24"/>
          <w:lang w:val="nl-NL"/>
        </w:rPr>
        <w:t xml:space="preserve"> </w:t>
      </w:r>
      <w:r w:rsidRPr="000E5E03">
        <w:rPr>
          <w:sz w:val="24"/>
          <w:lang w:val="nl-NL"/>
        </w:rPr>
        <w:tab/>
      </w:r>
      <w:r w:rsidR="003F135E" w:rsidRPr="000E5E03">
        <w:rPr>
          <w:sz w:val="24"/>
          <w:lang w:val="nl-NL"/>
        </w:rPr>
        <w:t>–</w:t>
      </w:r>
      <w:r w:rsidR="003F135E" w:rsidRPr="000E5E03">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p w14:paraId="395E372C" w14:textId="448BD9CA" w:rsidR="003F135E" w:rsidRPr="000E5E03" w:rsidRDefault="000E5E03" w:rsidP="000E5E03">
      <w:pPr>
        <w:pStyle w:val="FootnoteText"/>
        <w:ind w:left="567" w:hanging="567"/>
        <w:rPr>
          <w:sz w:val="24"/>
          <w:szCs w:val="22"/>
          <w:lang w:val="nl-NL"/>
        </w:rPr>
      </w:pPr>
      <w:r w:rsidRPr="000E5E03">
        <w:rPr>
          <w:sz w:val="24"/>
          <w:lang w:val="nl-NL"/>
        </w:rPr>
        <w:t xml:space="preserve"> </w:t>
      </w:r>
      <w:r w:rsidRPr="000E5E03">
        <w:rPr>
          <w:sz w:val="24"/>
          <w:lang w:val="nl-NL"/>
        </w:rPr>
        <w:tab/>
      </w:r>
      <w:r w:rsidR="003F135E" w:rsidRPr="000E5E03">
        <w:rPr>
          <w:sz w:val="24"/>
          <w:lang w:val="nl-NL"/>
        </w:rPr>
        <w:t>–</w:t>
      </w:r>
      <w:r w:rsidR="003F135E" w:rsidRPr="000E5E03">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(P10_TA(2025)0222).</w:t>
      </w:r>
    </w:p>
  </w:footnote>
  <w:footnote w:id="5">
    <w:p w14:paraId="6E7775F6" w14:textId="681EFA7B" w:rsidR="003F135E" w:rsidRPr="000E5E03" w:rsidRDefault="003F135E" w:rsidP="000E5E03">
      <w:pPr>
        <w:pStyle w:val="FootnoteText"/>
        <w:ind w:left="567" w:hanging="567"/>
        <w:rPr>
          <w:sz w:val="24"/>
          <w:szCs w:val="22"/>
          <w:lang w:val="nl-NL"/>
        </w:rPr>
      </w:pPr>
      <w:r w:rsidRPr="000E5E03">
        <w:rPr>
          <w:rStyle w:val="FootnoteReference"/>
          <w:sz w:val="24"/>
          <w:szCs w:val="22"/>
          <w:lang w:val="nl-NL"/>
        </w:rPr>
        <w:footnoteRef/>
      </w:r>
      <w:r w:rsidR="000E5E03" w:rsidRPr="000E5E03">
        <w:rPr>
          <w:sz w:val="24"/>
          <w:lang w:val="nl-NL"/>
        </w:rPr>
        <w:t xml:space="preserve"> </w:t>
      </w:r>
      <w:r w:rsidR="000E5E03" w:rsidRPr="000E5E03">
        <w:rPr>
          <w:sz w:val="24"/>
          <w:lang w:val="nl-NL"/>
        </w:rPr>
        <w:tab/>
      </w:r>
      <w:r w:rsidRPr="000E5E03">
        <w:rPr>
          <w:sz w:val="24"/>
          <w:lang w:val="nl-NL"/>
        </w:rPr>
        <w:t>PB L 112 van 30.4.2015, blz. 22, ELI: </w:t>
      </w:r>
      <w:hyperlink r:id="rId14" w:tooltip="Biedt toegang tot dit document via de ELI‑URI." w:history="1">
        <w:r w:rsidRPr="000E5E03">
          <w:rPr>
            <w:rStyle w:val="Hyperlink"/>
            <w:sz w:val="24"/>
            <w:lang w:val="nl-NL"/>
          </w:rPr>
          <w:t>http://data.europa.eu/eli/dec_impl/2015/687/oj</w:t>
        </w:r>
      </w:hyperlink>
      <w:r w:rsidRPr="000E5E03">
        <w:rPr>
          <w:sz w:val="24"/>
          <w:lang w:val="nl-NL"/>
        </w:rPr>
        <w:t>.</w:t>
      </w:r>
    </w:p>
  </w:footnote>
  <w:footnote w:id="6">
    <w:p w14:paraId="77F55C8B" w14:textId="280EB5A3" w:rsidR="003F135E" w:rsidRPr="000E5E03" w:rsidRDefault="003F135E" w:rsidP="000E5E03">
      <w:pPr>
        <w:pStyle w:val="FootnoteText"/>
        <w:ind w:left="567" w:hanging="567"/>
        <w:rPr>
          <w:sz w:val="24"/>
          <w:szCs w:val="22"/>
          <w:lang w:val="nl-NL"/>
        </w:rPr>
      </w:pPr>
      <w:r w:rsidRPr="000E5E03">
        <w:rPr>
          <w:rStyle w:val="FootnoteReference"/>
          <w:sz w:val="24"/>
          <w:szCs w:val="22"/>
          <w:lang w:val="nl-NL"/>
        </w:rPr>
        <w:footnoteRef/>
      </w:r>
      <w:r w:rsidR="000E5E03" w:rsidRPr="000E5E03">
        <w:rPr>
          <w:sz w:val="24"/>
          <w:lang w:val="nl-NL"/>
        </w:rPr>
        <w:t xml:space="preserve"> </w:t>
      </w:r>
      <w:r w:rsidR="000E5E03" w:rsidRPr="000E5E03">
        <w:rPr>
          <w:sz w:val="24"/>
          <w:lang w:val="nl-NL"/>
        </w:rPr>
        <w:tab/>
      </w:r>
      <w:r w:rsidRPr="000E5E03">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5" w:tgtFrame="Gives%20access%20to%20this%20document%20through%20its%20ELI%20URI." w:history="1">
        <w:r w:rsidRPr="000E5E03">
          <w:rPr>
            <w:rStyle w:val="Hyperlink"/>
            <w:sz w:val="24"/>
            <w:lang w:val="nl-NL"/>
          </w:rPr>
          <w:t>http://data.europa.eu/eli/reg/2002/178/oj</w:t>
        </w:r>
      </w:hyperlink>
      <w:r w:rsidRPr="000E5E0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9DC9" w14:textId="77777777" w:rsidR="00064002" w:rsidRPr="000E5E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46192" w14:textId="77777777" w:rsidR="00064002" w:rsidRPr="000E5E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B956" w14:textId="77777777" w:rsidR="00064002" w:rsidRPr="000E5E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9161465">
    <w:abstractNumId w:val="9"/>
  </w:num>
  <w:num w:numId="2" w16cid:durableId="926888795">
    <w:abstractNumId w:val="9"/>
  </w:num>
  <w:num w:numId="3" w16cid:durableId="1866475209">
    <w:abstractNumId w:val="7"/>
  </w:num>
  <w:num w:numId="4" w16cid:durableId="941187975">
    <w:abstractNumId w:val="7"/>
  </w:num>
  <w:num w:numId="5" w16cid:durableId="1705405333">
    <w:abstractNumId w:val="6"/>
  </w:num>
  <w:num w:numId="6" w16cid:durableId="1417441509">
    <w:abstractNumId w:val="6"/>
  </w:num>
  <w:num w:numId="7" w16cid:durableId="330911133">
    <w:abstractNumId w:val="5"/>
  </w:num>
  <w:num w:numId="8" w16cid:durableId="1839274377">
    <w:abstractNumId w:val="5"/>
  </w:num>
  <w:num w:numId="9" w16cid:durableId="1984774908">
    <w:abstractNumId w:val="4"/>
  </w:num>
  <w:num w:numId="10" w16cid:durableId="728576816">
    <w:abstractNumId w:val="4"/>
  </w:num>
  <w:num w:numId="11" w16cid:durableId="1237545664">
    <w:abstractNumId w:val="8"/>
  </w:num>
  <w:num w:numId="12" w16cid:durableId="718282760">
    <w:abstractNumId w:val="8"/>
  </w:num>
  <w:num w:numId="13" w16cid:durableId="203444364">
    <w:abstractNumId w:val="3"/>
  </w:num>
  <w:num w:numId="14" w16cid:durableId="488791978">
    <w:abstractNumId w:val="3"/>
  </w:num>
  <w:num w:numId="15" w16cid:durableId="1352797586">
    <w:abstractNumId w:val="2"/>
  </w:num>
  <w:num w:numId="16" w16cid:durableId="1531261081">
    <w:abstractNumId w:val="2"/>
  </w:num>
  <w:num w:numId="17" w16cid:durableId="1369068415">
    <w:abstractNumId w:val="1"/>
  </w:num>
  <w:num w:numId="18" w16cid:durableId="282617418">
    <w:abstractNumId w:val="1"/>
  </w:num>
  <w:num w:numId="19" w16cid:durableId="2117482473">
    <w:abstractNumId w:val="0"/>
  </w:num>
  <w:num w:numId="20" w16cid:durableId="684331865">
    <w:abstractNumId w:val="0"/>
  </w:num>
  <w:num w:numId="21" w16cid:durableId="549878546">
    <w:abstractNumId w:val="9"/>
  </w:num>
  <w:num w:numId="22" w16cid:durableId="1682927466">
    <w:abstractNumId w:val="7"/>
  </w:num>
  <w:num w:numId="23" w16cid:durableId="110130563">
    <w:abstractNumId w:val="6"/>
  </w:num>
  <w:num w:numId="24" w16cid:durableId="1628125875">
    <w:abstractNumId w:val="5"/>
  </w:num>
  <w:num w:numId="25" w16cid:durableId="1789928902">
    <w:abstractNumId w:val="4"/>
  </w:num>
  <w:num w:numId="26" w16cid:durableId="383411246">
    <w:abstractNumId w:val="8"/>
  </w:num>
  <w:num w:numId="27" w16cid:durableId="788667084">
    <w:abstractNumId w:val="3"/>
  </w:num>
  <w:num w:numId="28" w16cid:durableId="945623080">
    <w:abstractNumId w:val="2"/>
  </w:num>
  <w:num w:numId="29" w16cid:durableId="1998537536">
    <w:abstractNumId w:val="1"/>
  </w:num>
  <w:num w:numId="30" w16cid:durableId="1091001148">
    <w:abstractNumId w:val="0"/>
  </w:num>
  <w:num w:numId="31" w16cid:durableId="1274440389">
    <w:abstractNumId w:val="9"/>
  </w:num>
  <w:num w:numId="32" w16cid:durableId="512259054">
    <w:abstractNumId w:val="7"/>
  </w:num>
  <w:num w:numId="33" w16cid:durableId="2084641931">
    <w:abstractNumId w:val="6"/>
  </w:num>
  <w:num w:numId="34" w16cid:durableId="1599676352">
    <w:abstractNumId w:val="5"/>
  </w:num>
  <w:num w:numId="35" w16cid:durableId="1334647878">
    <w:abstractNumId w:val="4"/>
  </w:num>
  <w:num w:numId="36" w16cid:durableId="239339436">
    <w:abstractNumId w:val="8"/>
  </w:num>
  <w:num w:numId="37" w16cid:durableId="672688487">
    <w:abstractNumId w:val="3"/>
  </w:num>
  <w:num w:numId="38" w16cid:durableId="1490710958">
    <w:abstractNumId w:val="2"/>
  </w:num>
  <w:num w:numId="39" w16cid:durableId="1608778396">
    <w:abstractNumId w:val="1"/>
  </w:num>
  <w:num w:numId="40" w16cid:durableId="453063353">
    <w:abstractNumId w:val="0"/>
  </w:num>
  <w:num w:numId="41" w16cid:durableId="204949688">
    <w:abstractNumId w:val="10"/>
  </w:num>
  <w:num w:numId="42" w16cid:durableId="497962956">
    <w:abstractNumId w:val="10"/>
  </w:num>
  <w:num w:numId="43" w16cid:durableId="485365897">
    <w:abstractNumId w:val="10"/>
  </w:num>
  <w:num w:numId="44" w16cid:durableId="1944415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NL"/>
    <w:docVar w:name="dvnumam" w:val="0"/>
    <w:docVar w:name="dvpe" w:val="778.109"/>
    <w:docVar w:name="dvtitre" w:val="Resolutie van het Europees Parlement van xx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D109632/01 – 2025/2895(RSP))"/>
  </w:docVars>
  <w:rsids>
    <w:rsidRoot w:val="00B82BBB"/>
    <w:rsid w:val="00002272"/>
    <w:rsid w:val="00064002"/>
    <w:rsid w:val="000677B9"/>
    <w:rsid w:val="000831BA"/>
    <w:rsid w:val="000A42CC"/>
    <w:rsid w:val="000D1E6C"/>
    <w:rsid w:val="000E5E03"/>
    <w:rsid w:val="000E7DD9"/>
    <w:rsid w:val="0010095E"/>
    <w:rsid w:val="00125B37"/>
    <w:rsid w:val="00187494"/>
    <w:rsid w:val="001A35C2"/>
    <w:rsid w:val="001F32AE"/>
    <w:rsid w:val="002767FF"/>
    <w:rsid w:val="002B18FE"/>
    <w:rsid w:val="002B5493"/>
    <w:rsid w:val="00343214"/>
    <w:rsid w:val="00361C00"/>
    <w:rsid w:val="00395FA1"/>
    <w:rsid w:val="003E15D4"/>
    <w:rsid w:val="003F135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BBB"/>
    <w:rsid w:val="00BD48FE"/>
    <w:rsid w:val="00BD7BD8"/>
    <w:rsid w:val="00BE6ADC"/>
    <w:rsid w:val="00C05BFE"/>
    <w:rsid w:val="00C23CD4"/>
    <w:rsid w:val="00C26823"/>
    <w:rsid w:val="00C61C0C"/>
    <w:rsid w:val="00C941CB"/>
    <w:rsid w:val="00CC2357"/>
    <w:rsid w:val="00CE36C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80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5CD65"/>
  <w15:chartTrackingRefBased/>
  <w15:docId w15:val="{9AACE850-4865-4785-BE02-2C15470FC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135E"/>
    <w:pPr>
      <w:spacing w:before="480" w:after="240"/>
    </w:pPr>
  </w:style>
  <w:style w:type="paragraph" w:customStyle="1" w:styleId="NormalHanging12a">
    <w:name w:val="NormalHanging12a"/>
    <w:basedOn w:val="Normal"/>
    <w:qFormat/>
    <w:rsid w:val="003F135E"/>
    <w:pPr>
      <w:spacing w:after="240"/>
      <w:ind w:left="567" w:hanging="567"/>
    </w:pPr>
  </w:style>
  <w:style w:type="character" w:styleId="Hyperlink">
    <w:name w:val="Hyperlink"/>
    <w:basedOn w:val="DefaultParagraphFont"/>
    <w:uiPriority w:val="99"/>
    <w:unhideWhenUsed/>
    <w:rsid w:val="003F135E"/>
    <w:rPr>
      <w:color w:val="0563C1" w:themeColor="hyperlink"/>
      <w:u w:val="single"/>
    </w:rPr>
  </w:style>
  <w:style w:type="character" w:customStyle="1" w:styleId="Funotenzeichen">
    <w:name w:val="Fußnotenzeichen"/>
    <w:basedOn w:val="DefaultParagraphFont"/>
    <w:qFormat/>
    <w:rsid w:val="003F135E"/>
    <w:rPr>
      <w:vertAlign w:val="superscript"/>
    </w:rPr>
  </w:style>
  <w:style w:type="paragraph" w:styleId="Revision">
    <w:name w:val="Revision"/>
    <w:hidden/>
    <w:uiPriority w:val="99"/>
    <w:semiHidden/>
    <w:rsid w:val="001A35C2"/>
    <w:rPr>
      <w:sz w:val="24"/>
      <w:lang w:val="nl-NL"/>
    </w:rPr>
  </w:style>
  <w:style w:type="character" w:styleId="UnresolvedMention">
    <w:name w:val="Unresolved Mention"/>
    <w:basedOn w:val="DefaultParagraphFont"/>
    <w:uiPriority w:val="99"/>
    <w:semiHidden/>
    <w:unhideWhenUsed/>
    <w:rsid w:val="001A35C2"/>
    <w:rPr>
      <w:color w:val="605E5C"/>
      <w:shd w:val="clear" w:color="auto" w:fill="E1DFDD"/>
    </w:rPr>
  </w:style>
  <w:style w:type="character" w:styleId="FollowedHyperlink">
    <w:name w:val="FollowedHyperlink"/>
    <w:basedOn w:val="DefaultParagraphFont"/>
    <w:rsid w:val="001A35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2025-11-25T13:21:00Z</dcterms:created>
  <dcterms:modified xsi:type="dcterms:W3CDTF">2025-11-25T13:21:00Z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B10-0490/2025</vt:lpwstr>
  </property>
  <property fmtid="{D5CDD505-2E9C-101B-9397-08002B2CF9AE}" pid="4" name="&lt;Type&gt;">
    <vt:lpwstr>RR</vt:lpwstr>
  </property>
</Properties>
</file>