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1C8A" w14:paraId="25DD6566" w14:textId="77777777" w:rsidTr="0010095E">
        <w:trPr>
          <w:trHeight w:hRule="exact" w:val="1418"/>
        </w:trPr>
        <w:tc>
          <w:tcPr>
            <w:tcW w:w="6804" w:type="dxa"/>
            <w:shd w:val="clear" w:color="auto" w:fill="auto"/>
            <w:vAlign w:val="center"/>
          </w:tcPr>
          <w:p w14:paraId="3B95B1ED" w14:textId="77777777" w:rsidR="00751A4A" w:rsidRPr="008D1C8A" w:rsidRDefault="00471440" w:rsidP="0010095E">
            <w:pPr>
              <w:pStyle w:val="EPName"/>
            </w:pPr>
            <w:r w:rsidRPr="008D1C8A">
              <w:t>Parlamento Europeu</w:t>
            </w:r>
          </w:p>
          <w:p w14:paraId="78D79BCC" w14:textId="77777777" w:rsidR="00751A4A" w:rsidRPr="008D1C8A" w:rsidRDefault="005F1B17" w:rsidP="005F1B17">
            <w:pPr>
              <w:pStyle w:val="EPTerm"/>
              <w:rPr>
                <w:rStyle w:val="HideTWBExt"/>
                <w:noProof w:val="0"/>
                <w:vanish w:val="0"/>
                <w:color w:val="auto"/>
              </w:rPr>
            </w:pPr>
            <w:r w:rsidRPr="008D1C8A">
              <w:t>2024</w:t>
            </w:r>
            <w:r w:rsidR="00817416" w:rsidRPr="008D1C8A">
              <w:t>-202</w:t>
            </w:r>
            <w:r w:rsidRPr="008D1C8A">
              <w:t>9</w:t>
            </w:r>
          </w:p>
        </w:tc>
        <w:tc>
          <w:tcPr>
            <w:tcW w:w="2268" w:type="dxa"/>
            <w:shd w:val="clear" w:color="auto" w:fill="auto"/>
          </w:tcPr>
          <w:p w14:paraId="0280E4FD" w14:textId="77777777" w:rsidR="00751A4A" w:rsidRPr="008D1C8A" w:rsidRDefault="00187494" w:rsidP="0010095E">
            <w:pPr>
              <w:pStyle w:val="EPLogo"/>
            </w:pPr>
            <w:r w:rsidRPr="008D1C8A">
              <w:rPr>
                <w:noProof/>
                <w:lang w:eastAsia="ja-JP"/>
              </w:rPr>
              <w:drawing>
                <wp:inline distT="0" distB="0" distL="0" distR="0" wp14:anchorId="5C6BAB3B" wp14:editId="2994E5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87C955" w14:textId="77777777" w:rsidR="00D058B8" w:rsidRPr="008D1C8A" w:rsidRDefault="00D058B8" w:rsidP="004C5D52">
      <w:pPr>
        <w:pStyle w:val="LineTop"/>
      </w:pPr>
    </w:p>
    <w:p w14:paraId="2943931A" w14:textId="77777777" w:rsidR="00680577" w:rsidRPr="008D1C8A" w:rsidRDefault="00471440" w:rsidP="00680577">
      <w:pPr>
        <w:pStyle w:val="EPBodyTA1"/>
      </w:pPr>
      <w:r w:rsidRPr="008D1C8A">
        <w:t>TEXTOS APROVADOS</w:t>
      </w:r>
    </w:p>
    <w:p w14:paraId="206F2264" w14:textId="77777777" w:rsidR="00D058B8" w:rsidRPr="008D1C8A" w:rsidRDefault="00D058B8" w:rsidP="00D058B8">
      <w:pPr>
        <w:pStyle w:val="LineBottom"/>
      </w:pPr>
    </w:p>
    <w:p w14:paraId="628716EA" w14:textId="7FD9A3ED" w:rsidR="00471440" w:rsidRPr="008D1C8A" w:rsidRDefault="00471440" w:rsidP="00471440">
      <w:pPr>
        <w:pStyle w:val="ATHeading1"/>
      </w:pPr>
      <w:bookmarkStart w:id="0" w:name="TANumber"/>
      <w:r w:rsidRPr="008D1C8A">
        <w:t>P10_TA(2025)0</w:t>
      </w:r>
      <w:r w:rsidR="008D1C8A" w:rsidRPr="008D1C8A">
        <w:t>290</w:t>
      </w:r>
      <w:bookmarkEnd w:id="0"/>
    </w:p>
    <w:p w14:paraId="7386FEDF" w14:textId="484AA019" w:rsidR="00471440" w:rsidRPr="008D1C8A" w:rsidRDefault="00B60019" w:rsidP="00471440">
      <w:pPr>
        <w:pStyle w:val="ATHeading2"/>
      </w:pPr>
      <w:bookmarkStart w:id="1" w:name="title"/>
      <w:r w:rsidRPr="008D1C8A">
        <w:t>C</w:t>
      </w:r>
      <w:r w:rsidR="00471440" w:rsidRPr="008D1C8A">
        <w:t>olza geneticamente modificada MON 88302</w:t>
      </w:r>
      <w:bookmarkEnd w:id="1"/>
    </w:p>
    <w:p w14:paraId="1CECB87C" w14:textId="77777777" w:rsidR="00471440" w:rsidRPr="008D1C8A" w:rsidRDefault="00471440" w:rsidP="00471440">
      <w:pPr>
        <w:rPr>
          <w:i/>
          <w:vanish/>
        </w:rPr>
      </w:pPr>
      <w:r w:rsidRPr="008D1C8A">
        <w:rPr>
          <w:i/>
        </w:rPr>
        <w:fldChar w:fldCharType="begin"/>
      </w:r>
      <w:r w:rsidRPr="008D1C8A">
        <w:rPr>
          <w:i/>
        </w:rPr>
        <w:instrText xml:space="preserve"> TC"(</w:instrText>
      </w:r>
      <w:bookmarkStart w:id="2" w:name="DocNumber"/>
      <w:r w:rsidRPr="008D1C8A">
        <w:rPr>
          <w:i/>
        </w:rPr>
        <w:instrText>B10-0490/2025</w:instrText>
      </w:r>
      <w:bookmarkEnd w:id="2"/>
      <w:r w:rsidRPr="008D1C8A">
        <w:rPr>
          <w:i/>
        </w:rPr>
        <w:instrText xml:space="preserve">)"\l3 \n&gt; \* MERGEFORMAT </w:instrText>
      </w:r>
      <w:r w:rsidRPr="008D1C8A">
        <w:rPr>
          <w:i/>
        </w:rPr>
        <w:fldChar w:fldCharType="end"/>
      </w:r>
    </w:p>
    <w:p w14:paraId="406E301C" w14:textId="77777777" w:rsidR="00471440" w:rsidRPr="008D1C8A" w:rsidRDefault="00471440" w:rsidP="00471440">
      <w:pPr>
        <w:rPr>
          <w:vanish/>
        </w:rPr>
      </w:pPr>
      <w:bookmarkStart w:id="3" w:name="PE"/>
      <w:r w:rsidRPr="008D1C8A">
        <w:rPr>
          <w:vanish/>
        </w:rPr>
        <w:t>PE778.109</w:t>
      </w:r>
      <w:bookmarkEnd w:id="3"/>
    </w:p>
    <w:p w14:paraId="357F0D58" w14:textId="2225AC80" w:rsidR="00471440" w:rsidRPr="008D1C8A" w:rsidRDefault="00471440" w:rsidP="00471440">
      <w:pPr>
        <w:pStyle w:val="ATHeading3"/>
      </w:pPr>
      <w:bookmarkStart w:id="4" w:name="Sujet"/>
      <w:r w:rsidRPr="008D1C8A">
        <w:t xml:space="preserve">Resolução do Parlamento Europeu, de </w:t>
      </w:r>
      <w:r w:rsidR="00C26225" w:rsidRPr="008D1C8A">
        <w:t>25</w:t>
      </w:r>
      <w:r w:rsidRPr="008D1C8A">
        <w:t xml:space="preserve"> de </w:t>
      </w:r>
      <w:r w:rsidR="00C26225" w:rsidRPr="008D1C8A">
        <w:t>novembro</w:t>
      </w:r>
      <w:r w:rsidRPr="008D1C8A">
        <w:t xml:space="preserve"> de 2025,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w:t>
      </w:r>
      <w:bookmarkEnd w:id="4"/>
      <w:r w:rsidRPr="008D1C8A">
        <w:t xml:space="preserve"> </w:t>
      </w:r>
      <w:bookmarkStart w:id="5" w:name="References"/>
      <w:r w:rsidRPr="008D1C8A">
        <w:t>(D109632/01 – 2025/2895(RSP))</w:t>
      </w:r>
      <w:bookmarkEnd w:id="5"/>
    </w:p>
    <w:p w14:paraId="3FC0FF90" w14:textId="77777777" w:rsidR="00131370" w:rsidRPr="008D1C8A" w:rsidRDefault="00131370" w:rsidP="00131370">
      <w:pPr>
        <w:pStyle w:val="EPComma"/>
      </w:pPr>
      <w:bookmarkStart w:id="6" w:name="TextBodyBegin"/>
      <w:bookmarkEnd w:id="6"/>
      <w:r w:rsidRPr="008D1C8A">
        <w:rPr>
          <w:i/>
          <w:iCs/>
        </w:rPr>
        <w:t>O Parlamento Europeu,</w:t>
      </w:r>
    </w:p>
    <w:p w14:paraId="6A1919D7" w14:textId="77777777" w:rsidR="00131370" w:rsidRPr="008D1C8A" w:rsidRDefault="00131370" w:rsidP="00131370">
      <w:pPr>
        <w:pStyle w:val="NormalHanging12a"/>
      </w:pPr>
      <w:r w:rsidRPr="008D1C8A">
        <w:t>–</w:t>
      </w:r>
      <w:r w:rsidRPr="008D1C8A">
        <w:tab/>
        <w:t>Tendo em conta o projeto de decisão de execução da Comissão referente à renovação da autorização de colocação no mercado de produtos que contenham, sejam constituídos por, ou sejam produzidos a partir de colza geneticamente modificada MON 88302, nos termos do Regulamento (CE) n.º 1829/2003 do Parlamento Europeu e do Conselho (D109632/01),</w:t>
      </w:r>
    </w:p>
    <w:p w14:paraId="600147D6" w14:textId="77777777" w:rsidR="00131370" w:rsidRPr="008D1C8A" w:rsidRDefault="00131370" w:rsidP="00131370">
      <w:pPr>
        <w:pStyle w:val="NormalHanging12a"/>
      </w:pPr>
      <w:r w:rsidRPr="008D1C8A">
        <w:t>–</w:t>
      </w:r>
      <w:r w:rsidRPr="008D1C8A">
        <w:tab/>
        <w:t>Tendo em conta o Regulamento (CE) n.º 1829/2003 do Parlamento Europeu e do Conselho, de 22 de setembro de 2003, relativo a géneros alimentícios e alimentos para animais geneticamente modificados</w:t>
      </w:r>
      <w:r w:rsidRPr="008D1C8A">
        <w:rPr>
          <w:vertAlign w:val="superscript"/>
        </w:rPr>
        <w:footnoteReference w:id="1"/>
      </w:r>
      <w:r w:rsidRPr="008D1C8A">
        <w:t xml:space="preserve">, nomeadamente o artigo 11.º, n.º 3, e o artigo 23.º, n.º 3, </w:t>
      </w:r>
    </w:p>
    <w:p w14:paraId="2C2DCAD0" w14:textId="74851A0D" w:rsidR="00131370" w:rsidRPr="008D1C8A" w:rsidRDefault="00131370" w:rsidP="00131370">
      <w:pPr>
        <w:pStyle w:val="NormalHanging12a"/>
      </w:pPr>
      <w:r w:rsidRPr="008D1C8A">
        <w:t>–</w:t>
      </w:r>
      <w:r w:rsidRPr="008D1C8A">
        <w:tab/>
        <w:t xml:space="preserve">Tendo em conta a votação no </w:t>
      </w:r>
      <w:bookmarkStart w:id="7" w:name="_Hlk210664905"/>
      <w:r w:rsidRPr="008D1C8A">
        <w:t>Comité Permanente dos Vegetais, Animais e Alimentos para Consumo Humano e Animal</w:t>
      </w:r>
      <w:bookmarkEnd w:id="7"/>
      <w:r w:rsidRPr="008D1C8A">
        <w:t>, referido no artigo 35.º do Regulamento (CE) n.º 1829/2003, de 15 de setembro de 2025,</w:t>
      </w:r>
      <w:r w:rsidR="00F63D7C" w:rsidRPr="008D1C8A">
        <w:t xml:space="preserve"> na qual</w:t>
      </w:r>
      <w:r w:rsidR="00801704" w:rsidRPr="008D1C8A">
        <w:t xml:space="preserve"> não foi emitido parecer, </w:t>
      </w:r>
      <w:r w:rsidR="00FB5B71" w:rsidRPr="008D1C8A">
        <w:t>bem como</w:t>
      </w:r>
      <w:r w:rsidR="00801704" w:rsidRPr="008D1C8A">
        <w:t xml:space="preserve"> a votação do </w:t>
      </w:r>
      <w:r w:rsidR="00402E69" w:rsidRPr="008D1C8A">
        <w:t xml:space="preserve">Comité </w:t>
      </w:r>
      <w:r w:rsidR="00801704" w:rsidRPr="008D1C8A">
        <w:t xml:space="preserve">de </w:t>
      </w:r>
      <w:r w:rsidR="00402E69" w:rsidRPr="008D1C8A">
        <w:t>Recurso</w:t>
      </w:r>
      <w:r w:rsidR="00801704" w:rsidRPr="008D1C8A">
        <w:t xml:space="preserve">, de 21 de outubro </w:t>
      </w:r>
      <w:r w:rsidR="003862AD">
        <w:t xml:space="preserve">de </w:t>
      </w:r>
      <w:r w:rsidR="00801704" w:rsidRPr="008D1C8A">
        <w:t xml:space="preserve">2025, </w:t>
      </w:r>
      <w:r w:rsidR="00402E69" w:rsidRPr="008D1C8A">
        <w:t>na qual também não foi emitido parecer</w:t>
      </w:r>
      <w:r w:rsidR="00801704" w:rsidRPr="008D1C8A">
        <w:t>,</w:t>
      </w:r>
    </w:p>
    <w:p w14:paraId="73CA60E1" w14:textId="2211F58B" w:rsidR="00131370" w:rsidRPr="008D1C8A" w:rsidRDefault="00131370" w:rsidP="00131370">
      <w:pPr>
        <w:pStyle w:val="NormalHanging12a"/>
      </w:pPr>
      <w:r w:rsidRPr="008D1C8A">
        <w:t>–</w:t>
      </w:r>
      <w:r w:rsidRPr="008D1C8A">
        <w:tab/>
        <w:t>Tendo em conta o</w:t>
      </w:r>
      <w:r w:rsidR="005A0243" w:rsidRPr="008D1C8A">
        <w:t xml:space="preserve"> artigo 11.º do</w:t>
      </w:r>
      <w:r w:rsidRPr="008D1C8A">
        <w:t xml:space="preserve"> Regulamento (UE) n.º 182/2011 do Parlamento Europeu e do Conselho, de 16 de fevereiro de 2011, que estabelece as regras e os princípios gerais relativos aos mecanismos de controlo pelos Estados</w:t>
      </w:r>
      <w:r w:rsidRPr="008D1C8A">
        <w:noBreakHyphen/>
        <w:t>Membros do exercício das competências de execução pela Comissão</w:t>
      </w:r>
      <w:r w:rsidRPr="008D1C8A">
        <w:rPr>
          <w:rStyle w:val="FootnoteReference"/>
        </w:rPr>
        <w:footnoteReference w:id="2"/>
      </w:r>
      <w:r w:rsidRPr="008D1C8A">
        <w:t>,</w:t>
      </w:r>
    </w:p>
    <w:p w14:paraId="35F39758" w14:textId="77777777" w:rsidR="00131370" w:rsidRPr="008D1C8A" w:rsidRDefault="00131370" w:rsidP="00131370">
      <w:pPr>
        <w:pStyle w:val="NormalHanging12a"/>
      </w:pPr>
      <w:r w:rsidRPr="008D1C8A">
        <w:t>–</w:t>
      </w:r>
      <w:r w:rsidRPr="008D1C8A">
        <w:tab/>
        <w:t xml:space="preserve">Tendo em conta o parecer adotado pela Autoridade Europeia para a Segurança dos </w:t>
      </w:r>
      <w:r w:rsidRPr="008D1C8A">
        <w:lastRenderedPageBreak/>
        <w:t>Alimentos (EFSA) em 26 de março de 2025 e publicado em 13 de maio de 2025</w:t>
      </w:r>
      <w:r w:rsidRPr="008D1C8A">
        <w:rPr>
          <w:rStyle w:val="FootnoteReference"/>
          <w:szCs w:val="24"/>
        </w:rPr>
        <w:footnoteReference w:id="3"/>
      </w:r>
      <w:r w:rsidRPr="008D1C8A">
        <w:t>,</w:t>
      </w:r>
    </w:p>
    <w:p w14:paraId="5D01CB55" w14:textId="77777777" w:rsidR="00131370" w:rsidRPr="008D1C8A" w:rsidRDefault="00131370" w:rsidP="00131370">
      <w:pPr>
        <w:pStyle w:val="NormalHanging12a"/>
      </w:pPr>
      <w:r w:rsidRPr="008D1C8A">
        <w:t>–</w:t>
      </w:r>
      <w:r w:rsidRPr="008D1C8A">
        <w:tab/>
        <w:t>Tendo em conta as suas anteriores resoluções em que se opôs à autorização de organismos geneticamente modificados (OGM)</w:t>
      </w:r>
      <w:r w:rsidRPr="008D1C8A">
        <w:rPr>
          <w:rStyle w:val="FootnoteReference"/>
        </w:rPr>
        <w:footnoteReference w:id="4"/>
      </w:r>
      <w:r w:rsidRPr="008D1C8A">
        <w:t>,</w:t>
      </w:r>
    </w:p>
    <w:p w14:paraId="28E256D8" w14:textId="77777777" w:rsidR="00131370" w:rsidRPr="008D1C8A" w:rsidRDefault="00131370" w:rsidP="00131370">
      <w:pPr>
        <w:pStyle w:val="NormalHanging12a"/>
      </w:pPr>
      <w:r w:rsidRPr="008D1C8A">
        <w:lastRenderedPageBreak/>
        <w:t>–</w:t>
      </w:r>
      <w:r w:rsidRPr="008D1C8A">
        <w:tab/>
        <w:t>Tendo em conta o artigo 115.º, n.</w:t>
      </w:r>
      <w:r w:rsidRPr="008D1C8A">
        <w:rPr>
          <w:vertAlign w:val="superscript"/>
        </w:rPr>
        <w:t>os</w:t>
      </w:r>
      <w:r w:rsidRPr="008D1C8A">
        <w:t xml:space="preserve"> 2 e 3, do seu Regimento,</w:t>
      </w:r>
    </w:p>
    <w:p w14:paraId="0E2A6394" w14:textId="77777777" w:rsidR="00131370" w:rsidRPr="008D1C8A" w:rsidRDefault="00131370" w:rsidP="00131370">
      <w:pPr>
        <w:pStyle w:val="NormalHanging12a"/>
      </w:pPr>
      <w:r w:rsidRPr="008D1C8A">
        <w:t>–</w:t>
      </w:r>
      <w:r w:rsidRPr="008D1C8A">
        <w:tab/>
        <w:t>Tendo em conta a proposta de resolução da Comissão do Ambiente, do Clima e da Segurança Alimentar,</w:t>
      </w:r>
    </w:p>
    <w:p w14:paraId="0B3AE6B5" w14:textId="77C8F775" w:rsidR="00131370" w:rsidRPr="008D1C8A" w:rsidRDefault="00131370" w:rsidP="00131370">
      <w:pPr>
        <w:pStyle w:val="NormalHanging12a"/>
      </w:pPr>
      <w:r w:rsidRPr="008D1C8A">
        <w:t>A.</w:t>
      </w:r>
      <w:r w:rsidRPr="008D1C8A">
        <w:tab/>
        <w:t>Considerando que a Decisão de Execução (UE) 2015/687 da Comissão, de 24 de abril de 2015</w:t>
      </w:r>
      <w:r w:rsidRPr="008D1C8A">
        <w:rPr>
          <w:rStyle w:val="FootnoteReference"/>
        </w:rPr>
        <w:footnoteReference w:id="5"/>
      </w:r>
      <w:r w:rsidRPr="008D1C8A">
        <w:t>, autoriza a colocação no mercado de produtos que contenham, sejam constituídos por ou sejam produzidos a partir de colza geneticamente modificada MON</w:t>
      </w:r>
      <w:r w:rsidR="00932E3D" w:rsidRPr="008D1C8A">
        <w:t> </w:t>
      </w:r>
      <w:r w:rsidRPr="008D1C8A">
        <w:t>88302 («colza GM»);</w:t>
      </w:r>
    </w:p>
    <w:p w14:paraId="6DB15B3C" w14:textId="73CA40C8" w:rsidR="00131370" w:rsidRPr="008D1C8A" w:rsidRDefault="00131370" w:rsidP="00131370">
      <w:pPr>
        <w:spacing w:after="240"/>
        <w:ind w:left="567" w:hanging="567"/>
      </w:pPr>
      <w:r w:rsidRPr="008D1C8A">
        <w:t>B.</w:t>
      </w:r>
      <w:r w:rsidRPr="008D1C8A">
        <w:tab/>
        <w:t xml:space="preserve">Considerando que em 28 de fevereiro de 2024, a empresa Bayer </w:t>
      </w:r>
      <w:proofErr w:type="spellStart"/>
      <w:r w:rsidRPr="008D1C8A">
        <w:t>Agriculture</w:t>
      </w:r>
      <w:proofErr w:type="spellEnd"/>
      <w:r w:rsidRPr="008D1C8A">
        <w:t xml:space="preserve"> B.V., sediada na Bélgica, apresentou à Comissão, em nome da empresa Bayer </w:t>
      </w:r>
      <w:proofErr w:type="spellStart"/>
      <w:r w:rsidRPr="008D1C8A">
        <w:t>CropScience</w:t>
      </w:r>
      <w:proofErr w:type="spellEnd"/>
      <w:r w:rsidR="00932E3D" w:rsidRPr="008D1C8A">
        <w:t> </w:t>
      </w:r>
      <w:r w:rsidRPr="008D1C8A">
        <w:t xml:space="preserve">LP, sediada nos Estados Unidos, um pedido de renovação dessa autorização, em conformidade com os artigos 11.º e 23.º do Regulamento (CE) n.º 1829/2003; que o âmbito de aplicação dessa autorização abrange igualmente a colocação no mercado de produtos, que não sejam géneros alimentícios nem alimentos </w:t>
      </w:r>
      <w:r w:rsidRPr="008D1C8A">
        <w:lastRenderedPageBreak/>
        <w:t>para animais, que contenham ou sejam constituídos por colza GM e sejam destinados às utilizações habituais da colza, com exceção do cultivo;</w:t>
      </w:r>
    </w:p>
    <w:p w14:paraId="4805F074" w14:textId="77777777" w:rsidR="00131370" w:rsidRPr="008D1C8A" w:rsidRDefault="00131370" w:rsidP="00131370">
      <w:pPr>
        <w:spacing w:after="240"/>
        <w:ind w:left="567" w:hanging="567"/>
      </w:pPr>
      <w:r w:rsidRPr="008D1C8A">
        <w:t>C.</w:t>
      </w:r>
      <w:r w:rsidRPr="008D1C8A">
        <w:tab/>
        <w:t>Considerando que a EFSA emitiu um parecer favorável em 26 de março de 2025, tendo concluído que o pedido de renovação não continha provas de novos perigos, de modificação da exposição ou de incertezas científicas suscetíveis de alterar as conclusões da sua avaliação dos riscos inicial emitida em 2014;</w:t>
      </w:r>
    </w:p>
    <w:p w14:paraId="26E65C19" w14:textId="77777777" w:rsidR="00131370" w:rsidRPr="008D1C8A" w:rsidRDefault="00131370" w:rsidP="00131370">
      <w:pPr>
        <w:spacing w:after="240"/>
        <w:ind w:left="567" w:hanging="567"/>
      </w:pPr>
      <w:r w:rsidRPr="008D1C8A">
        <w:t>D.</w:t>
      </w:r>
      <w:r w:rsidRPr="008D1C8A">
        <w:tab/>
        <w:t>Considerando que a colza GM demonstra tolerância ao glifosato; que a utilização de glifosato está associada ao declínio da biodiversidade, à contaminação dos solos e da água e a problemas de saúde;</w:t>
      </w:r>
    </w:p>
    <w:p w14:paraId="6E67E945" w14:textId="77777777" w:rsidR="00131370" w:rsidRPr="008D1C8A" w:rsidRDefault="00131370" w:rsidP="00131370">
      <w:pPr>
        <w:spacing w:after="240"/>
        <w:ind w:left="567" w:hanging="567"/>
      </w:pPr>
      <w:r w:rsidRPr="008D1C8A">
        <w:t>E.</w:t>
      </w:r>
      <w:r w:rsidRPr="008D1C8A">
        <w:tab/>
        <w:t>Considerando que o parecer da EFSA não teve suficientemente em conta os efeitos cumulativos e combinatórios, os efeitos indiretos no meio ambiente e as consequências socioeconómicas da utilização intensiva de herbicidas;</w:t>
      </w:r>
    </w:p>
    <w:p w14:paraId="236CF321" w14:textId="77777777" w:rsidR="00131370" w:rsidRPr="008D1C8A" w:rsidRDefault="00131370" w:rsidP="00131370">
      <w:pPr>
        <w:spacing w:after="240"/>
        <w:ind w:left="567" w:hanging="567"/>
      </w:pPr>
      <w:r w:rsidRPr="008D1C8A">
        <w:t>F.</w:t>
      </w:r>
      <w:r w:rsidRPr="008D1C8A">
        <w:tab/>
        <w:t>Considerando que a colza GM é propensa à propagação descontrolada e à transferência de genes, com casos de populações selvagens de colza GM já documentados em vários Estados</w:t>
      </w:r>
      <w:r w:rsidRPr="008D1C8A">
        <w:noBreakHyphen/>
        <w:t>Membros, o que cria dificuldades de coexistência, acompanhamento a longo prazo e erradicação;</w:t>
      </w:r>
    </w:p>
    <w:p w14:paraId="25B80498" w14:textId="77777777" w:rsidR="00131370" w:rsidRPr="008D1C8A" w:rsidRDefault="00131370" w:rsidP="00131370">
      <w:pPr>
        <w:spacing w:after="240"/>
        <w:ind w:left="567" w:hanging="567"/>
      </w:pPr>
      <w:r w:rsidRPr="008D1C8A">
        <w:t>G.</w:t>
      </w:r>
      <w:r w:rsidRPr="008D1C8A">
        <w:tab/>
        <w:t>Considerando que o plano de acompanhamento dos efeitos ambientais previsto no projeto de decisão de execução da Comissão se baseia, sobretudo, na vigilância geral e não prevê estudos específicos e independentes a longo prazo sobre polinizadores, organismos do solo e plantas não visadas;</w:t>
      </w:r>
    </w:p>
    <w:p w14:paraId="1F94F943" w14:textId="77777777" w:rsidR="00131370" w:rsidRPr="008D1C8A" w:rsidRDefault="00131370" w:rsidP="00131370">
      <w:pPr>
        <w:spacing w:after="240"/>
        <w:ind w:left="567" w:hanging="567"/>
      </w:pPr>
      <w:r w:rsidRPr="008D1C8A">
        <w:t>H.</w:t>
      </w:r>
      <w:r w:rsidRPr="008D1C8A">
        <w:tab/>
        <w:t>Considerando que, face às incertezas científicas e aos indícios de uma possível persistência e propagação da colza GM no ambiente, se torna necessário aplicar o princípio da precaução, consagrado no artigo 191.º do Tratado sobre o Funcionamento da União Europeia;</w:t>
      </w:r>
    </w:p>
    <w:p w14:paraId="312B421A" w14:textId="77777777" w:rsidR="00131370" w:rsidRPr="008D1C8A" w:rsidRDefault="00131370" w:rsidP="00131370">
      <w:pPr>
        <w:spacing w:after="240"/>
        <w:ind w:left="567" w:hanging="567"/>
      </w:pPr>
      <w:r w:rsidRPr="008D1C8A">
        <w:t>I.</w:t>
      </w:r>
      <w:r w:rsidRPr="008D1C8A">
        <w:tab/>
        <w:t>Considerando que o Regulamento (CE) n.º 1829/2003 exige que os géneros alimentícios e os alimentos para animais geneticamente modificados não tenham efeitos nocivos para a saúde humana, a saúde animal ou o ambiente;</w:t>
      </w:r>
    </w:p>
    <w:p w14:paraId="6393B337" w14:textId="31242D78" w:rsidR="00131370" w:rsidRPr="008D1C8A" w:rsidRDefault="00B60019" w:rsidP="00131370">
      <w:pPr>
        <w:spacing w:after="240"/>
        <w:ind w:left="567" w:hanging="567"/>
      </w:pPr>
      <w:r w:rsidRPr="008D1C8A">
        <w:t>J</w:t>
      </w:r>
      <w:r w:rsidR="00131370" w:rsidRPr="008D1C8A">
        <w:t>.</w:t>
      </w:r>
      <w:r w:rsidR="00131370" w:rsidRPr="008D1C8A">
        <w:tab/>
        <w:t>Considerando que a abordagem «Uma Só Saúde» exige uma visão integrada dos riscos e repercussões para a saúde humana, animal, vegetal e ambiental, algo que a avaliação atual não garante;</w:t>
      </w:r>
    </w:p>
    <w:p w14:paraId="344F21AB" w14:textId="53F13553" w:rsidR="00131370" w:rsidRPr="008D1C8A" w:rsidRDefault="00B60019" w:rsidP="00131370">
      <w:pPr>
        <w:spacing w:after="240"/>
        <w:ind w:left="567" w:hanging="567"/>
      </w:pPr>
      <w:r w:rsidRPr="008D1C8A">
        <w:t>K</w:t>
      </w:r>
      <w:r w:rsidR="00131370" w:rsidRPr="008D1C8A">
        <w:t>.</w:t>
      </w:r>
      <w:r w:rsidR="00131370" w:rsidRPr="008D1C8A">
        <w:tab/>
        <w:t>Considerando que o Parlamento se opôs repetidamente à autorização ou renovação de autorizações relacionadas com OGM nos casos em que não foi alcançada maioria qualificada entre os Estados</w:t>
      </w:r>
      <w:r w:rsidR="00131370" w:rsidRPr="008D1C8A">
        <w:noBreakHyphen/>
        <w:t xml:space="preserve">Membros no </w:t>
      </w:r>
      <w:bookmarkStart w:id="8" w:name="_Hlk210670575"/>
      <w:r w:rsidR="00131370" w:rsidRPr="008D1C8A">
        <w:t>Comité Permanente dos Vegetais, Animais e Alimentos para Consumo Humano e Animal ou no Comité de Recurso</w:t>
      </w:r>
      <w:bookmarkEnd w:id="8"/>
      <w:r w:rsidR="00131370" w:rsidRPr="008D1C8A">
        <w:t>, o que realça o défice democrático persistente no procedimento de autorização;</w:t>
      </w:r>
    </w:p>
    <w:p w14:paraId="5ACB6B0C" w14:textId="77777777" w:rsidR="00131370" w:rsidRPr="008D1C8A" w:rsidRDefault="00131370" w:rsidP="00131370">
      <w:pPr>
        <w:spacing w:after="240"/>
        <w:ind w:left="567" w:hanging="567"/>
      </w:pPr>
      <w:r w:rsidRPr="008D1C8A">
        <w:t>1.</w:t>
      </w:r>
      <w:r w:rsidRPr="008D1C8A">
        <w:tab/>
        <w:t>Considera que o projeto de decisão de execução da Comissão excede as competências de execução previstas no Regulamento (CE) n.º 1829/2003;</w:t>
      </w:r>
    </w:p>
    <w:p w14:paraId="48D6819A" w14:textId="77777777" w:rsidR="00131370" w:rsidRPr="008D1C8A" w:rsidRDefault="00131370" w:rsidP="00131370">
      <w:pPr>
        <w:spacing w:after="240"/>
        <w:ind w:left="567" w:hanging="567"/>
      </w:pPr>
      <w:r w:rsidRPr="008D1C8A">
        <w:t>2.</w:t>
      </w:r>
      <w:r w:rsidRPr="008D1C8A">
        <w:tab/>
        <w:t xml:space="preserve">Considera que o projeto de decisão de execução da Comissão não está em conformidade com o direito da União, por ser incompatível com o objetivo do Regulamento (CE) n.º 1829/2003, o qual, segundo os princípios gerais estabelecidos no Regulamento (CE) n.º </w:t>
      </w:r>
      <w:r w:rsidRPr="008D1C8A">
        <w:lastRenderedPageBreak/>
        <w:t>178/2002 do Parlamento Europeu e do Conselho</w:t>
      </w:r>
      <w:r w:rsidRPr="008D1C8A">
        <w:rPr>
          <w:vertAlign w:val="superscript"/>
        </w:rPr>
        <w:footnoteReference w:id="6"/>
      </w:r>
      <w:r w:rsidRPr="008D1C8A">
        <w:t>, consiste em estabelecer os fundamentos para garantir um nível elevado de proteção da vida e da saúde humanas, da saúde e do bem</w:t>
      </w:r>
      <w:r w:rsidRPr="008D1C8A">
        <w:noBreakHyphen/>
        <w:t>estar dos animais, do ambiente e dos interesses dos consumidores no que diz respeito aos géneros alimentícios e alimentos para animais GM e, do mesmo passo, assegurar o funcionamento eficaz do mercado interno, em conformidade com o princípio da precaução;</w:t>
      </w:r>
    </w:p>
    <w:p w14:paraId="6836CD68" w14:textId="77777777" w:rsidR="00131370" w:rsidRPr="008D1C8A" w:rsidRDefault="00131370" w:rsidP="00131370">
      <w:pPr>
        <w:spacing w:after="240"/>
        <w:ind w:left="567" w:hanging="567"/>
      </w:pPr>
      <w:r w:rsidRPr="008D1C8A">
        <w:t>3.</w:t>
      </w:r>
      <w:r w:rsidRPr="008D1C8A">
        <w:tab/>
        <w:t>Solicita à Comissão que retire o seu projeto de decisão de execução;</w:t>
      </w:r>
    </w:p>
    <w:p w14:paraId="1972EE2B" w14:textId="77777777" w:rsidR="00131370" w:rsidRPr="008D1C8A" w:rsidRDefault="00131370" w:rsidP="00131370">
      <w:pPr>
        <w:spacing w:after="240"/>
        <w:ind w:left="567" w:hanging="567"/>
      </w:pPr>
      <w:r w:rsidRPr="008D1C8A">
        <w:t>4.</w:t>
      </w:r>
      <w:r w:rsidRPr="008D1C8A">
        <w:tab/>
        <w:t>Insta a Comissão a não renovar a autorização referente à colza GM, devido a preocupações relacionadas com a transferência de genes, a persistência no ambiente, a utilização de herbicidas e a insuficiência de dados a longo prazo, em consonância com a abordagem «Uma Só Saúde»;</w:t>
      </w:r>
      <w:bookmarkStart w:id="9" w:name="_Hlk210900300"/>
    </w:p>
    <w:p w14:paraId="6927A3DC" w14:textId="77777777" w:rsidR="00131370" w:rsidRPr="008D1C8A" w:rsidRDefault="00131370" w:rsidP="00131370">
      <w:pPr>
        <w:spacing w:after="240"/>
        <w:ind w:left="567" w:hanging="567"/>
      </w:pPr>
      <w:r w:rsidRPr="008D1C8A">
        <w:t>5.</w:t>
      </w:r>
      <w:r w:rsidRPr="008D1C8A">
        <w:tab/>
        <w:t>Solicita à Comissão que apresente, sem demora, uma proposta legislativa com vista à revisão do processo de tomada de decisão relativo aos OGM, a fim de dar resposta às objeções reiteradas do Parlamento e à falta de apoio por maioria qualificada entre os Estados</w:t>
      </w:r>
      <w:r w:rsidRPr="008D1C8A">
        <w:noBreakHyphen/>
        <w:t>Membros</w:t>
      </w:r>
      <w:bookmarkEnd w:id="9"/>
      <w:r w:rsidRPr="008D1C8A">
        <w:t>;</w:t>
      </w:r>
      <w:bookmarkStart w:id="10" w:name="_Hlk210900241"/>
    </w:p>
    <w:p w14:paraId="30C630A0" w14:textId="77777777" w:rsidR="00131370" w:rsidRPr="008D1C8A" w:rsidRDefault="00131370" w:rsidP="00131370">
      <w:pPr>
        <w:spacing w:after="240"/>
        <w:ind w:left="567" w:hanging="567"/>
      </w:pPr>
      <w:r w:rsidRPr="008D1C8A">
        <w:t>6.</w:t>
      </w:r>
      <w:r w:rsidRPr="008D1C8A">
        <w:tab/>
        <w:t>Insta a Comissão a ter em conta as obrigações da União decorrentes dos acordos internacionais, como o Acordo de Paris sobre o Clima, a Convenção das Nações Unidas sobre a Diversidade Biológica e os Objetivos de Desenvolvimento Sustentável das Nações Unidas;</w:t>
      </w:r>
    </w:p>
    <w:bookmarkEnd w:id="10"/>
    <w:p w14:paraId="575CD599" w14:textId="1FC0CF29" w:rsidR="00E365E1" w:rsidRPr="008D1C8A" w:rsidRDefault="00131370" w:rsidP="008D1C8A">
      <w:pPr>
        <w:spacing w:after="240"/>
        <w:ind w:left="567" w:hanging="567"/>
      </w:pPr>
      <w:r w:rsidRPr="008D1C8A">
        <w:t>7.</w:t>
      </w:r>
      <w:r w:rsidRPr="008D1C8A">
        <w:tab/>
        <w:t>Encarrega a sua Presidente de transmitir a presente resolução ao Conselho, à Comissão, bem como aos governos e parlamentos dos Estados</w:t>
      </w:r>
      <w:r w:rsidRPr="008D1C8A">
        <w:noBreakHyphen/>
        <w:t>Membros.</w:t>
      </w:r>
    </w:p>
    <w:sectPr w:rsidR="00E365E1" w:rsidRPr="008D1C8A" w:rsidSect="00FA2A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0EB42" w14:textId="77777777" w:rsidR="00471440" w:rsidRPr="00FA2A70" w:rsidRDefault="00471440">
      <w:r w:rsidRPr="00FA2A70">
        <w:separator/>
      </w:r>
    </w:p>
  </w:endnote>
  <w:endnote w:type="continuationSeparator" w:id="0">
    <w:p w14:paraId="3E7B8AA1" w14:textId="77777777" w:rsidR="00471440" w:rsidRPr="00FA2A70" w:rsidRDefault="00471440">
      <w:r w:rsidRPr="00FA2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0DCA0" w14:textId="77777777" w:rsidR="00064002" w:rsidRPr="00FA2A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6F3C" w14:textId="77777777" w:rsidR="00064002" w:rsidRPr="00FA2A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CAA3C" w14:textId="77777777" w:rsidR="00064002" w:rsidRPr="00FA2A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40E90" w14:textId="77777777" w:rsidR="00471440" w:rsidRPr="00FA2A70" w:rsidRDefault="00471440">
      <w:r w:rsidRPr="00FA2A70">
        <w:separator/>
      </w:r>
    </w:p>
  </w:footnote>
  <w:footnote w:type="continuationSeparator" w:id="0">
    <w:p w14:paraId="160F1D62" w14:textId="77777777" w:rsidR="00471440" w:rsidRPr="00FA2A70" w:rsidRDefault="00471440">
      <w:r w:rsidRPr="00FA2A70">
        <w:continuationSeparator/>
      </w:r>
    </w:p>
  </w:footnote>
  <w:footnote w:id="1">
    <w:p w14:paraId="589A72D0" w14:textId="7B5F5CDA" w:rsidR="00131370" w:rsidRPr="008D1C8A" w:rsidRDefault="00131370" w:rsidP="00FA2A70">
      <w:pPr>
        <w:pStyle w:val="FootnoteText"/>
        <w:ind w:left="567" w:hanging="567"/>
        <w:rPr>
          <w:sz w:val="24"/>
          <w:lang w:val="da-DK"/>
        </w:rPr>
      </w:pPr>
      <w:r w:rsidRPr="00FA2A70">
        <w:rPr>
          <w:rStyle w:val="FootnoteReference"/>
          <w:sz w:val="24"/>
          <w:lang w:val="pt-PT"/>
        </w:rPr>
        <w:footnoteRef/>
      </w:r>
      <w:r w:rsidR="00FA2A70" w:rsidRPr="008D1C8A">
        <w:rPr>
          <w:sz w:val="24"/>
          <w:lang w:val="da-DK"/>
        </w:rPr>
        <w:t xml:space="preserve"> </w:t>
      </w:r>
      <w:r w:rsidR="00FA2A70" w:rsidRPr="008D1C8A">
        <w:rPr>
          <w:sz w:val="24"/>
          <w:lang w:val="da-DK"/>
        </w:rPr>
        <w:tab/>
      </w:r>
      <w:r w:rsidRPr="008D1C8A">
        <w:rPr>
          <w:sz w:val="24"/>
          <w:lang w:val="da-DK"/>
        </w:rPr>
        <w:t>JO L 268 de 18.10.2003, p. 1, ELI: </w:t>
      </w:r>
      <w:hyperlink r:id="rId1" w:history="1">
        <w:r w:rsidRPr="008D1C8A">
          <w:rPr>
            <w:rStyle w:val="Hyperlink"/>
            <w:sz w:val="24"/>
            <w:lang w:val="da-DK"/>
          </w:rPr>
          <w:t>https://eur</w:t>
        </w:r>
        <w:r w:rsidRPr="008D1C8A">
          <w:rPr>
            <w:rStyle w:val="Hyperlink"/>
            <w:sz w:val="24"/>
            <w:lang w:val="da-DK"/>
          </w:rPr>
          <w:noBreakHyphen/>
          <w:t>lex.europa.eu/eli/reg/2003/1829/oj</w:t>
        </w:r>
      </w:hyperlink>
      <w:r w:rsidRPr="008D1C8A">
        <w:rPr>
          <w:sz w:val="24"/>
          <w:lang w:val="da-DK"/>
        </w:rPr>
        <w:t>.</w:t>
      </w:r>
    </w:p>
  </w:footnote>
  <w:footnote w:id="2">
    <w:p w14:paraId="38336B48" w14:textId="43A91E91" w:rsidR="00131370" w:rsidRPr="00FA2A70" w:rsidRDefault="00131370" w:rsidP="00FA2A70">
      <w:pPr>
        <w:pStyle w:val="FootnoteText"/>
        <w:ind w:left="567" w:hanging="567"/>
        <w:rPr>
          <w:sz w:val="24"/>
          <w:lang w:val="pt-PT"/>
        </w:rPr>
      </w:pPr>
      <w:r w:rsidRPr="00FA2A70">
        <w:rPr>
          <w:rStyle w:val="FootnoteReference"/>
          <w:sz w:val="24"/>
          <w:lang w:val="pt-PT"/>
        </w:rPr>
        <w:footnoteRef/>
      </w:r>
      <w:r w:rsidR="00FA2A70" w:rsidRPr="00FA2A70">
        <w:rPr>
          <w:sz w:val="24"/>
          <w:lang w:val="pt-PT"/>
        </w:rPr>
        <w:t xml:space="preserve"> </w:t>
      </w:r>
      <w:r w:rsidR="00FA2A70" w:rsidRPr="00FA2A70">
        <w:rPr>
          <w:sz w:val="24"/>
          <w:lang w:val="pt-PT"/>
        </w:rPr>
        <w:tab/>
      </w:r>
      <w:r w:rsidRPr="00FA2A70">
        <w:rPr>
          <w:sz w:val="24"/>
          <w:lang w:val="pt-PT"/>
        </w:rPr>
        <w:t xml:space="preserve">JO L 55 de 28.2.2011, p. 13, ELI: </w:t>
      </w:r>
      <w:hyperlink r:id="rId2" w:history="1">
        <w:r w:rsidRPr="00FA2A70">
          <w:rPr>
            <w:rStyle w:val="Hyperlink"/>
            <w:sz w:val="24"/>
            <w:lang w:val="pt-PT"/>
          </w:rPr>
          <w:t>http://data.europa.eu/eli/reg/2011/182/oj</w:t>
        </w:r>
      </w:hyperlink>
      <w:r w:rsidRPr="00FA2A70">
        <w:rPr>
          <w:sz w:val="24"/>
          <w:lang w:val="pt-PT"/>
        </w:rPr>
        <w:t>.</w:t>
      </w:r>
    </w:p>
  </w:footnote>
  <w:footnote w:id="3">
    <w:p w14:paraId="27A77B34" w14:textId="67979E19" w:rsidR="00131370" w:rsidRPr="008D1C8A" w:rsidRDefault="00131370" w:rsidP="00FA2A70">
      <w:pPr>
        <w:pStyle w:val="FootnoteText"/>
        <w:ind w:left="567" w:hanging="567"/>
        <w:rPr>
          <w:sz w:val="24"/>
          <w:lang w:val="nl-NL"/>
        </w:rPr>
      </w:pPr>
      <w:r w:rsidRPr="00FA2A70">
        <w:rPr>
          <w:rStyle w:val="Funotenzeichen"/>
          <w:sz w:val="24"/>
          <w:lang w:val="pt-PT"/>
        </w:rPr>
        <w:footnoteRef/>
      </w:r>
      <w:r w:rsidR="00FA2A70" w:rsidRPr="00FA2A70">
        <w:rPr>
          <w:sz w:val="24"/>
          <w:lang w:val="pt-PT"/>
        </w:rPr>
        <w:t xml:space="preserve"> </w:t>
      </w:r>
      <w:r w:rsidR="00FA2A70" w:rsidRPr="00FA2A70">
        <w:rPr>
          <w:sz w:val="24"/>
          <w:lang w:val="pt-PT"/>
        </w:rPr>
        <w:tab/>
      </w:r>
      <w:r w:rsidRPr="00FA2A70">
        <w:rPr>
          <w:sz w:val="24"/>
          <w:lang w:val="pt-PT"/>
        </w:rPr>
        <w:t>Parecer científico do Painel dos Organismos Geneticamente Modificados da EFSA intitulado «</w:t>
      </w:r>
      <w:proofErr w:type="spellStart"/>
      <w:r w:rsidRPr="00FA2A70">
        <w:rPr>
          <w:sz w:val="24"/>
          <w:lang w:val="pt-PT"/>
        </w:rPr>
        <w:t>Assessment</w:t>
      </w:r>
      <w:proofErr w:type="spellEnd"/>
      <w:r w:rsidRPr="00FA2A70">
        <w:rPr>
          <w:sz w:val="24"/>
          <w:lang w:val="pt-PT"/>
        </w:rPr>
        <w:t xml:space="preserve"> </w:t>
      </w:r>
      <w:proofErr w:type="spellStart"/>
      <w:r w:rsidRPr="00FA2A70">
        <w:rPr>
          <w:sz w:val="24"/>
          <w:lang w:val="pt-PT"/>
        </w:rPr>
        <w:t>of</w:t>
      </w:r>
      <w:proofErr w:type="spellEnd"/>
      <w:r w:rsidRPr="00FA2A70">
        <w:rPr>
          <w:sz w:val="24"/>
          <w:lang w:val="pt-PT"/>
        </w:rPr>
        <w:t xml:space="preserve"> </w:t>
      </w:r>
      <w:proofErr w:type="spellStart"/>
      <w:r w:rsidRPr="00FA2A70">
        <w:rPr>
          <w:sz w:val="24"/>
          <w:lang w:val="pt-PT"/>
        </w:rPr>
        <w:t>genetically</w:t>
      </w:r>
      <w:proofErr w:type="spellEnd"/>
      <w:r w:rsidRPr="00FA2A70">
        <w:rPr>
          <w:sz w:val="24"/>
          <w:lang w:val="pt-PT"/>
        </w:rPr>
        <w:t xml:space="preserve"> </w:t>
      </w:r>
      <w:proofErr w:type="spellStart"/>
      <w:r w:rsidRPr="00FA2A70">
        <w:rPr>
          <w:sz w:val="24"/>
          <w:lang w:val="pt-PT"/>
        </w:rPr>
        <w:t>modified</w:t>
      </w:r>
      <w:proofErr w:type="spellEnd"/>
      <w:r w:rsidRPr="00FA2A70">
        <w:rPr>
          <w:sz w:val="24"/>
          <w:lang w:val="pt-PT"/>
        </w:rPr>
        <w:t xml:space="preserve"> </w:t>
      </w:r>
      <w:proofErr w:type="spellStart"/>
      <w:r w:rsidRPr="00FA2A70">
        <w:rPr>
          <w:sz w:val="24"/>
          <w:lang w:val="pt-PT"/>
        </w:rPr>
        <w:t>oilseed</w:t>
      </w:r>
      <w:proofErr w:type="spellEnd"/>
      <w:r w:rsidRPr="00FA2A70">
        <w:rPr>
          <w:sz w:val="24"/>
          <w:lang w:val="pt-PT"/>
        </w:rPr>
        <w:t xml:space="preserve"> rape MON 88302 (</w:t>
      </w:r>
      <w:proofErr w:type="spellStart"/>
      <w:r w:rsidRPr="00FA2A70">
        <w:rPr>
          <w:sz w:val="24"/>
          <w:lang w:val="pt-PT"/>
        </w:rPr>
        <w:t>application</w:t>
      </w:r>
      <w:proofErr w:type="spellEnd"/>
      <w:r w:rsidRPr="00FA2A70">
        <w:rPr>
          <w:sz w:val="24"/>
          <w:lang w:val="pt-PT"/>
        </w:rPr>
        <w:t xml:space="preserve"> GMFF</w:t>
      </w:r>
      <w:r w:rsidRPr="00FA2A70">
        <w:rPr>
          <w:sz w:val="24"/>
          <w:lang w:val="pt-PT"/>
        </w:rPr>
        <w:noBreakHyphen/>
        <w:t>2023</w:t>
      </w:r>
      <w:r w:rsidRPr="00FA2A70">
        <w:rPr>
          <w:sz w:val="24"/>
          <w:lang w:val="pt-PT"/>
        </w:rPr>
        <w:noBreakHyphen/>
        <w:t>21220)» [Avaliação da colza geneticamente modificada MON 87427 (pedido GMFF</w:t>
      </w:r>
      <w:r w:rsidRPr="00FA2A70">
        <w:rPr>
          <w:sz w:val="24"/>
          <w:lang w:val="pt-PT"/>
        </w:rPr>
        <w:noBreakHyphen/>
        <w:t>2023</w:t>
      </w:r>
      <w:r w:rsidRPr="00FA2A70">
        <w:rPr>
          <w:sz w:val="24"/>
          <w:lang w:val="pt-PT"/>
        </w:rPr>
        <w:noBreakHyphen/>
        <w:t xml:space="preserve"> 21220)]. </w:t>
      </w:r>
      <w:r w:rsidRPr="008D1C8A">
        <w:rPr>
          <w:sz w:val="24"/>
          <w:lang w:val="nl-NL"/>
        </w:rPr>
        <w:t xml:space="preserve">EFSA Journal, vol. 23, </w:t>
      </w:r>
      <w:proofErr w:type="gramStart"/>
      <w:r w:rsidRPr="008D1C8A">
        <w:rPr>
          <w:sz w:val="24"/>
          <w:lang w:val="nl-NL"/>
        </w:rPr>
        <w:t>n.º</w:t>
      </w:r>
      <w:proofErr w:type="gramEnd"/>
      <w:r w:rsidRPr="008D1C8A">
        <w:rPr>
          <w:sz w:val="24"/>
          <w:lang w:val="nl-NL"/>
        </w:rPr>
        <w:t xml:space="preserve"> 5, artigo 9378, 2025; </w:t>
      </w:r>
      <w:hyperlink r:id="rId3" w:history="1">
        <w:r w:rsidR="00B60019" w:rsidRPr="008D1C8A">
          <w:rPr>
            <w:rStyle w:val="Hyperlink"/>
            <w:sz w:val="24"/>
            <w:lang w:val="nl-NL"/>
          </w:rPr>
          <w:t>https://doi.org/10.2903/j.efsa.2025.9378</w:t>
        </w:r>
      </w:hyperlink>
      <w:r w:rsidRPr="008D1C8A">
        <w:rPr>
          <w:sz w:val="24"/>
          <w:lang w:val="nl-NL"/>
        </w:rPr>
        <w:t xml:space="preserve">. </w:t>
      </w:r>
    </w:p>
  </w:footnote>
  <w:footnote w:id="4">
    <w:p w14:paraId="5F2E4FC2" w14:textId="0E700652" w:rsidR="00131370" w:rsidRPr="00FA2A70" w:rsidRDefault="00131370" w:rsidP="00FA2A70">
      <w:pPr>
        <w:pStyle w:val="FootnoteText"/>
        <w:ind w:left="567" w:hanging="567"/>
        <w:rPr>
          <w:color w:val="000000" w:themeColor="text1"/>
          <w:sz w:val="24"/>
          <w:vertAlign w:val="superscript"/>
          <w:lang w:val="pt-PT"/>
        </w:rPr>
      </w:pPr>
      <w:r w:rsidRPr="00FA2A70">
        <w:rPr>
          <w:rStyle w:val="FootnoteReference"/>
          <w:sz w:val="24"/>
          <w:lang w:val="pt-PT"/>
        </w:rPr>
        <w:footnoteRef/>
      </w:r>
      <w:r w:rsidR="00FA2A70" w:rsidRPr="00FA2A70">
        <w:rPr>
          <w:color w:val="000000" w:themeColor="text1"/>
          <w:sz w:val="24"/>
          <w:lang w:val="pt-PT"/>
        </w:rPr>
        <w:t xml:space="preserve"> </w:t>
      </w:r>
      <w:r w:rsidR="00FA2A70" w:rsidRPr="00FA2A70">
        <w:rPr>
          <w:color w:val="000000" w:themeColor="text1"/>
          <w:sz w:val="24"/>
          <w:lang w:val="pt-PT"/>
        </w:rPr>
        <w:tab/>
      </w:r>
      <w:r w:rsidRPr="00FA2A70">
        <w:rPr>
          <w:color w:val="000000" w:themeColor="text1"/>
          <w:sz w:val="24"/>
          <w:lang w:val="pt-PT"/>
        </w:rPr>
        <w:t>Na sua 8.ª legislatura, o Parlamento aprovou 36 resoluções e, na 9.ª legislatura, 38 resoluções em que se opôs à autorização de OGM. Além disso, na sua 10.ª legislatura, o Parlamento aprovou as seguintes resoluções:</w:t>
      </w:r>
    </w:p>
    <w:p w14:paraId="0EB6A577" w14:textId="7AAF27BD"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da Comissão (UE) 2024/2628 que renova a autorização de colocação no mercado de produtos que contenham, sejam constituídos por ou produzidos a partir de milho geneticamente modificado MON 89034 × 1507 × NK603, nos termos do Regulamento (CE) n.º 1829/2003 do Parlamento Europeu e do Conselho (JO C, C/2025/1797, 4.4.2025, ELI: </w:t>
      </w:r>
      <w:hyperlink r:id="rId4" w:history="1">
        <w:r w:rsidR="00131370" w:rsidRPr="00FA2A70">
          <w:rPr>
            <w:rStyle w:val="Hyperlink"/>
            <w:sz w:val="24"/>
            <w:lang w:val="pt-PT"/>
          </w:rPr>
          <w:t>http://data.europa.eu/eli/C/2025/1797/oj</w:t>
        </w:r>
      </w:hyperlink>
      <w:r w:rsidR="00131370" w:rsidRPr="00FA2A70">
        <w:rPr>
          <w:color w:val="000000" w:themeColor="text1"/>
          <w:sz w:val="24"/>
          <w:lang w:val="pt-PT"/>
        </w:rPr>
        <w:t>);</w:t>
      </w:r>
    </w:p>
    <w:p w14:paraId="0FF66D7F" w14:textId="2C948774"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(UE) 2024/2627 da Comissão que autoriza a colocação no mercado de produtos que contenham, sejam constituídos por, ou produzidos a partir de algodão geneticamente modificado COT102 nos termos do Regulamento (CE) n.º 1829/2003 do Parlamento Europeu e do Conselho (JO C, C/2025/1798, 4.4.2025, ELI: </w:t>
      </w:r>
      <w:hyperlink r:id="rId5" w:history="1">
        <w:r w:rsidR="00131370" w:rsidRPr="00FA2A70">
          <w:rPr>
            <w:rStyle w:val="Hyperlink"/>
            <w:sz w:val="24"/>
            <w:lang w:val="pt-PT"/>
          </w:rPr>
          <w:t>http://data.europa.eu/eli/C/2025/1798/oj</w:t>
        </w:r>
      </w:hyperlink>
      <w:r w:rsidR="00131370" w:rsidRPr="00FA2A70">
        <w:rPr>
          <w:color w:val="000000" w:themeColor="text1"/>
          <w:sz w:val="24"/>
          <w:lang w:val="pt-PT"/>
        </w:rPr>
        <w:t>);</w:t>
      </w:r>
    </w:p>
    <w:p w14:paraId="7BD35B81" w14:textId="591D487A"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(UE) 2024/2629 da Comissão que renova a autorização de colocação no mercado de produtos que contenham, sejam constituídos por ou sejam produzidos a partir de milho geneticamente modificado MON 89034 × 1507 × MON 88017 × 59122 e oito das suas </w:t>
      </w:r>
      <w:proofErr w:type="spellStart"/>
      <w:r w:rsidR="00131370" w:rsidRPr="00FA2A70">
        <w:rPr>
          <w:color w:val="000000" w:themeColor="text1"/>
          <w:sz w:val="24"/>
          <w:lang w:val="pt-PT"/>
        </w:rPr>
        <w:t>subcombinações</w:t>
      </w:r>
      <w:proofErr w:type="spellEnd"/>
      <w:r w:rsidR="00131370" w:rsidRPr="00FA2A70">
        <w:rPr>
          <w:color w:val="000000" w:themeColor="text1"/>
          <w:sz w:val="24"/>
          <w:lang w:val="pt-PT"/>
        </w:rPr>
        <w:t xml:space="preserve">, nos termos do Regulamento (CE) n.º 1829/2003 do Parlamento Europeu e do Conselho (JO C, C/2025/1799, 4.4.2025, ELI: </w:t>
      </w:r>
      <w:hyperlink r:id="rId6" w:history="1">
        <w:r w:rsidR="00131370" w:rsidRPr="00FA2A70">
          <w:rPr>
            <w:rStyle w:val="Hyperlink"/>
            <w:sz w:val="24"/>
            <w:lang w:val="pt-PT"/>
          </w:rPr>
          <w:t>http://data.europa.eu/eli/C/2025/1799/oj</w:t>
        </w:r>
      </w:hyperlink>
      <w:r w:rsidR="00131370" w:rsidRPr="00FA2A70">
        <w:rPr>
          <w:color w:val="000000" w:themeColor="text1"/>
          <w:sz w:val="24"/>
          <w:lang w:val="pt-PT"/>
        </w:rPr>
        <w:t>);</w:t>
      </w:r>
    </w:p>
    <w:p w14:paraId="766A50CE" w14:textId="53725A45"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131370" w:rsidRPr="00FA2A70">
          <w:rPr>
            <w:rStyle w:val="Hyperlink"/>
            <w:sz w:val="24"/>
            <w:lang w:val="pt-PT"/>
          </w:rPr>
          <w:t>http://data.europa.eu/eli/C/2025/1800/oj</w:t>
        </w:r>
      </w:hyperlink>
      <w:r w:rsidR="00131370" w:rsidRPr="00FA2A70">
        <w:rPr>
          <w:color w:val="000000" w:themeColor="text1"/>
          <w:sz w:val="24"/>
          <w:lang w:val="pt-PT"/>
        </w:rPr>
        <w:t>);</w:t>
      </w:r>
    </w:p>
    <w:p w14:paraId="67AAF33B" w14:textId="64FDDCC2"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131370" w:rsidRPr="00FA2A70">
          <w:rPr>
            <w:rStyle w:val="Hyperlink"/>
            <w:sz w:val="24"/>
            <w:lang w:val="pt-PT"/>
          </w:rPr>
          <w:t>http://data.europa.eu/eli/C/2025/1801/oj</w:t>
        </w:r>
      </w:hyperlink>
      <w:r w:rsidR="00131370" w:rsidRPr="00FA2A70">
        <w:rPr>
          <w:color w:val="000000" w:themeColor="text1"/>
          <w:sz w:val="24"/>
          <w:lang w:val="pt-PT"/>
        </w:rPr>
        <w:t>);</w:t>
      </w:r>
    </w:p>
    <w:p w14:paraId="24421D24" w14:textId="7A0AFA8E"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131370" w:rsidRPr="00FA2A70">
          <w:rPr>
            <w:rStyle w:val="Hyperlink"/>
            <w:sz w:val="24"/>
            <w:lang w:val="pt-PT"/>
          </w:rPr>
          <w:t>http://data.europa.eu/eli/C/2025/1802/oj</w:t>
        </w:r>
      </w:hyperlink>
      <w:r w:rsidR="00131370" w:rsidRPr="00FA2A70">
        <w:rPr>
          <w:color w:val="000000" w:themeColor="text1"/>
          <w:sz w:val="24"/>
          <w:lang w:val="pt-PT"/>
        </w:rPr>
        <w:t>);</w:t>
      </w:r>
    </w:p>
    <w:p w14:paraId="1764A77A" w14:textId="123B1200"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a Decisão de Execução da Comissão (UE) 2024/2618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131370" w:rsidRPr="00FA2A70">
          <w:rPr>
            <w:rStyle w:val="Hyperlink"/>
            <w:sz w:val="24"/>
            <w:lang w:val="pt-PT"/>
          </w:rPr>
          <w:t>http://data.europa.eu/eli/C/2025/1803/oj</w:t>
        </w:r>
      </w:hyperlink>
      <w:r w:rsidR="00131370" w:rsidRPr="00FA2A70">
        <w:rPr>
          <w:color w:val="000000" w:themeColor="text1"/>
          <w:sz w:val="24"/>
          <w:lang w:val="pt-PT"/>
        </w:rPr>
        <w:t>);</w:t>
      </w:r>
    </w:p>
    <w:p w14:paraId="0B79AC0B" w14:textId="7F2E3993" w:rsidR="00131370" w:rsidRPr="00FA2A70" w:rsidRDefault="00FA2A70" w:rsidP="00FA2A70">
      <w:pPr>
        <w:pStyle w:val="FootnoteText"/>
        <w:ind w:left="567" w:hanging="567"/>
        <w:rPr>
          <w:color w:val="000000" w:themeColor="text1"/>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t xml:space="preserve">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131370" w:rsidRPr="00FA2A70">
          <w:rPr>
            <w:rStyle w:val="Hyperlink"/>
            <w:sz w:val="24"/>
            <w:lang w:val="pt-PT"/>
          </w:rPr>
          <w:t>http://data.europa.eu/eli/C/2025/1804/oj</w:t>
        </w:r>
      </w:hyperlink>
      <w:r w:rsidR="00131370" w:rsidRPr="00FA2A70">
        <w:rPr>
          <w:color w:val="000000" w:themeColor="text1"/>
          <w:sz w:val="24"/>
          <w:lang w:val="pt-PT"/>
        </w:rPr>
        <w:t>);</w:t>
      </w:r>
    </w:p>
    <w:p w14:paraId="55C9E8BA" w14:textId="2B63C9B8" w:rsidR="00131370" w:rsidRPr="00FA2A70" w:rsidRDefault="00FA2A70" w:rsidP="00FA2A70">
      <w:pPr>
        <w:pStyle w:val="FootnoteText"/>
        <w:ind w:left="567" w:hanging="567"/>
        <w:rPr>
          <w:sz w:val="24"/>
          <w:szCs w:val="22"/>
          <w:vertAlign w:val="superscript"/>
          <w:lang w:val="pt-PT"/>
        </w:rPr>
      </w:pPr>
      <w:r w:rsidRPr="00FA2A70">
        <w:rPr>
          <w:color w:val="000000" w:themeColor="text1"/>
          <w:sz w:val="24"/>
          <w:lang w:val="pt-PT"/>
        </w:rPr>
        <w:t xml:space="preserve"> </w:t>
      </w:r>
      <w:r w:rsidRPr="00FA2A70">
        <w:rPr>
          <w:color w:val="000000" w:themeColor="text1"/>
          <w:sz w:val="24"/>
          <w:lang w:val="pt-PT"/>
        </w:rPr>
        <w:tab/>
      </w:r>
      <w:r w:rsidR="00131370" w:rsidRPr="00FA2A70">
        <w:rPr>
          <w:color w:val="000000" w:themeColor="text1"/>
          <w:sz w:val="24"/>
          <w:lang w:val="pt-PT"/>
        </w:rPr>
        <w:t>–</w:t>
      </w:r>
      <w:r w:rsidR="00131370" w:rsidRPr="00FA2A70">
        <w:rPr>
          <w:color w:val="000000" w:themeColor="text1"/>
          <w:sz w:val="24"/>
          <w:lang w:val="pt-PT"/>
        </w:rPr>
        <w:tab/>
      </w:r>
      <w:r w:rsidR="00131370" w:rsidRPr="00FA2A70">
        <w:rPr>
          <w:sz w:val="24"/>
          <w:lang w:val="pt-PT"/>
        </w:rPr>
        <w:t xml:space="preserve">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(JO C, C/2025/2246, 29.4.2025, ELI: </w:t>
      </w:r>
      <w:hyperlink r:id="rId12" w:tooltip="Permite aceder ao documento através do seu identificador ELI." w:history="1">
        <w:r w:rsidR="00131370" w:rsidRPr="00FA2A70">
          <w:rPr>
            <w:rStyle w:val="Hyperlink"/>
            <w:sz w:val="24"/>
            <w:lang w:val="pt-PT"/>
          </w:rPr>
          <w:t>http://data.europa.eu/eli/C/2025/2246/oj</w:t>
        </w:r>
      </w:hyperlink>
      <w:r w:rsidR="00131370" w:rsidRPr="00FA2A70">
        <w:rPr>
          <w:sz w:val="24"/>
          <w:lang w:val="pt-PT"/>
        </w:rPr>
        <w:t>);</w:t>
      </w:r>
    </w:p>
    <w:p w14:paraId="3DF21364" w14:textId="2E3E6180" w:rsidR="00131370" w:rsidRPr="00FA2A70" w:rsidRDefault="00FA2A70" w:rsidP="00FA2A70">
      <w:pPr>
        <w:pStyle w:val="FootnoteText"/>
        <w:ind w:left="567" w:hanging="567"/>
        <w:rPr>
          <w:sz w:val="24"/>
          <w:vertAlign w:val="superscript"/>
          <w:lang w:val="pt-PT"/>
        </w:rPr>
      </w:pPr>
      <w:r w:rsidRPr="00FA2A70">
        <w:rPr>
          <w:sz w:val="24"/>
          <w:lang w:val="pt-PT"/>
        </w:rPr>
        <w:t xml:space="preserve"> </w:t>
      </w:r>
      <w:r w:rsidRPr="00FA2A70">
        <w:rPr>
          <w:sz w:val="24"/>
          <w:lang w:val="pt-PT"/>
        </w:rPr>
        <w:tab/>
      </w:r>
      <w:r w:rsidR="00131370" w:rsidRPr="00FA2A70">
        <w:rPr>
          <w:sz w:val="24"/>
          <w:lang w:val="pt-PT"/>
        </w:rPr>
        <w:t>–</w:t>
      </w:r>
      <w:r w:rsidR="00131370" w:rsidRPr="00FA2A70">
        <w:rPr>
          <w:sz w:val="24"/>
          <w:lang w:val="pt-PT"/>
        </w:rPr>
        <w:tab/>
        <w:t xml:space="preserve">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(JO C, C/2025/2247, 29.4.2025, ELI: </w:t>
      </w:r>
      <w:hyperlink r:id="rId13" w:tooltip="Permite aceder ao documento através do seu identificador ELI." w:history="1">
        <w:r w:rsidR="00131370" w:rsidRPr="00FA2A70">
          <w:rPr>
            <w:rStyle w:val="Hyperlink"/>
            <w:sz w:val="24"/>
            <w:lang w:val="pt-PT"/>
          </w:rPr>
          <w:t>http://data.europa.eu/eli/C/2025/2247/oj</w:t>
        </w:r>
      </w:hyperlink>
      <w:r w:rsidR="00131370" w:rsidRPr="00FA2A70">
        <w:rPr>
          <w:sz w:val="24"/>
          <w:lang w:val="pt-PT"/>
        </w:rPr>
        <w:t>);</w:t>
      </w:r>
    </w:p>
    <w:p w14:paraId="0ADECBC8" w14:textId="2A2F342F" w:rsidR="00131370" w:rsidRPr="00FA2A70" w:rsidRDefault="00FA2A70" w:rsidP="00FA2A70">
      <w:pPr>
        <w:pStyle w:val="FootnoteText"/>
        <w:ind w:left="567" w:hanging="567"/>
        <w:rPr>
          <w:sz w:val="24"/>
          <w:vertAlign w:val="superscript"/>
          <w:lang w:val="pt-PT"/>
        </w:rPr>
      </w:pPr>
      <w:r w:rsidRPr="00FA2A70">
        <w:rPr>
          <w:sz w:val="24"/>
          <w:lang w:val="pt-PT"/>
        </w:rPr>
        <w:t xml:space="preserve"> </w:t>
      </w:r>
      <w:r w:rsidRPr="00FA2A70">
        <w:rPr>
          <w:sz w:val="24"/>
          <w:lang w:val="pt-PT"/>
        </w:rPr>
        <w:tab/>
      </w:r>
      <w:r w:rsidR="00131370" w:rsidRPr="00FA2A70">
        <w:rPr>
          <w:sz w:val="24"/>
          <w:lang w:val="pt-PT"/>
        </w:rPr>
        <w:t>–</w:t>
      </w:r>
      <w:r w:rsidR="00131370" w:rsidRPr="00FA2A70">
        <w:rPr>
          <w:sz w:val="24"/>
          <w:lang w:val="pt-PT"/>
        </w:rPr>
        <w:tab/>
        <w:t>Resolução do Parlamento Europeu, de 8 de maio 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(P10_TA(2025)0106);</w:t>
      </w:r>
    </w:p>
    <w:p w14:paraId="203C7314" w14:textId="6FF1A9E4" w:rsidR="00131370" w:rsidRPr="00FA2A70" w:rsidRDefault="00FA2A70" w:rsidP="00FA2A70">
      <w:pPr>
        <w:pStyle w:val="FootnoteText"/>
        <w:ind w:left="567" w:hanging="567"/>
        <w:rPr>
          <w:sz w:val="24"/>
          <w:lang w:val="pt-PT"/>
        </w:rPr>
      </w:pPr>
      <w:r w:rsidRPr="00FA2A70">
        <w:rPr>
          <w:sz w:val="24"/>
          <w:lang w:val="pt-PT"/>
        </w:rPr>
        <w:t xml:space="preserve"> </w:t>
      </w:r>
      <w:r w:rsidRPr="00FA2A70">
        <w:rPr>
          <w:sz w:val="24"/>
          <w:lang w:val="pt-PT"/>
        </w:rPr>
        <w:tab/>
      </w:r>
      <w:r w:rsidR="00131370" w:rsidRPr="00FA2A70">
        <w:rPr>
          <w:sz w:val="24"/>
          <w:lang w:val="pt-PT"/>
        </w:rPr>
        <w:t>–</w:t>
      </w:r>
      <w:r w:rsidR="00131370" w:rsidRPr="00FA2A70">
        <w:rPr>
          <w:sz w:val="24"/>
          <w:lang w:val="pt-PT"/>
        </w:rPr>
        <w:tab/>
        <w:t>Resolução do Parlamento Europeu, de 8 de outubro de 2025, sobre a Decisão de Execução (UE) 2025/1898 da Comissão, de 22 de setembro de 2025, que autoriza a colocação no mercado de produtos que contenham, sejam constituídos por ou sejam produzidos a partir de milho geneticamente modificado DP51291 nos termos do Regulamento (CE) n.º 1829/2003 do Parlamento Europeu e do Conselho (P10_TA(2025)0222).</w:t>
      </w:r>
    </w:p>
  </w:footnote>
  <w:footnote w:id="5">
    <w:p w14:paraId="4A177B51" w14:textId="2651443A" w:rsidR="00131370" w:rsidRPr="008D1C8A" w:rsidRDefault="00131370" w:rsidP="00FA2A70">
      <w:pPr>
        <w:pStyle w:val="FootnoteText"/>
        <w:ind w:left="567" w:hanging="567"/>
        <w:rPr>
          <w:sz w:val="24"/>
          <w:lang w:val="da-DK"/>
        </w:rPr>
      </w:pPr>
      <w:r w:rsidRPr="00FA2A70">
        <w:rPr>
          <w:rStyle w:val="FootnoteReference"/>
          <w:sz w:val="24"/>
          <w:lang w:val="pt-PT"/>
        </w:rPr>
        <w:footnoteRef/>
      </w:r>
      <w:r w:rsidR="00FA2A70" w:rsidRPr="008D1C8A">
        <w:rPr>
          <w:sz w:val="24"/>
          <w:lang w:val="da-DK"/>
        </w:rPr>
        <w:t xml:space="preserve"> </w:t>
      </w:r>
      <w:r w:rsidR="00FA2A70" w:rsidRPr="008D1C8A">
        <w:rPr>
          <w:sz w:val="24"/>
          <w:lang w:val="da-DK"/>
        </w:rPr>
        <w:tab/>
      </w:r>
      <w:r w:rsidRPr="008D1C8A">
        <w:rPr>
          <w:sz w:val="24"/>
          <w:lang w:val="da-DK"/>
        </w:rPr>
        <w:t>JO L 112 de 30.4.2015, p. 22, ELI: </w:t>
      </w:r>
      <w:hyperlink r:id="rId14" w:tooltip="Permite aceder ao documento através do seu identificador ELI." w:history="1">
        <w:r w:rsidRPr="008D1C8A">
          <w:rPr>
            <w:rStyle w:val="Hyperlink"/>
            <w:sz w:val="24"/>
            <w:lang w:val="da-DK"/>
          </w:rPr>
          <w:t>http://data.europa.eu/eli/dec_impl/2015/687/oj</w:t>
        </w:r>
      </w:hyperlink>
      <w:r w:rsidRPr="008D1C8A">
        <w:rPr>
          <w:sz w:val="24"/>
          <w:lang w:val="da-DK"/>
        </w:rPr>
        <w:t>.</w:t>
      </w:r>
    </w:p>
  </w:footnote>
  <w:footnote w:id="6">
    <w:p w14:paraId="01E29CFC" w14:textId="736A9A5E" w:rsidR="00131370" w:rsidRPr="00FA2A70" w:rsidRDefault="00131370" w:rsidP="00FA2A70">
      <w:pPr>
        <w:pStyle w:val="FootnoteText"/>
        <w:ind w:left="567" w:hanging="567"/>
        <w:rPr>
          <w:sz w:val="24"/>
          <w:lang w:val="pt-PT"/>
        </w:rPr>
      </w:pPr>
      <w:r w:rsidRPr="00FA2A70">
        <w:rPr>
          <w:rStyle w:val="FootnoteReference"/>
          <w:sz w:val="24"/>
          <w:lang w:val="pt-PT"/>
        </w:rPr>
        <w:footnoteRef/>
      </w:r>
      <w:r w:rsidR="00FA2A70" w:rsidRPr="00FA2A70">
        <w:rPr>
          <w:sz w:val="24"/>
          <w:lang w:val="pt-PT"/>
        </w:rPr>
        <w:t xml:space="preserve"> </w:t>
      </w:r>
      <w:r w:rsidR="00FA2A70" w:rsidRPr="00FA2A70">
        <w:rPr>
          <w:sz w:val="24"/>
          <w:lang w:val="pt-PT"/>
        </w:rPr>
        <w:tab/>
      </w:r>
      <w:r w:rsidRPr="00FA2A70">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15" w:tgtFrame="Gives%20access%20to%20this%20document%20through%20its%20ELI%20URI." w:history="1">
        <w:r w:rsidRPr="00FA2A70">
          <w:rPr>
            <w:rStyle w:val="Hyperlink"/>
            <w:sz w:val="24"/>
            <w:lang w:val="pt-PT"/>
          </w:rPr>
          <w:t>http://data.europa.eu/eli/reg/2002/178/oj</w:t>
        </w:r>
      </w:hyperlink>
      <w:r w:rsidRPr="00FA2A7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994E" w14:textId="77777777" w:rsidR="00064002" w:rsidRPr="00FA2A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77F0C" w14:textId="77777777" w:rsidR="00064002" w:rsidRPr="00FA2A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1D87" w14:textId="77777777" w:rsidR="00064002" w:rsidRPr="00FA2A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2413914">
    <w:abstractNumId w:val="9"/>
  </w:num>
  <w:num w:numId="2" w16cid:durableId="1417937121">
    <w:abstractNumId w:val="9"/>
  </w:num>
  <w:num w:numId="3" w16cid:durableId="2083093950">
    <w:abstractNumId w:val="7"/>
  </w:num>
  <w:num w:numId="4" w16cid:durableId="611476821">
    <w:abstractNumId w:val="7"/>
  </w:num>
  <w:num w:numId="5" w16cid:durableId="537661866">
    <w:abstractNumId w:val="6"/>
  </w:num>
  <w:num w:numId="6" w16cid:durableId="137304512">
    <w:abstractNumId w:val="6"/>
  </w:num>
  <w:num w:numId="7" w16cid:durableId="278534946">
    <w:abstractNumId w:val="5"/>
  </w:num>
  <w:num w:numId="8" w16cid:durableId="9069706">
    <w:abstractNumId w:val="5"/>
  </w:num>
  <w:num w:numId="9" w16cid:durableId="553547017">
    <w:abstractNumId w:val="4"/>
  </w:num>
  <w:num w:numId="10" w16cid:durableId="803959985">
    <w:abstractNumId w:val="4"/>
  </w:num>
  <w:num w:numId="11" w16cid:durableId="64188051">
    <w:abstractNumId w:val="8"/>
  </w:num>
  <w:num w:numId="12" w16cid:durableId="476649181">
    <w:abstractNumId w:val="8"/>
  </w:num>
  <w:num w:numId="13" w16cid:durableId="481044114">
    <w:abstractNumId w:val="3"/>
  </w:num>
  <w:num w:numId="14" w16cid:durableId="1693724856">
    <w:abstractNumId w:val="3"/>
  </w:num>
  <w:num w:numId="15" w16cid:durableId="1282029023">
    <w:abstractNumId w:val="2"/>
  </w:num>
  <w:num w:numId="16" w16cid:durableId="447895685">
    <w:abstractNumId w:val="2"/>
  </w:num>
  <w:num w:numId="17" w16cid:durableId="1748452828">
    <w:abstractNumId w:val="1"/>
  </w:num>
  <w:num w:numId="18" w16cid:durableId="1920140435">
    <w:abstractNumId w:val="1"/>
  </w:num>
  <w:num w:numId="19" w16cid:durableId="1906255532">
    <w:abstractNumId w:val="0"/>
  </w:num>
  <w:num w:numId="20" w16cid:durableId="115027061">
    <w:abstractNumId w:val="0"/>
  </w:num>
  <w:num w:numId="21" w16cid:durableId="357702945">
    <w:abstractNumId w:val="9"/>
  </w:num>
  <w:num w:numId="22" w16cid:durableId="1737313302">
    <w:abstractNumId w:val="7"/>
  </w:num>
  <w:num w:numId="23" w16cid:durableId="130027684">
    <w:abstractNumId w:val="6"/>
  </w:num>
  <w:num w:numId="24" w16cid:durableId="1748383887">
    <w:abstractNumId w:val="5"/>
  </w:num>
  <w:num w:numId="25" w16cid:durableId="284968274">
    <w:abstractNumId w:val="4"/>
  </w:num>
  <w:num w:numId="26" w16cid:durableId="1308513481">
    <w:abstractNumId w:val="8"/>
  </w:num>
  <w:num w:numId="27" w16cid:durableId="1418016130">
    <w:abstractNumId w:val="3"/>
  </w:num>
  <w:num w:numId="28" w16cid:durableId="1838955223">
    <w:abstractNumId w:val="2"/>
  </w:num>
  <w:num w:numId="29" w16cid:durableId="2096441044">
    <w:abstractNumId w:val="1"/>
  </w:num>
  <w:num w:numId="30" w16cid:durableId="1159154004">
    <w:abstractNumId w:val="0"/>
  </w:num>
  <w:num w:numId="31" w16cid:durableId="2126806760">
    <w:abstractNumId w:val="9"/>
  </w:num>
  <w:num w:numId="32" w16cid:durableId="1070352071">
    <w:abstractNumId w:val="7"/>
  </w:num>
  <w:num w:numId="33" w16cid:durableId="1770195178">
    <w:abstractNumId w:val="6"/>
  </w:num>
  <w:num w:numId="34" w16cid:durableId="849754733">
    <w:abstractNumId w:val="5"/>
  </w:num>
  <w:num w:numId="35" w16cid:durableId="1151142152">
    <w:abstractNumId w:val="4"/>
  </w:num>
  <w:num w:numId="36" w16cid:durableId="1417478927">
    <w:abstractNumId w:val="8"/>
  </w:num>
  <w:num w:numId="37" w16cid:durableId="721565425">
    <w:abstractNumId w:val="3"/>
  </w:num>
  <w:num w:numId="38" w16cid:durableId="267005520">
    <w:abstractNumId w:val="2"/>
  </w:num>
  <w:num w:numId="39" w16cid:durableId="1638292689">
    <w:abstractNumId w:val="1"/>
  </w:num>
  <w:num w:numId="40" w16cid:durableId="1324310650">
    <w:abstractNumId w:val="0"/>
  </w:num>
  <w:num w:numId="41" w16cid:durableId="42561062">
    <w:abstractNumId w:val="10"/>
  </w:num>
  <w:num w:numId="42" w16cid:durableId="1700429077">
    <w:abstractNumId w:val="10"/>
  </w:num>
  <w:num w:numId="43" w16cid:durableId="707727011">
    <w:abstractNumId w:val="10"/>
  </w:num>
  <w:num w:numId="44" w16cid:durableId="215552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PT"/>
    <w:docVar w:name="dvnumam" w:val="0"/>
    <w:docVar w:name="dvpe" w:val="778.109"/>
    <w:docVar w:name="dvtitre" w:val="Resolução do Parlamento Europeu, de ... de ... de 2025,_x000d__x000a_ sobre o projeto de decisão de execução da Comissão que renova a autorização de colocação no mercado de produtos que contenham, sejam constituídos por ou sejam produzidos a partir de colza geneticamente modificada MON 88302, nos termos do Regulamento (CE) n.º 1829/2003 do Parlamento Europeu e do Conselho(D109632/01 – 2025/2895(RSP))"/>
  </w:docVars>
  <w:rsids>
    <w:rsidRoot w:val="00471440"/>
    <w:rsid w:val="00002272"/>
    <w:rsid w:val="000030A2"/>
    <w:rsid w:val="000438CF"/>
    <w:rsid w:val="00064002"/>
    <w:rsid w:val="000677B9"/>
    <w:rsid w:val="000831BA"/>
    <w:rsid w:val="000A42CC"/>
    <w:rsid w:val="000E7DD9"/>
    <w:rsid w:val="0010095E"/>
    <w:rsid w:val="00125B37"/>
    <w:rsid w:val="00131370"/>
    <w:rsid w:val="00187494"/>
    <w:rsid w:val="001F32AE"/>
    <w:rsid w:val="00203A28"/>
    <w:rsid w:val="002767FF"/>
    <w:rsid w:val="002B18FE"/>
    <w:rsid w:val="002B5493"/>
    <w:rsid w:val="00343214"/>
    <w:rsid w:val="00361C00"/>
    <w:rsid w:val="003862AD"/>
    <w:rsid w:val="00395FA1"/>
    <w:rsid w:val="003E15D4"/>
    <w:rsid w:val="00402E69"/>
    <w:rsid w:val="00411CCE"/>
    <w:rsid w:val="0041666E"/>
    <w:rsid w:val="00421060"/>
    <w:rsid w:val="00471440"/>
    <w:rsid w:val="00471C19"/>
    <w:rsid w:val="004867E3"/>
    <w:rsid w:val="00494A28"/>
    <w:rsid w:val="004C0004"/>
    <w:rsid w:val="004C5D52"/>
    <w:rsid w:val="0050519A"/>
    <w:rsid w:val="005072A1"/>
    <w:rsid w:val="00514517"/>
    <w:rsid w:val="00545827"/>
    <w:rsid w:val="00560270"/>
    <w:rsid w:val="005A0243"/>
    <w:rsid w:val="005C2568"/>
    <w:rsid w:val="005F1B17"/>
    <w:rsid w:val="006037C0"/>
    <w:rsid w:val="006531CB"/>
    <w:rsid w:val="006631B6"/>
    <w:rsid w:val="00680577"/>
    <w:rsid w:val="006F74FA"/>
    <w:rsid w:val="00731ADD"/>
    <w:rsid w:val="00734777"/>
    <w:rsid w:val="00747932"/>
    <w:rsid w:val="00751A4A"/>
    <w:rsid w:val="00756632"/>
    <w:rsid w:val="00762C74"/>
    <w:rsid w:val="00786EC0"/>
    <w:rsid w:val="007D1690"/>
    <w:rsid w:val="007E22AD"/>
    <w:rsid w:val="00801704"/>
    <w:rsid w:val="00817416"/>
    <w:rsid w:val="00842779"/>
    <w:rsid w:val="00865F67"/>
    <w:rsid w:val="00881A7B"/>
    <w:rsid w:val="008840E5"/>
    <w:rsid w:val="00887B3E"/>
    <w:rsid w:val="008C2AC6"/>
    <w:rsid w:val="008D1C8A"/>
    <w:rsid w:val="00930C23"/>
    <w:rsid w:val="0093193B"/>
    <w:rsid w:val="00932E3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019"/>
    <w:rsid w:val="00BD48FE"/>
    <w:rsid w:val="00BD7BD8"/>
    <w:rsid w:val="00BE6ADC"/>
    <w:rsid w:val="00C05BFE"/>
    <w:rsid w:val="00C23CD4"/>
    <w:rsid w:val="00C26225"/>
    <w:rsid w:val="00C61C0C"/>
    <w:rsid w:val="00C941CB"/>
    <w:rsid w:val="00CC2357"/>
    <w:rsid w:val="00CF071A"/>
    <w:rsid w:val="00CF27E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D7C"/>
    <w:rsid w:val="00F74202"/>
    <w:rsid w:val="00F87713"/>
    <w:rsid w:val="00FA2A70"/>
    <w:rsid w:val="00FB4360"/>
    <w:rsid w:val="00FB5B7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1BE77"/>
  <w15:chartTrackingRefBased/>
  <w15:docId w15:val="{DCEA2B31-9E5D-401E-A3CA-8763506F1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1370"/>
    <w:pPr>
      <w:spacing w:before="480" w:after="240"/>
    </w:pPr>
  </w:style>
  <w:style w:type="paragraph" w:customStyle="1" w:styleId="NormalHanging12a">
    <w:name w:val="NormalHanging12a"/>
    <w:basedOn w:val="Normal"/>
    <w:qFormat/>
    <w:rsid w:val="00131370"/>
    <w:pPr>
      <w:spacing w:after="240"/>
      <w:ind w:left="567" w:hanging="567"/>
    </w:pPr>
  </w:style>
  <w:style w:type="character" w:styleId="Hyperlink">
    <w:name w:val="Hyperlink"/>
    <w:basedOn w:val="DefaultParagraphFont"/>
    <w:uiPriority w:val="99"/>
    <w:unhideWhenUsed/>
    <w:rsid w:val="00131370"/>
    <w:rPr>
      <w:color w:val="0563C1" w:themeColor="hyperlink"/>
      <w:u w:val="single"/>
    </w:rPr>
  </w:style>
  <w:style w:type="character" w:customStyle="1" w:styleId="Funotenzeichen">
    <w:name w:val="Fußnotenzeichen"/>
    <w:basedOn w:val="DefaultParagraphFont"/>
    <w:qFormat/>
    <w:rsid w:val="00131370"/>
    <w:rPr>
      <w:vertAlign w:val="superscript"/>
    </w:rPr>
  </w:style>
  <w:style w:type="paragraph" w:styleId="Revision">
    <w:name w:val="Revision"/>
    <w:hidden/>
    <w:uiPriority w:val="99"/>
    <w:semiHidden/>
    <w:rsid w:val="00C26225"/>
    <w:rPr>
      <w:sz w:val="24"/>
      <w:lang w:val="pt-PT"/>
    </w:rPr>
  </w:style>
  <w:style w:type="character" w:styleId="UnresolvedMention">
    <w:name w:val="Unresolved Mention"/>
    <w:basedOn w:val="DefaultParagraphFont"/>
    <w:uiPriority w:val="99"/>
    <w:semiHidden/>
    <w:unhideWhenUsed/>
    <w:rsid w:val="00B60019"/>
    <w:rPr>
      <w:color w:val="605E5C"/>
      <w:shd w:val="clear" w:color="auto" w:fill="E1DFDD"/>
    </w:rPr>
  </w:style>
  <w:style w:type="character" w:styleId="FollowedHyperlink">
    <w:name w:val="FollowedHyperlink"/>
    <w:basedOn w:val="DefaultParagraphFont"/>
    <w:rsid w:val="00B600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1158</Words>
  <Characters>6186</Characters>
  <Application>Microsoft Office Word</Application>
  <DocSecurity>0</DocSecurity>
  <Lines>147</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2026-01-20T15:23:00Z</dcterms:created>
  <dcterms:modified xsi:type="dcterms:W3CDTF">2026-01-20T15:23:00Z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B10-0490/2025</vt:lpwstr>
  </property>
  <property fmtid="{D5CDD505-2E9C-101B-9397-08002B2CF9AE}" pid="4" name="&lt;Type&gt;">
    <vt:lpwstr>RR</vt:lpwstr>
  </property>
</Properties>
</file>