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5264" w14:paraId="7C3C8D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5C476A" w14:textId="52918E20" w:rsidR="00751A4A" w:rsidRPr="00725264" w:rsidRDefault="006746AF" w:rsidP="0010095E">
            <w:pPr>
              <w:pStyle w:val="EPName"/>
            </w:pPr>
            <w:r w:rsidRPr="00725264">
              <w:t>Európsky parlament</w:t>
            </w:r>
          </w:p>
          <w:p w14:paraId="282C5958" w14:textId="77777777" w:rsidR="00751A4A" w:rsidRPr="007252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5264">
              <w:t>2024</w:t>
            </w:r>
            <w:r w:rsidR="00817416" w:rsidRPr="00725264">
              <w:t>-202</w:t>
            </w:r>
            <w:r w:rsidRPr="00725264">
              <w:t>9</w:t>
            </w:r>
          </w:p>
        </w:tc>
        <w:tc>
          <w:tcPr>
            <w:tcW w:w="2268" w:type="dxa"/>
            <w:shd w:val="clear" w:color="auto" w:fill="auto"/>
          </w:tcPr>
          <w:p w14:paraId="486C4269" w14:textId="77777777" w:rsidR="00751A4A" w:rsidRPr="00725264" w:rsidRDefault="00187494" w:rsidP="0010095E">
            <w:pPr>
              <w:pStyle w:val="EPLogo"/>
            </w:pPr>
            <w:r w:rsidRPr="00725264">
              <w:rPr>
                <w:noProof/>
                <w:lang w:eastAsia="ja-JP"/>
              </w:rPr>
              <w:drawing>
                <wp:inline distT="0" distB="0" distL="0" distR="0" wp14:anchorId="4DFB3AB0" wp14:editId="3A0757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C0BD7" w14:textId="77777777" w:rsidR="00D058B8" w:rsidRPr="00725264" w:rsidRDefault="00D058B8" w:rsidP="004C5D52">
      <w:pPr>
        <w:pStyle w:val="LineTop"/>
      </w:pPr>
    </w:p>
    <w:p w14:paraId="60FF10F1" w14:textId="4D34FE1B" w:rsidR="00680577" w:rsidRPr="00725264" w:rsidRDefault="006746AF" w:rsidP="00680577">
      <w:pPr>
        <w:pStyle w:val="EPBodyTA1"/>
      </w:pPr>
      <w:r w:rsidRPr="00725264">
        <w:t>PRIJATÉ TEXTY</w:t>
      </w:r>
    </w:p>
    <w:p w14:paraId="3439E596" w14:textId="77777777" w:rsidR="00D058B8" w:rsidRPr="00725264" w:rsidRDefault="00D058B8" w:rsidP="00D058B8">
      <w:pPr>
        <w:pStyle w:val="LineBottom"/>
      </w:pPr>
    </w:p>
    <w:p w14:paraId="752204E3" w14:textId="0B528A73" w:rsidR="006746AF" w:rsidRPr="00725264" w:rsidRDefault="006746AF" w:rsidP="006746AF">
      <w:pPr>
        <w:pStyle w:val="ATHeading1"/>
      </w:pPr>
      <w:bookmarkStart w:id="0" w:name="TANumber"/>
      <w:r w:rsidRPr="00725264">
        <w:t>P10_TA(2025)0</w:t>
      </w:r>
      <w:r w:rsidR="00725264" w:rsidRPr="00725264">
        <w:t>290</w:t>
      </w:r>
      <w:bookmarkEnd w:id="0"/>
    </w:p>
    <w:p w14:paraId="469B9AF6" w14:textId="343FD9BB" w:rsidR="006746AF" w:rsidRPr="00725264" w:rsidRDefault="00364961" w:rsidP="006746AF">
      <w:pPr>
        <w:pStyle w:val="ATHeading2"/>
      </w:pPr>
      <w:bookmarkStart w:id="1" w:name="title"/>
      <w:r w:rsidRPr="00725264">
        <w:t xml:space="preserve">Geneticky modifikovaná repka </w:t>
      </w:r>
      <w:proofErr w:type="spellStart"/>
      <w:r w:rsidRPr="00725264">
        <w:t>olejka</w:t>
      </w:r>
      <w:proofErr w:type="spellEnd"/>
      <w:r w:rsidRPr="00725264">
        <w:t xml:space="preserve"> MON 88302</w:t>
      </w:r>
      <w:bookmarkEnd w:id="1"/>
    </w:p>
    <w:p w14:paraId="2A467B82" w14:textId="77777777" w:rsidR="006746AF" w:rsidRPr="00725264" w:rsidRDefault="006746AF" w:rsidP="006746AF">
      <w:pPr>
        <w:rPr>
          <w:i/>
          <w:vanish/>
        </w:rPr>
      </w:pPr>
      <w:r w:rsidRPr="00725264">
        <w:rPr>
          <w:i/>
        </w:rPr>
        <w:fldChar w:fldCharType="begin"/>
      </w:r>
      <w:r w:rsidRPr="00725264">
        <w:rPr>
          <w:i/>
        </w:rPr>
        <w:instrText xml:space="preserve"> TC"(</w:instrText>
      </w:r>
      <w:bookmarkStart w:id="2" w:name="DocNumber"/>
      <w:r w:rsidRPr="00725264">
        <w:rPr>
          <w:i/>
        </w:rPr>
        <w:instrText>B10-0490/2025</w:instrText>
      </w:r>
      <w:bookmarkEnd w:id="2"/>
      <w:r w:rsidRPr="00725264">
        <w:rPr>
          <w:i/>
        </w:rPr>
        <w:instrText xml:space="preserve">)"\l3 \n&gt; \* MERGEFORMAT </w:instrText>
      </w:r>
      <w:r w:rsidRPr="00725264">
        <w:rPr>
          <w:i/>
        </w:rPr>
        <w:fldChar w:fldCharType="end"/>
      </w:r>
    </w:p>
    <w:p w14:paraId="2C3C204E" w14:textId="77777777" w:rsidR="006746AF" w:rsidRPr="00725264" w:rsidRDefault="006746AF" w:rsidP="006746AF">
      <w:pPr>
        <w:rPr>
          <w:vanish/>
        </w:rPr>
      </w:pPr>
      <w:bookmarkStart w:id="3" w:name="PE"/>
      <w:r w:rsidRPr="00725264">
        <w:rPr>
          <w:vanish/>
        </w:rPr>
        <w:t>PE778.109</w:t>
      </w:r>
      <w:bookmarkEnd w:id="3"/>
    </w:p>
    <w:p w14:paraId="66F4B334" w14:textId="3D6F4191" w:rsidR="006746AF" w:rsidRPr="00725264" w:rsidRDefault="006746AF" w:rsidP="006746AF">
      <w:pPr>
        <w:pStyle w:val="ATHeading3"/>
      </w:pPr>
      <w:bookmarkStart w:id="4" w:name="Sujet"/>
      <w:r w:rsidRPr="00725264">
        <w:t>Uznesenie Európskeho parlamentu z</w:t>
      </w:r>
      <w:r w:rsidR="00D9530D" w:rsidRPr="00725264">
        <w:t> 25</w:t>
      </w:r>
      <w:r w:rsidRPr="00725264">
        <w:t xml:space="preserve">. novembra 2025 o návrhu vykonávacieho rozhodnutia Komisie, ktorým sa podľa nariadenia Európskeho parlamentu a Rady (ES) č. 1829/2003 obnovuje povolenie umiestniť na trh produkty, ktoré obsahujú geneticky modifikovanú repku </w:t>
      </w:r>
      <w:proofErr w:type="spellStart"/>
      <w:r w:rsidRPr="00725264">
        <w:t>olejku</w:t>
      </w:r>
      <w:proofErr w:type="spellEnd"/>
      <w:r w:rsidRPr="00725264">
        <w:t xml:space="preserve"> MON 88302, sú z nej zložené alebo vyrobené</w:t>
      </w:r>
      <w:bookmarkEnd w:id="4"/>
      <w:r w:rsidRPr="00725264">
        <w:t xml:space="preserve"> </w:t>
      </w:r>
      <w:bookmarkStart w:id="5" w:name="References"/>
      <w:r w:rsidRPr="00725264">
        <w:t>(D109632/01 – 2025/2895(RSP))</w:t>
      </w:r>
      <w:bookmarkEnd w:id="5"/>
    </w:p>
    <w:p w14:paraId="3144E74A" w14:textId="77777777" w:rsidR="00B57ABA" w:rsidRPr="00725264" w:rsidRDefault="00B57ABA" w:rsidP="00B57ABA">
      <w:pPr>
        <w:pStyle w:val="EPComma"/>
      </w:pPr>
      <w:bookmarkStart w:id="6" w:name="TextBodyBegin"/>
      <w:bookmarkEnd w:id="6"/>
      <w:r w:rsidRPr="00725264">
        <w:rPr>
          <w:i/>
        </w:rPr>
        <w:t>Európsky parlament</w:t>
      </w:r>
      <w:r w:rsidRPr="00725264">
        <w:t>,</w:t>
      </w:r>
    </w:p>
    <w:p w14:paraId="3B69D3C8" w14:textId="77777777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 xml:space="preserve">so zreteľom na návrh vykonávacieho rozhodnutia Komisie, ktorým sa podľa nariadenia Európskeho parlamentu a Rady (ES) č. 1829/2003 obnovuje povolenie umiestniť na trh produkty, ktoré obsahujú geneticky modifikovanú repku </w:t>
      </w:r>
      <w:proofErr w:type="spellStart"/>
      <w:r w:rsidRPr="00725264">
        <w:t>olejku</w:t>
      </w:r>
      <w:proofErr w:type="spellEnd"/>
      <w:r w:rsidRPr="00725264">
        <w:t xml:space="preserve"> MON 88302, sú z nej zložené alebo vyrobené (D109632/01),</w:t>
      </w:r>
    </w:p>
    <w:p w14:paraId="65EE6796" w14:textId="77777777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>so zreteľom na nariadenie Európskeho parlamentu a Rady (ES) č. 1829/2003 z 22. septembra 2003 o geneticky modifikovaných potravinách a krmivách</w:t>
      </w:r>
      <w:r w:rsidRPr="00725264">
        <w:rPr>
          <w:vertAlign w:val="superscript"/>
        </w:rPr>
        <w:footnoteReference w:id="1"/>
      </w:r>
      <w:r w:rsidRPr="00725264">
        <w:t xml:space="preserve">, a najmä na jeho článok 11 ods. 3 a článok 23 ods. 3, </w:t>
      </w:r>
    </w:p>
    <w:p w14:paraId="0608CDB9" w14:textId="73BC37A6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 xml:space="preserve">so zreteľom na hlasovanie </w:t>
      </w:r>
      <w:bookmarkStart w:id="7" w:name="_Hlk210664905"/>
      <w:r w:rsidRPr="00725264">
        <w:t xml:space="preserve">Stáleho výboru pre rastliny, zvieratá, potraviny a krmivá </w:t>
      </w:r>
      <w:bookmarkEnd w:id="7"/>
      <w:r w:rsidRPr="00725264">
        <w:t>uvedené v článku 35 nariadenia (ES) č. 1829/2003</w:t>
      </w:r>
      <w:r w:rsidR="00D9530D" w:rsidRPr="00725264">
        <w:t xml:space="preserve"> z 15. septembra 2025, počas ktorého nebolo prijaté žiadne stanovisko, a na hlasovanie odvolacieho výboru z 21. októbra 2025, počas ktorého opätovne nebolo prijaté žiadne stanovisko,</w:t>
      </w:r>
      <w:r w:rsidRPr="00725264">
        <w:t>,</w:t>
      </w:r>
    </w:p>
    <w:p w14:paraId="1AC8D8B9" w14:textId="77777777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r w:rsidRPr="00725264">
        <w:rPr>
          <w:rStyle w:val="FootnoteReference"/>
        </w:rPr>
        <w:footnoteReference w:id="2"/>
      </w:r>
      <w:r w:rsidRPr="00725264">
        <w:t>,</w:t>
      </w:r>
    </w:p>
    <w:p w14:paraId="262EF29F" w14:textId="77777777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>so zreteľom na stanovisko, ktoré prijal Európsky úrad pre bezpečnosť potravín (EFSA) 26. marca 2025 a ktoré bolo uverejnené 13. mája 2025</w:t>
      </w:r>
      <w:r w:rsidRPr="00725264">
        <w:rPr>
          <w:rStyle w:val="FootnoteReference"/>
          <w:szCs w:val="24"/>
        </w:rPr>
        <w:footnoteReference w:id="3"/>
      </w:r>
      <w:r w:rsidRPr="00725264">
        <w:t>,</w:t>
      </w:r>
    </w:p>
    <w:p w14:paraId="721E8730" w14:textId="77777777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 xml:space="preserve">so zreteľom na svoje predchádzajúce uznesenia, v ktorých namieta proti povoľovaniu </w:t>
      </w:r>
      <w:r w:rsidRPr="00725264">
        <w:lastRenderedPageBreak/>
        <w:t>geneticky modifikovaných organizmov (ďalej len „GMO“)</w:t>
      </w:r>
      <w:r w:rsidRPr="00725264">
        <w:rPr>
          <w:rStyle w:val="FootnoteReference"/>
        </w:rPr>
        <w:footnoteReference w:id="4"/>
      </w:r>
      <w:r w:rsidRPr="00725264">
        <w:t>,</w:t>
      </w:r>
    </w:p>
    <w:p w14:paraId="18353CF1" w14:textId="77777777" w:rsidR="00B57ABA" w:rsidRPr="00725264" w:rsidRDefault="00B57ABA" w:rsidP="00B57ABA">
      <w:pPr>
        <w:pStyle w:val="NormalHanging12a"/>
      </w:pPr>
      <w:r w:rsidRPr="00725264">
        <w:lastRenderedPageBreak/>
        <w:t>–</w:t>
      </w:r>
      <w:r w:rsidRPr="00725264">
        <w:tab/>
        <w:t>so zreteľom na článok 115 ods. 2 a 3 rokovacieho poriadku,</w:t>
      </w:r>
    </w:p>
    <w:p w14:paraId="4D6FB0CF" w14:textId="77777777" w:rsidR="00B57ABA" w:rsidRPr="00725264" w:rsidRDefault="00B57ABA" w:rsidP="00B57ABA">
      <w:pPr>
        <w:pStyle w:val="NormalHanging12a"/>
      </w:pPr>
      <w:r w:rsidRPr="00725264">
        <w:t>–</w:t>
      </w:r>
      <w:r w:rsidRPr="00725264">
        <w:tab/>
        <w:t>so zreteľom na návrh uznesenia Výboru pre životné prostredie, klímu a bezpečnosť potravín,</w:t>
      </w:r>
    </w:p>
    <w:p w14:paraId="50DEC512" w14:textId="77777777" w:rsidR="00B57ABA" w:rsidRPr="00725264" w:rsidRDefault="00B57ABA" w:rsidP="00B57ABA">
      <w:pPr>
        <w:pStyle w:val="NormalHanging12a"/>
      </w:pPr>
      <w:r w:rsidRPr="00725264">
        <w:t>A.</w:t>
      </w:r>
      <w:r w:rsidRPr="00725264">
        <w:tab/>
        <w:t>keďže vykonávacím rozhodnutím Komisie (EÚ) 2015/687 z 24.</w:t>
      </w:r>
      <w:r w:rsidRPr="00725264">
        <w:rPr>
          <w:b/>
        </w:rPr>
        <w:t> </w:t>
      </w:r>
      <w:r w:rsidRPr="00725264">
        <w:t>apríla 2015</w:t>
      </w:r>
      <w:r w:rsidRPr="00725264">
        <w:rPr>
          <w:rStyle w:val="FootnoteReference"/>
        </w:rPr>
        <w:footnoteReference w:id="5"/>
      </w:r>
      <w:r w:rsidRPr="00725264">
        <w:t xml:space="preserve"> sa povolilo uvádzať na trh produkty, ktoré obsahujú geneticky modifikovanú repku </w:t>
      </w:r>
      <w:proofErr w:type="spellStart"/>
      <w:r w:rsidRPr="00725264">
        <w:t>olejku</w:t>
      </w:r>
      <w:proofErr w:type="spellEnd"/>
      <w:r w:rsidRPr="00725264">
        <w:t xml:space="preserve"> MON 88302 (ďalej len „geneticky modifikovaná repka </w:t>
      </w:r>
      <w:proofErr w:type="spellStart"/>
      <w:r w:rsidRPr="00725264">
        <w:t>olejka</w:t>
      </w:r>
      <w:proofErr w:type="spellEnd"/>
      <w:r w:rsidRPr="00725264">
        <w:t>“), sú z nej zložené alebo vyrobené;</w:t>
      </w:r>
    </w:p>
    <w:p w14:paraId="0D3B3582" w14:textId="77777777" w:rsidR="00B57ABA" w:rsidRPr="00725264" w:rsidRDefault="00B57ABA" w:rsidP="00B57ABA">
      <w:pPr>
        <w:spacing w:after="240"/>
        <w:ind w:left="567" w:hanging="567"/>
      </w:pPr>
      <w:r w:rsidRPr="00725264">
        <w:t>B.</w:t>
      </w:r>
      <w:r w:rsidRPr="00725264">
        <w:tab/>
        <w:t xml:space="preserve">keďže spoločnosť Bayer </w:t>
      </w:r>
      <w:proofErr w:type="spellStart"/>
      <w:r w:rsidRPr="00725264">
        <w:t>Agriculture</w:t>
      </w:r>
      <w:proofErr w:type="spellEnd"/>
      <w:r w:rsidRPr="00725264">
        <w:t xml:space="preserve"> B.V. so sídlom v Belgicku predložila Komisii 28. februára 2024 v mene spoločnosti Bayer </w:t>
      </w:r>
      <w:proofErr w:type="spellStart"/>
      <w:r w:rsidRPr="00725264">
        <w:t>CropScience</w:t>
      </w:r>
      <w:proofErr w:type="spellEnd"/>
      <w:r w:rsidRPr="00725264">
        <w:t xml:space="preserve"> LP so sídlom v Spojených štátoch amerických v súlade s článkami 11 a 23 nariadenia (ES) č. 1829/2003 žiadosť o obnovenie uvedeného povolenia. keďže rozsah pôsobnosti povolenia sa vzťahuje aj na umiestňovanie na trh iných produktov, ako sú potraviny a krmivá, ktoré obsahujú geneticky modifikovanú repku </w:t>
      </w:r>
      <w:proofErr w:type="spellStart"/>
      <w:r w:rsidRPr="00725264">
        <w:t>olejku</w:t>
      </w:r>
      <w:proofErr w:type="spellEnd"/>
      <w:r w:rsidRPr="00725264">
        <w:t xml:space="preserve"> alebo sú z nej zložené, na účely rovnakého používania ako akákoľvek iná repka </w:t>
      </w:r>
      <w:proofErr w:type="spellStart"/>
      <w:r w:rsidRPr="00725264">
        <w:t>olejka</w:t>
      </w:r>
      <w:proofErr w:type="spellEnd"/>
      <w:r w:rsidRPr="00725264">
        <w:t>, s výnimkou pestovania;</w:t>
      </w:r>
    </w:p>
    <w:p w14:paraId="33807A45" w14:textId="77777777" w:rsidR="00B57ABA" w:rsidRPr="00725264" w:rsidRDefault="00B57ABA" w:rsidP="00B57ABA">
      <w:pPr>
        <w:spacing w:after="240"/>
        <w:ind w:left="567" w:hanging="567"/>
      </w:pPr>
      <w:r w:rsidRPr="00725264">
        <w:t>C.</w:t>
      </w:r>
      <w:r w:rsidRPr="00725264">
        <w:tab/>
        <w:t>keďže úrad EFSA vydal 26. marca 2025 priaznivé stanovisko, v ktorom dospel k záveru, že žiadosť o obnovenie neobsahuje dôkazy o nových nebezpečenstvách, zmenenej expozícii alebo vedeckých neistotách, ktoré by zmenili závery jeho pôvodného posúdenia rizika vydaného v roku 2014;</w:t>
      </w:r>
    </w:p>
    <w:p w14:paraId="62DF6BD3" w14:textId="77777777" w:rsidR="00B57ABA" w:rsidRPr="00725264" w:rsidRDefault="00B57ABA" w:rsidP="00B57ABA">
      <w:pPr>
        <w:spacing w:after="240"/>
        <w:ind w:left="567" w:hanging="567"/>
      </w:pPr>
      <w:r w:rsidRPr="00725264">
        <w:t>D.</w:t>
      </w:r>
      <w:r w:rsidRPr="00725264">
        <w:tab/>
        <w:t xml:space="preserve">keďže geneticky modifikovaná repka </w:t>
      </w:r>
      <w:proofErr w:type="spellStart"/>
      <w:r w:rsidRPr="00725264">
        <w:t>olejka</w:t>
      </w:r>
      <w:proofErr w:type="spellEnd"/>
      <w:r w:rsidRPr="00725264">
        <w:t xml:space="preserve"> je tolerantná voči </w:t>
      </w:r>
      <w:proofErr w:type="spellStart"/>
      <w:r w:rsidRPr="00725264">
        <w:t>glyfozátu</w:t>
      </w:r>
      <w:proofErr w:type="spellEnd"/>
      <w:r w:rsidRPr="00725264">
        <w:t xml:space="preserve">; keďže používanie </w:t>
      </w:r>
      <w:proofErr w:type="spellStart"/>
      <w:r w:rsidRPr="00725264">
        <w:t>glyfozátu</w:t>
      </w:r>
      <w:proofErr w:type="spellEnd"/>
      <w:r w:rsidRPr="00725264">
        <w:t xml:space="preserve"> je spojené s poklesom biodiverzity, kontamináciou pôdy a vody a so zdravotnými problémami;</w:t>
      </w:r>
    </w:p>
    <w:p w14:paraId="303877C9" w14:textId="77777777" w:rsidR="00B57ABA" w:rsidRPr="00725264" w:rsidRDefault="00B57ABA" w:rsidP="00B57ABA">
      <w:pPr>
        <w:spacing w:after="240"/>
        <w:ind w:left="567" w:hanging="567"/>
      </w:pPr>
      <w:r w:rsidRPr="00725264">
        <w:t>E.</w:t>
      </w:r>
      <w:r w:rsidRPr="00725264">
        <w:tab/>
        <w:t xml:space="preserve">keďže úrad EFSA vo svojom stanovisku dostatočne nezohľadnil kumulatívne a kombinované účinky, nepriame vplyvy na životné prostredie a sociálno-ekonomické </w:t>
      </w:r>
      <w:r w:rsidRPr="00725264">
        <w:lastRenderedPageBreak/>
        <w:t>dôsledky intenzívnejšieho používania herbicídov;</w:t>
      </w:r>
    </w:p>
    <w:p w14:paraId="015836B6" w14:textId="77777777" w:rsidR="00B57ABA" w:rsidRPr="00725264" w:rsidRDefault="00B57ABA" w:rsidP="00B57ABA">
      <w:pPr>
        <w:spacing w:after="240"/>
        <w:ind w:left="567" w:hanging="567"/>
      </w:pPr>
      <w:r w:rsidRPr="00725264">
        <w:t>F.</w:t>
      </w:r>
      <w:r w:rsidRPr="00725264">
        <w:tab/>
        <w:t xml:space="preserve">keďže geneticky modifikovaná repka </w:t>
      </w:r>
      <w:proofErr w:type="spellStart"/>
      <w:r w:rsidRPr="00725264">
        <w:t>olejka</w:t>
      </w:r>
      <w:proofErr w:type="spellEnd"/>
      <w:r w:rsidRPr="00725264">
        <w:t xml:space="preserve"> je náchylná na nekontrolované šírenie a tok génov, pričom vo viacerých členských štátoch už boli zdokumentované prípady divokých populácií geneticky modifikovanej repky olejnej, čo spôsobuje ťažkosti pri koexistencii, dlhodobom monitorovaní a </w:t>
      </w:r>
      <w:proofErr w:type="spellStart"/>
      <w:r w:rsidRPr="00725264">
        <w:t>eradikácii</w:t>
      </w:r>
      <w:proofErr w:type="spellEnd"/>
      <w:r w:rsidRPr="00725264">
        <w:t>;</w:t>
      </w:r>
    </w:p>
    <w:p w14:paraId="30378BAE" w14:textId="77777777" w:rsidR="00B57ABA" w:rsidRPr="00725264" w:rsidRDefault="00B57ABA" w:rsidP="00B57ABA">
      <w:pPr>
        <w:spacing w:after="240"/>
        <w:ind w:left="567" w:hanging="567"/>
      </w:pPr>
      <w:r w:rsidRPr="00725264">
        <w:t>G.</w:t>
      </w:r>
      <w:r w:rsidRPr="00725264">
        <w:tab/>
        <w:t>keďže plán monitorovania vplyvov na životné prostredie stanovený v návrhu vykonávacieho rozhodnutia Komisie sa spolieha najmä na všeobecný dohľad a nestanovujú sa v ňom konkrétne, nezávislé dlhodobé štúdie opeľovačov, pôdnych organizmov a necieľových rastlín;</w:t>
      </w:r>
    </w:p>
    <w:p w14:paraId="5DF66874" w14:textId="77777777" w:rsidR="00B57ABA" w:rsidRPr="00725264" w:rsidRDefault="00B57ABA" w:rsidP="00B57ABA">
      <w:pPr>
        <w:spacing w:after="240"/>
        <w:ind w:left="567" w:hanging="567"/>
      </w:pPr>
      <w:r w:rsidRPr="00725264">
        <w:t>H.</w:t>
      </w:r>
      <w:r w:rsidRPr="00725264">
        <w:tab/>
        <w:t xml:space="preserve">keďže vzhľadom na vedecké neistoty a dôkazy o možnom pretrvávaní a šírení geneticky modifikovanej repky </w:t>
      </w:r>
      <w:proofErr w:type="spellStart"/>
      <w:r w:rsidRPr="00725264">
        <w:t>olejky</w:t>
      </w:r>
      <w:proofErr w:type="spellEnd"/>
      <w:r w:rsidRPr="00725264">
        <w:t xml:space="preserve"> v životnom prostredí by sa mala uplatňovať zásada predbežnej opatrnosti zakotvená v článku 191 Zmluvy o fungovaní Európskej únie;</w:t>
      </w:r>
    </w:p>
    <w:p w14:paraId="5112121A" w14:textId="77777777" w:rsidR="00B57ABA" w:rsidRPr="00725264" w:rsidRDefault="00B57ABA" w:rsidP="00B57ABA">
      <w:pPr>
        <w:spacing w:after="240"/>
        <w:ind w:left="567" w:hanging="567"/>
      </w:pPr>
      <w:r w:rsidRPr="00725264">
        <w:t>I.</w:t>
      </w:r>
      <w:r w:rsidRPr="00725264">
        <w:tab/>
        <w:t>keďže podľa nariadenia (ES) č. 1829/2003 sa vyžaduje, že geneticky modifikované potraviny a krmivá nesmú mať nepriaznivé účinky na ľudské zdravie, zdravie zvierat alebo na životné prostredie;</w:t>
      </w:r>
    </w:p>
    <w:p w14:paraId="3D4D5D71" w14:textId="16AFD165" w:rsidR="00B57ABA" w:rsidRPr="00725264" w:rsidRDefault="00D9530D" w:rsidP="00B57ABA">
      <w:pPr>
        <w:spacing w:after="240"/>
        <w:ind w:left="567" w:hanging="567"/>
      </w:pPr>
      <w:r w:rsidRPr="00725264">
        <w:t>J</w:t>
      </w:r>
      <w:r w:rsidR="00B57ABA" w:rsidRPr="00725264">
        <w:t>.</w:t>
      </w:r>
      <w:r w:rsidR="00B57ABA" w:rsidRPr="00725264">
        <w:tab/>
        <w:t>keďže na základe prístupu „jedno zdravie“ sa vyžaduje integrovaný pohľad na riziká a vplyvy na zdravie ľudí, zvierat, rastlín a životného prostredia, čo súčasné posúdenie nezabezpečuje;</w:t>
      </w:r>
    </w:p>
    <w:p w14:paraId="5C068467" w14:textId="7200CD5B" w:rsidR="00B57ABA" w:rsidRPr="00725264" w:rsidRDefault="00D9530D" w:rsidP="00B57ABA">
      <w:pPr>
        <w:spacing w:after="240"/>
        <w:ind w:left="567" w:hanging="567"/>
      </w:pPr>
      <w:r w:rsidRPr="00725264">
        <w:t>K</w:t>
      </w:r>
      <w:r w:rsidR="00B57ABA" w:rsidRPr="00725264">
        <w:t>.</w:t>
      </w:r>
      <w:r w:rsidR="00B57ABA" w:rsidRPr="00725264">
        <w:tab/>
        <w:t xml:space="preserve">keďže Európsky parlament opakovane namietal proti schváleniu alebo obnoveniu povolenia GMO v prípadoch, keď sa </w:t>
      </w:r>
      <w:bookmarkStart w:id="8" w:name="_Hlk210670575"/>
      <w:r w:rsidR="00B57ABA" w:rsidRPr="00725264">
        <w:t>v Stálom výbore pre rastliny, zvieratá, potraviny a krmivá alebo v odvolacom výbore</w:t>
      </w:r>
      <w:bookmarkEnd w:id="8"/>
      <w:r w:rsidR="00B57ABA" w:rsidRPr="00725264">
        <w:t xml:space="preserve"> nedosiahla kvalifikovaná väčšina členských štátov, čím sa zdôraznil pretrvávajúci demokratický deficit v schvaľovacom postupe;</w:t>
      </w:r>
    </w:p>
    <w:p w14:paraId="011240C8" w14:textId="77777777" w:rsidR="00B57ABA" w:rsidRPr="00725264" w:rsidRDefault="00B57ABA" w:rsidP="00B57ABA">
      <w:pPr>
        <w:spacing w:after="240"/>
        <w:ind w:left="567" w:hanging="567"/>
      </w:pPr>
      <w:r w:rsidRPr="00725264">
        <w:t>1.</w:t>
      </w:r>
      <w:r w:rsidRPr="00725264">
        <w:tab/>
        <w:t>domnieva sa, že návrh vykonávacieho rozhodnutia Komisie prekračuje rámec vykonávacích právomocí stanovených v nariadení (ES) č. 1829/2003;</w:t>
      </w:r>
    </w:p>
    <w:p w14:paraId="344BF892" w14:textId="77777777" w:rsidR="00B57ABA" w:rsidRPr="00725264" w:rsidRDefault="00B57ABA" w:rsidP="00B57ABA">
      <w:pPr>
        <w:spacing w:after="240"/>
        <w:ind w:left="567" w:hanging="567"/>
      </w:pPr>
      <w:r w:rsidRPr="00725264">
        <w:t>2.</w:t>
      </w:r>
      <w:r w:rsidRPr="00725264">
        <w:tab/>
        <w:t>domnieva sa, že návrh vykonávacieho rozhodnutia Komisie nie je v súlade s právom Únie, pretože je nezlučiteľný s cieľom nariadenia (ES) č. 1829/2003, ktorým je podľa všeobecných zásad uvedených v nariadení Európskeho parlamentu a Rady (ES) č. 178/2002</w:t>
      </w:r>
      <w:r w:rsidRPr="00725264">
        <w:footnoteReference w:id="6"/>
      </w:r>
      <w:r w:rsidRPr="00725264">
        <w:t xml:space="preserve"> poskytovať základ pre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trhu, a v súlade so zásadou predbežnej opatrnosti;</w:t>
      </w:r>
    </w:p>
    <w:p w14:paraId="618BD08E" w14:textId="77777777" w:rsidR="00B57ABA" w:rsidRPr="00725264" w:rsidRDefault="00B57ABA" w:rsidP="00B57ABA">
      <w:pPr>
        <w:spacing w:after="240"/>
        <w:ind w:left="567" w:hanging="567"/>
      </w:pPr>
      <w:r w:rsidRPr="00725264">
        <w:t>3.</w:t>
      </w:r>
      <w:r w:rsidRPr="00725264">
        <w:tab/>
        <w:t>žiada Komisiu, aby stiahla svoj návrh vykonávacieho rozhodnutia;</w:t>
      </w:r>
    </w:p>
    <w:p w14:paraId="4BCCC2EC" w14:textId="77777777" w:rsidR="00B57ABA" w:rsidRPr="00725264" w:rsidRDefault="00B57ABA" w:rsidP="00B57ABA">
      <w:pPr>
        <w:spacing w:after="240"/>
        <w:ind w:left="567" w:hanging="567"/>
      </w:pPr>
      <w:r w:rsidRPr="00725264">
        <w:t>4.</w:t>
      </w:r>
      <w:r w:rsidRPr="00725264">
        <w:tab/>
        <w:t xml:space="preserve">vyzýva Komisiu, aby neobnovila povolenie geneticky modifikovanej repky </w:t>
      </w:r>
      <w:proofErr w:type="spellStart"/>
      <w:r w:rsidRPr="00725264">
        <w:t>olejky</w:t>
      </w:r>
      <w:proofErr w:type="spellEnd"/>
      <w:r w:rsidRPr="00725264">
        <w:t xml:space="preserve"> z dôvodu obáv týkajúcich sa toku génov, pretrvávania v životnom prostredí, používania herbicídov a nedostatočných dlhodobých dôkazov v súlade s prístupom „jedno zdravie“;</w:t>
      </w:r>
      <w:bookmarkStart w:id="9" w:name="_Hlk210900300"/>
    </w:p>
    <w:p w14:paraId="095EA61D" w14:textId="23D308B5" w:rsidR="00B57ABA" w:rsidRPr="00725264" w:rsidRDefault="00B57ABA" w:rsidP="00B57ABA">
      <w:pPr>
        <w:spacing w:after="240"/>
        <w:ind w:left="567" w:hanging="567"/>
      </w:pPr>
      <w:r w:rsidRPr="00725264">
        <w:lastRenderedPageBreak/>
        <w:t>5.</w:t>
      </w:r>
      <w:r w:rsidRPr="00725264">
        <w:tab/>
        <w:t xml:space="preserve">vyzýva Komisiu, aby bezodkladne predložila legislatívny návrh na reformu rozhodovacieho postupu v prípade GMO s cieľom reagovať na sústavné námietky </w:t>
      </w:r>
      <w:r w:rsidR="00B267F7" w:rsidRPr="00725264">
        <w:t>Európskeho p</w:t>
      </w:r>
      <w:r w:rsidRPr="00725264">
        <w:t>arlamentu a nedostatok podpory kvalifikovanej väčšiny členských štátov</w:t>
      </w:r>
      <w:bookmarkEnd w:id="9"/>
      <w:r w:rsidRPr="00725264">
        <w:t>;</w:t>
      </w:r>
      <w:bookmarkStart w:id="10" w:name="_Hlk210900241"/>
    </w:p>
    <w:p w14:paraId="0F1759DD" w14:textId="77777777" w:rsidR="00B57ABA" w:rsidRPr="00725264" w:rsidRDefault="00B57ABA" w:rsidP="00B57ABA">
      <w:pPr>
        <w:spacing w:after="240"/>
        <w:ind w:left="567" w:hanging="567"/>
      </w:pPr>
      <w:r w:rsidRPr="00725264">
        <w:t>6.</w:t>
      </w:r>
      <w:r w:rsidRPr="00725264">
        <w:tab/>
        <w:t>naliehavo vyzýva Komisiu, aby zohľadnila záväzky Únie vyplývajúce z medzinárodných dohôd, ako je Parížska dohoda o zmene klímy, Dohovor OSN o biologickej diverzite a ciele OSN v oblasti udržateľného rozvoja;</w:t>
      </w:r>
    </w:p>
    <w:bookmarkEnd w:id="10"/>
    <w:p w14:paraId="0EC3E711" w14:textId="4CBB9BF4" w:rsidR="00E365E1" w:rsidRPr="00725264" w:rsidRDefault="00B57ABA" w:rsidP="00B267F7">
      <w:pPr>
        <w:spacing w:after="240"/>
        <w:ind w:left="567" w:hanging="567"/>
      </w:pPr>
      <w:r w:rsidRPr="00725264">
        <w:t>7.</w:t>
      </w:r>
      <w:r w:rsidRPr="00725264">
        <w:tab/>
        <w:t>poveruje svoju predsedníčku, aby postúpila toto uznesenie Rade, Komisii a vládam a parlamentom členských štátov.</w:t>
      </w:r>
    </w:p>
    <w:sectPr w:rsidR="00E365E1" w:rsidRPr="00725264" w:rsidSect="00A832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C9669" w14:textId="77777777" w:rsidR="006746AF" w:rsidRPr="00A8323F" w:rsidRDefault="006746AF">
      <w:r w:rsidRPr="00A8323F">
        <w:separator/>
      </w:r>
    </w:p>
  </w:endnote>
  <w:endnote w:type="continuationSeparator" w:id="0">
    <w:p w14:paraId="1F354B8A" w14:textId="77777777" w:rsidR="006746AF" w:rsidRPr="00A8323F" w:rsidRDefault="006746AF">
      <w:r w:rsidRPr="00A83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B829" w14:textId="77777777" w:rsidR="00064002" w:rsidRPr="00A8323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2C00C" w14:textId="77777777" w:rsidR="00064002" w:rsidRPr="00A8323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B9EF" w14:textId="77777777" w:rsidR="00064002" w:rsidRPr="00A8323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5AA49" w14:textId="77777777" w:rsidR="006746AF" w:rsidRPr="00A8323F" w:rsidRDefault="006746AF">
      <w:r w:rsidRPr="00A8323F">
        <w:separator/>
      </w:r>
    </w:p>
  </w:footnote>
  <w:footnote w:type="continuationSeparator" w:id="0">
    <w:p w14:paraId="70E7CBFC" w14:textId="77777777" w:rsidR="006746AF" w:rsidRPr="00A8323F" w:rsidRDefault="006746AF">
      <w:r w:rsidRPr="00A8323F">
        <w:continuationSeparator/>
      </w:r>
    </w:p>
  </w:footnote>
  <w:footnote w:id="1">
    <w:p w14:paraId="2DD4B541" w14:textId="33938B1D" w:rsidR="00B57ABA" w:rsidRPr="00A8323F" w:rsidRDefault="00B57ABA" w:rsidP="00A8323F">
      <w:pPr>
        <w:pStyle w:val="FootnoteText"/>
        <w:ind w:left="567" w:hanging="567"/>
        <w:rPr>
          <w:sz w:val="24"/>
          <w:lang w:val="sk-SK"/>
        </w:rPr>
      </w:pPr>
      <w:r w:rsidRPr="00A8323F">
        <w:rPr>
          <w:rStyle w:val="FootnoteReference"/>
          <w:sz w:val="24"/>
          <w:lang w:val="sk-SK"/>
        </w:rPr>
        <w:footnoteRef/>
      </w:r>
      <w:r w:rsidR="00A8323F" w:rsidRPr="00A8323F">
        <w:rPr>
          <w:sz w:val="24"/>
          <w:lang w:val="sk-SK"/>
        </w:rPr>
        <w:t xml:space="preserve"> </w:t>
      </w:r>
      <w:r w:rsidR="00A8323F" w:rsidRPr="00A8323F">
        <w:rPr>
          <w:sz w:val="24"/>
          <w:lang w:val="sk-SK"/>
        </w:rPr>
        <w:tab/>
      </w:r>
      <w:r w:rsidRPr="00A8323F">
        <w:rPr>
          <w:sz w:val="24"/>
          <w:lang w:val="sk-SK"/>
        </w:rPr>
        <w:t>Ú. v. EÚ L 268, 18.10.2003, s. 1, ELI: </w:t>
      </w:r>
      <w:r w:rsidR="00EF6C14">
        <w:fldChar w:fldCharType="begin"/>
      </w:r>
      <w:r w:rsidR="00EF6C14" w:rsidRPr="00EF6C14">
        <w:rPr>
          <w:lang w:val="es-ES"/>
        </w:rPr>
        <w:instrText>HYPERLINK "https://eur-lex.europa.eu/eli/reg/2003/1829/oj" \t "Gives access to this document through its ELI URI."</w:instrText>
      </w:r>
      <w:r w:rsidR="00EF6C14">
        <w:fldChar w:fldCharType="separate"/>
      </w:r>
      <w:r w:rsidRPr="00A8323F">
        <w:rPr>
          <w:rStyle w:val="Hyperlink"/>
          <w:sz w:val="24"/>
          <w:lang w:val="sk-SK"/>
        </w:rPr>
        <w:t>https://eur-lex.europa.eu/eli/reg/2003/1829/oj</w:t>
      </w:r>
      <w:r w:rsidR="00EF6C14">
        <w:rPr>
          <w:rStyle w:val="Hyperlink"/>
          <w:sz w:val="24"/>
          <w:lang w:val="sk-SK"/>
        </w:rPr>
        <w:fldChar w:fldCharType="end"/>
      </w:r>
      <w:r w:rsidR="00D9530D">
        <w:rPr>
          <w:rStyle w:val="Hyperlink"/>
          <w:sz w:val="24"/>
          <w:lang w:val="sk-SK"/>
        </w:rPr>
        <w:t>.</w:t>
      </w:r>
    </w:p>
  </w:footnote>
  <w:footnote w:id="2">
    <w:p w14:paraId="543A5168" w14:textId="5BA1C158" w:rsidR="00B57ABA" w:rsidRPr="00A8323F" w:rsidRDefault="00B57ABA" w:rsidP="00A8323F">
      <w:pPr>
        <w:pStyle w:val="FootnoteText"/>
        <w:ind w:left="567" w:hanging="567"/>
        <w:rPr>
          <w:sz w:val="24"/>
          <w:lang w:val="sk-SK"/>
        </w:rPr>
      </w:pPr>
      <w:r w:rsidRPr="00A8323F">
        <w:rPr>
          <w:rStyle w:val="FootnoteReference"/>
          <w:sz w:val="24"/>
          <w:lang w:val="sk-SK"/>
        </w:rPr>
        <w:footnoteRef/>
      </w:r>
      <w:r w:rsidR="00A8323F" w:rsidRPr="00A8323F">
        <w:rPr>
          <w:sz w:val="24"/>
          <w:lang w:val="sk-SK"/>
        </w:rPr>
        <w:t xml:space="preserve"> </w:t>
      </w:r>
      <w:r w:rsidR="00A8323F" w:rsidRPr="00A8323F">
        <w:rPr>
          <w:sz w:val="24"/>
          <w:lang w:val="sk-SK"/>
        </w:rPr>
        <w:tab/>
      </w:r>
      <w:r w:rsidRPr="00A8323F">
        <w:rPr>
          <w:sz w:val="24"/>
          <w:lang w:val="sk-SK"/>
        </w:rPr>
        <w:t xml:space="preserve">Ú. v. EÚ L 55, 28.2.2011, s. 13, ELI: </w:t>
      </w:r>
      <w:r w:rsidR="00EF6C14">
        <w:fldChar w:fldCharType="begin"/>
      </w:r>
      <w:r w:rsidR="00EF6C14" w:rsidRPr="00EF6C14">
        <w:rPr>
          <w:lang w:val="fi-FI"/>
        </w:rPr>
        <w:instrText>HYPERLINK "http://data.europa.eu/eli/reg/2011/182/oj"</w:instrText>
      </w:r>
      <w:r w:rsidR="00EF6C14">
        <w:fldChar w:fldCharType="separate"/>
      </w:r>
      <w:r w:rsidRPr="00A8323F">
        <w:rPr>
          <w:rStyle w:val="Hyperlink"/>
          <w:sz w:val="24"/>
          <w:lang w:val="sk-SK"/>
        </w:rPr>
        <w:t>http://data.europa.eu/eli/reg/2011/182/oj</w:t>
      </w:r>
      <w:r w:rsidR="00EF6C14">
        <w:rPr>
          <w:rStyle w:val="Hyperlink"/>
          <w:sz w:val="24"/>
          <w:lang w:val="sk-SK"/>
        </w:rPr>
        <w:fldChar w:fldCharType="end"/>
      </w:r>
      <w:r w:rsidRPr="00A8323F">
        <w:rPr>
          <w:rStyle w:val="Hyperlink"/>
          <w:sz w:val="24"/>
          <w:lang w:val="sk-SK"/>
        </w:rPr>
        <w:t>.</w:t>
      </w:r>
    </w:p>
  </w:footnote>
  <w:footnote w:id="3">
    <w:p w14:paraId="5C51F7F8" w14:textId="0C49B076" w:rsidR="00B57ABA" w:rsidRPr="00A8323F" w:rsidRDefault="00B57ABA" w:rsidP="00A8323F">
      <w:pPr>
        <w:pStyle w:val="FootnoteText"/>
        <w:ind w:left="567" w:hanging="567"/>
        <w:rPr>
          <w:sz w:val="24"/>
          <w:lang w:val="sk-SK"/>
        </w:rPr>
      </w:pPr>
      <w:r w:rsidRPr="00A8323F">
        <w:rPr>
          <w:rStyle w:val="Funotenzeichen"/>
          <w:sz w:val="24"/>
          <w:lang w:val="sk-SK"/>
        </w:rPr>
        <w:footnoteRef/>
      </w:r>
      <w:r w:rsidR="00A8323F" w:rsidRPr="00A8323F">
        <w:rPr>
          <w:sz w:val="24"/>
          <w:lang w:val="sk-SK"/>
        </w:rPr>
        <w:t xml:space="preserve"> </w:t>
      </w:r>
      <w:r w:rsidR="00A8323F" w:rsidRPr="00A8323F">
        <w:rPr>
          <w:sz w:val="24"/>
          <w:lang w:val="sk-SK"/>
        </w:rPr>
        <w:tab/>
      </w:r>
      <w:r w:rsidRPr="00A8323F">
        <w:rPr>
          <w:sz w:val="24"/>
          <w:lang w:val="sk-SK"/>
        </w:rPr>
        <w:t xml:space="preserve">Vedecké stanovisko pracovnej skupiny EFSA pre geneticky modifikované organizmy k posúdeniu geneticky modifikovanej repky </w:t>
      </w:r>
      <w:proofErr w:type="spellStart"/>
      <w:r w:rsidRPr="00A8323F">
        <w:rPr>
          <w:sz w:val="24"/>
          <w:lang w:val="sk-SK"/>
        </w:rPr>
        <w:t>olejky</w:t>
      </w:r>
      <w:proofErr w:type="spellEnd"/>
      <w:r w:rsidRPr="00A8323F">
        <w:rPr>
          <w:sz w:val="24"/>
          <w:lang w:val="sk-SK"/>
        </w:rPr>
        <w:t xml:space="preserve"> MON 88302 (žiadosť GMFF-2023-21220). Vestník EFSA (EFSA </w:t>
      </w:r>
      <w:proofErr w:type="spellStart"/>
      <w:r w:rsidRPr="00A8323F">
        <w:rPr>
          <w:sz w:val="24"/>
          <w:lang w:val="sk-SK"/>
        </w:rPr>
        <w:t>Journal</w:t>
      </w:r>
      <w:proofErr w:type="spellEnd"/>
      <w:r w:rsidRPr="00A8323F">
        <w:rPr>
          <w:sz w:val="24"/>
          <w:lang w:val="sk-SK"/>
        </w:rPr>
        <w:t xml:space="preserve">) 2025;23(5):9378; </w:t>
      </w:r>
      <w:r w:rsidR="00EF6C14">
        <w:fldChar w:fldCharType="begin"/>
      </w:r>
      <w:r w:rsidR="00EF6C14" w:rsidRPr="00EF6C14">
        <w:rPr>
          <w:lang w:val="sk-SK"/>
        </w:rPr>
        <w:instrText>HYPERLINK "https://doi.org/10.2903/j.efsa.2025.9378"</w:instrText>
      </w:r>
      <w:r w:rsidR="00EF6C14">
        <w:fldChar w:fldCharType="separate"/>
      </w:r>
      <w:r w:rsidRPr="00D9530D">
        <w:rPr>
          <w:rStyle w:val="Hyperlink"/>
          <w:sz w:val="24"/>
          <w:lang w:val="sk-SK"/>
        </w:rPr>
        <w:t>https://doi.org/10.2903/j.efsa.2025.9378</w:t>
      </w:r>
      <w:r w:rsidR="00EF6C14">
        <w:rPr>
          <w:rStyle w:val="Hyperlink"/>
          <w:sz w:val="24"/>
          <w:lang w:val="sk-SK"/>
        </w:rPr>
        <w:fldChar w:fldCharType="end"/>
      </w:r>
      <w:r w:rsidRPr="00A8323F">
        <w:rPr>
          <w:sz w:val="24"/>
          <w:lang w:val="sk-SK"/>
        </w:rPr>
        <w:t xml:space="preserve">. </w:t>
      </w:r>
    </w:p>
  </w:footnote>
  <w:footnote w:id="4">
    <w:p w14:paraId="4FA2C23B" w14:textId="2C3A0660" w:rsidR="00B57ABA" w:rsidRPr="00A8323F" w:rsidRDefault="00B57ABA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rStyle w:val="FootnoteReference"/>
          <w:sz w:val="24"/>
          <w:lang w:val="sk-SK"/>
        </w:rPr>
        <w:footnoteRef/>
      </w:r>
      <w:r w:rsidR="00A8323F" w:rsidRPr="00A8323F">
        <w:rPr>
          <w:color w:val="000000" w:themeColor="text1"/>
          <w:sz w:val="24"/>
          <w:lang w:val="sk-SK"/>
        </w:rPr>
        <w:t xml:space="preserve"> </w:t>
      </w:r>
      <w:r w:rsidR="00A8323F" w:rsidRPr="00A8323F">
        <w:rPr>
          <w:color w:val="000000" w:themeColor="text1"/>
          <w:sz w:val="24"/>
          <w:lang w:val="sk-SK"/>
        </w:rPr>
        <w:tab/>
      </w:r>
      <w:r w:rsidRPr="00A8323F">
        <w:rPr>
          <w:color w:val="000000" w:themeColor="text1"/>
          <w:sz w:val="24"/>
          <w:lang w:val="sk-SK"/>
        </w:rPr>
        <w:t>Európsky parlament prijal vo svojom ôsmom volebnom období 36 uznesení a v deviatom volebnom období 38 uznesení, v ktorých namieta proti povoľovaniu GMO. Okrem toho Európsky parlament počas desiateho volebného obdobia prijal tieto uznesenia:</w:t>
      </w:r>
    </w:p>
    <w:p w14:paraId="320222CF" w14:textId="7A0FFD55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2024/2628 o obnovení povolenia umiestniť na trh výrobky, ktoré obsahujú geneticky modifikovanú kukuricu MON 89034 × 1507 × NK603, sú z nej zložené alebo vyrobené, podľa nariadenia Európskeho parlamentu a Rady (ES) č. 1829/2003 (Ú. v. </w:t>
      </w:r>
      <w:r w:rsidR="00B57ABA" w:rsidRPr="00A8323F">
        <w:rPr>
          <w:color w:val="000000" w:themeColor="text1"/>
          <w:sz w:val="24"/>
          <w:lang w:val="sk-SK"/>
        </w:rPr>
        <w:t xml:space="preserve">EÚ C, </w:t>
      </w:r>
      <w:r w:rsidR="00B57ABA" w:rsidRPr="00A8323F">
        <w:rPr>
          <w:color w:val="000000" w:themeColor="text1"/>
          <w:sz w:val="24"/>
          <w:lang w:val="sk-SK"/>
        </w:rPr>
        <w:t xml:space="preserve">C/2025/1797, 4.4.2025, ELI: </w:t>
      </w:r>
      <w:hyperlink r:id="rId1" w:history="1">
        <w:r w:rsidR="00B57ABA" w:rsidRPr="00A8323F">
          <w:rPr>
            <w:rStyle w:val="Hyperlink"/>
            <w:sz w:val="24"/>
            <w:lang w:val="sk-SK"/>
          </w:rPr>
          <w:t>http://data.europa.eu/eli/C/2025/1797/oj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16FE1CB8" w14:textId="09229DF5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2024/2627, ktorým sa podľa nariadenia Európskeho parlamentu a Rady (ES) č. 1829/2003 povoľuje umiestniť na trh výrobky, ktoré obsahujú geneticky modifikovanú bavlnu COT102, sú z nej zložené alebo vyrobené (Ú. v. EÚ C, C/2025/1798, 4.4.2025, ELI: </w:t>
      </w:r>
      <w:hyperlink r:id="rId2" w:history="1">
        <w:r w:rsidR="00B57ABA" w:rsidRPr="00A8323F">
          <w:rPr>
            <w:rStyle w:val="Hyperlink"/>
            <w:sz w:val="24"/>
            <w:lang w:val="sk-SK"/>
          </w:rPr>
          <w:t>http://data.europa.eu/eli/C/2025/1798/oj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2DA07731" w14:textId="101279B4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2024/2629, ktorým sa podľa nariadenia Európskeho parlamentu a Rady (ES) č. 1829/2003 obnovuje povolenie umiestňovať na trh výrobky, ktoré obsahujú geneticky modifikovanú kukuricu MON 89034 × 1507 × MON 88017 × 59122 a osem jej čiastkových kombinácií, sú z nich zložené alebo vyrobené (Ú. v. EÚ C, C/2025/1799, 4.4.2025, ELI: </w:t>
      </w:r>
      <w:hyperlink r:id="rId3" w:history="1">
        <w:r w:rsidR="00B57ABA" w:rsidRPr="00A8323F">
          <w:rPr>
            <w:rStyle w:val="Hyperlink"/>
            <w:sz w:val="24"/>
            <w:lang w:val="sk-SK"/>
          </w:rPr>
          <w:t>http://data.europa.eu/eli/C/2025/1799/oj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00095D0F" w14:textId="2FD39C9F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 (Ú. v. EÚ C, C/2025/1800, 4.4.2025, ELI: </w:t>
      </w:r>
      <w:hyperlink r:id="rId4" w:history="1">
        <w:r w:rsidR="00B57ABA" w:rsidRPr="00A8323F">
          <w:rPr>
            <w:rStyle w:val="Hyperlink"/>
            <w:sz w:val="24"/>
            <w:lang w:val="sk-SK"/>
          </w:rPr>
          <w:t>http://data.europa.eu/eli/C/2025/1800/oj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0243BC27" w14:textId="642C5C5F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2024/1822, ktorým sa podľa nariadenia Európskeho parlamentu a Rady (ES) č. 1829/2003 povoľuje umiestniť na trh výrobky, ktoré obsahujú geneticky modifikovanú kukuricu DP915635, sú z nej zložené alebo vyrobené (Ú. v. EÚ C, C/2025/1801, 4.4.2025, ELI: </w:t>
      </w:r>
      <w:hyperlink r:id="rId5" w:history="1">
        <w:r w:rsidR="00B57ABA" w:rsidRPr="00A8323F">
          <w:rPr>
            <w:rStyle w:val="Hyperlink"/>
            <w:sz w:val="24"/>
            <w:lang w:val="sk-SK"/>
          </w:rPr>
          <w:t>http://data.europa.eu/eli/C/2025/1801/oj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7B95E461" w14:textId="14E095D6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2024/1826, ktorým sa podľa nariadenia Európskeho parlamentu a Rady (ES) č. 1829/2003 povoľuje umiestniť na trh výrobky, ktoré obsahujú geneticky modifikovanú kukuricu DP23211, sú z nej zložené alebo vyrobené (Ú. v. EÚ C, C/2025/1802, 4.4.2025, ELI: </w:t>
      </w:r>
      <w:hyperlink r:id="rId6" w:history="1">
        <w:r w:rsidR="00B57ABA" w:rsidRPr="00A8323F">
          <w:rPr>
            <w:rStyle w:val="Hyperlink"/>
            <w:sz w:val="24"/>
            <w:lang w:val="sk-SK"/>
          </w:rPr>
          <w:t>http://data.europa.eu/eli/C/2025/1802/oj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40675E49" w14:textId="06E0E6BF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2024/2618, ktorým sa podľa nariadenia Európskeho parlamentu a Rady (ES) č. 1829/2003 povoľuje umiestniť na trh výrobky, ktoré obsahujú geneticky modifikovanú kukuricu DP202216, sú z nej zložené alebo vyrobené (Ú. v. EÚ C, C/2025/1803, 4.4.2025, ELI: </w:t>
      </w:r>
      <w:hyperlink r:id="rId7" w:history="1">
        <w:r w:rsidR="00B57ABA" w:rsidRPr="00A8323F">
          <w:rPr>
            <w:rStyle w:val="Hyperlink"/>
            <w:sz w:val="24"/>
            <w:lang w:val="sk-SK"/>
          </w:rPr>
          <w:t>http://data.europa.eu/eli/C/2025/1803/oj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5898E053" w14:textId="7D00E31B" w:rsidR="00B57ABA" w:rsidRPr="00A8323F" w:rsidRDefault="00A8323F" w:rsidP="00A8323F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  <w:t xml:space="preserve">Uznesenie Európskeho parlamentu z 26. novembra 2024 o návrhu vykonávacieho rozhodnutia Komisie, ktorým sa podľa nariadenia Európskeho parlamentu a Rady (ES) č. 1829/2003 povoľuje umiestniť na trh produkty, ktoré obsahujú geneticky modifikovanú kukuricu MON 94804, sú z nej zložené alebo vyrobené (Ú. v. EÚ C, C/2025/1804, 4.4.2025, ELI: </w:t>
      </w:r>
      <w:hyperlink r:id="rId8" w:history="1">
        <w:r w:rsidR="00B57ABA" w:rsidRPr="00A8323F">
          <w:rPr>
            <w:rStyle w:val="Hyperlink"/>
            <w:sz w:val="24"/>
            <w:lang w:val="sk-SK"/>
          </w:rPr>
          <w:t>http://data.europa.eu/eli/C/2025/1804/oj</w:t>
        </w:r>
      </w:hyperlink>
      <w:r w:rsidR="00B57ABA" w:rsidRPr="00A8323F">
        <w:rPr>
          <w:color w:val="000000" w:themeColor="text1"/>
          <w:sz w:val="24"/>
          <w:lang w:val="sk-SK"/>
        </w:rPr>
        <w:t>).</w:t>
      </w:r>
    </w:p>
    <w:p w14:paraId="7BE2A6C4" w14:textId="26158C14" w:rsidR="00B57ABA" w:rsidRPr="00A8323F" w:rsidRDefault="00A8323F" w:rsidP="00A8323F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A8323F">
        <w:rPr>
          <w:color w:val="000000" w:themeColor="text1"/>
          <w:sz w:val="24"/>
          <w:lang w:val="sk-SK"/>
        </w:rPr>
        <w:t xml:space="preserve"> </w:t>
      </w:r>
      <w:r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color w:val="000000" w:themeColor="text1"/>
          <w:sz w:val="24"/>
          <w:lang w:val="sk-SK"/>
        </w:rPr>
        <w:t>–</w:t>
      </w:r>
      <w:r w:rsidR="00B57ABA" w:rsidRPr="00A8323F">
        <w:rPr>
          <w:color w:val="000000" w:themeColor="text1"/>
          <w:sz w:val="24"/>
          <w:lang w:val="sk-SK"/>
        </w:rPr>
        <w:tab/>
      </w:r>
      <w:r w:rsidR="00B57ABA" w:rsidRPr="00A8323F">
        <w:rPr>
          <w:sz w:val="24"/>
          <w:lang w:val="sk-SK"/>
        </w:rPr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DP910521, sú z nej zložené alebo vyrobené (Ú. v. EÚ C, C/2025/2246, 29.4.2025, ELI: </w:t>
      </w:r>
      <w:hyperlink r:id="rId9" w:tooltip="Umožňuje prístup k tomuto dokumentu prostredníctvom jeho ELI URI." w:history="1">
        <w:r w:rsidR="00B57ABA" w:rsidRPr="00A8323F">
          <w:rPr>
            <w:rStyle w:val="Hyperlink"/>
            <w:sz w:val="24"/>
            <w:lang w:val="sk-SK"/>
          </w:rPr>
          <w:t>http://data.europa.eu/eli/C/2025/2246/oj</w:t>
        </w:r>
      </w:hyperlink>
      <w:r w:rsidR="00B57ABA" w:rsidRPr="00A8323F">
        <w:rPr>
          <w:sz w:val="24"/>
          <w:lang w:val="sk-SK"/>
        </w:rPr>
        <w:t>).</w:t>
      </w:r>
    </w:p>
    <w:p w14:paraId="4124AC82" w14:textId="23ABAC1E" w:rsidR="00B57ABA" w:rsidRPr="00A8323F" w:rsidRDefault="00A8323F" w:rsidP="00A8323F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A8323F">
        <w:rPr>
          <w:sz w:val="24"/>
          <w:lang w:val="sk-SK"/>
        </w:rPr>
        <w:t xml:space="preserve"> </w:t>
      </w:r>
      <w:r w:rsidRPr="00A8323F">
        <w:rPr>
          <w:sz w:val="24"/>
          <w:lang w:val="sk-SK"/>
        </w:rPr>
        <w:tab/>
      </w:r>
      <w:r w:rsidR="00B57ABA" w:rsidRPr="00A8323F">
        <w:rPr>
          <w:sz w:val="24"/>
          <w:lang w:val="sk-SK"/>
        </w:rPr>
        <w:t>–</w:t>
      </w:r>
      <w:r w:rsidR="00B57ABA" w:rsidRPr="00A8323F">
        <w:rPr>
          <w:sz w:val="24"/>
          <w:lang w:val="sk-SK"/>
        </w:rPr>
        <w:tab/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MON 95275, sú z nej zložené alebo vyrobené (Ú. v. EÚ C, C/2025/2247, 29.4.2025, ELI: </w:t>
      </w:r>
      <w:hyperlink r:id="rId10" w:tooltip="Umožňuje prístup k tomuto dokumentu prostredníctvom jeho ELI URI." w:history="1">
        <w:r w:rsidR="00B57ABA" w:rsidRPr="00A8323F">
          <w:rPr>
            <w:rStyle w:val="Hyperlink"/>
            <w:sz w:val="24"/>
            <w:lang w:val="sk-SK"/>
          </w:rPr>
          <w:t>http://data.europa.eu/eli/C/2025/2247/oj</w:t>
        </w:r>
      </w:hyperlink>
      <w:r w:rsidR="00B57ABA" w:rsidRPr="00A8323F">
        <w:rPr>
          <w:sz w:val="24"/>
          <w:lang w:val="sk-SK"/>
        </w:rPr>
        <w:t>).</w:t>
      </w:r>
    </w:p>
    <w:p w14:paraId="36FAC215" w14:textId="0BF6AE01" w:rsidR="00B57ABA" w:rsidRPr="00A8323F" w:rsidRDefault="00A8323F" w:rsidP="00A8323F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A8323F">
        <w:rPr>
          <w:sz w:val="24"/>
          <w:lang w:val="sk-SK"/>
        </w:rPr>
        <w:t xml:space="preserve"> </w:t>
      </w:r>
      <w:r w:rsidRPr="00A8323F">
        <w:rPr>
          <w:sz w:val="24"/>
          <w:lang w:val="sk-SK"/>
        </w:rPr>
        <w:tab/>
      </w:r>
      <w:r w:rsidR="00B57ABA" w:rsidRPr="00A8323F">
        <w:rPr>
          <w:sz w:val="24"/>
          <w:lang w:val="sk-SK"/>
        </w:rPr>
        <w:t>–</w:t>
      </w:r>
      <w:r w:rsidR="00B57ABA" w:rsidRPr="00A8323F">
        <w:rPr>
          <w:sz w:val="24"/>
          <w:lang w:val="sk-SK"/>
        </w:rPr>
        <w:tab/>
        <w:t>Uznesenie Európskeho parlamentu z 8. mája 2025 o návrhu vykonávacieho rozhodnutia Komisie, ktorým sa podľa nariadenia Európskeho parlamentu a Rady (ES) č. 1829/2003 povoľuje umiestniť na trh produkty, ktoré obsahujú geneticky modifikovanú sóju MON 87705 × MON 87708 × MON 89788, sú z nej zložené alebo vyrobené (P10_TA(2025)0106).</w:t>
      </w:r>
    </w:p>
    <w:p w14:paraId="4CF464B6" w14:textId="117E0B32" w:rsidR="00B57ABA" w:rsidRPr="00A8323F" w:rsidRDefault="00A8323F" w:rsidP="00A8323F">
      <w:pPr>
        <w:pStyle w:val="FootnoteText"/>
        <w:ind w:left="567" w:hanging="567"/>
        <w:rPr>
          <w:sz w:val="24"/>
          <w:lang w:val="sk-SK"/>
        </w:rPr>
      </w:pPr>
      <w:r w:rsidRPr="00A8323F">
        <w:rPr>
          <w:sz w:val="24"/>
          <w:lang w:val="sk-SK"/>
        </w:rPr>
        <w:t xml:space="preserve"> </w:t>
      </w:r>
      <w:r w:rsidRPr="00A8323F">
        <w:rPr>
          <w:sz w:val="24"/>
          <w:lang w:val="sk-SK"/>
        </w:rPr>
        <w:tab/>
      </w:r>
      <w:r w:rsidR="00B57ABA" w:rsidRPr="00A8323F">
        <w:rPr>
          <w:sz w:val="24"/>
          <w:lang w:val="sk-SK"/>
        </w:rPr>
        <w:t>–</w:t>
      </w:r>
      <w:r w:rsidR="00B57ABA" w:rsidRPr="00A8323F">
        <w:rPr>
          <w:sz w:val="24"/>
          <w:lang w:val="sk-SK"/>
        </w:rPr>
        <w:tab/>
        <w:t>Uznesenie Európskeho parlamentu z 8. októbra 2025 o vykonávacom rozhodnutí Komisie (EÚ) 2025/1898 z 22. septembra 2025, ktorým sa podľa nariadenia Európskeho parlamentu a Rady (ES) č. 1829/2003 povoľuje umiestniť na trh výrobky, ktoré obsahujú geneticky modifikovanú kukuricu DP51291, sú z nej zložené alebo vyrobené (P10_TA(2025)0222).</w:t>
      </w:r>
    </w:p>
  </w:footnote>
  <w:footnote w:id="5">
    <w:p w14:paraId="56C88616" w14:textId="72DC1275" w:rsidR="00B57ABA" w:rsidRPr="00A8323F" w:rsidRDefault="00B57ABA" w:rsidP="00A8323F">
      <w:pPr>
        <w:pStyle w:val="FootnoteText"/>
        <w:ind w:left="567" w:hanging="567"/>
        <w:rPr>
          <w:sz w:val="24"/>
          <w:lang w:val="sk-SK"/>
        </w:rPr>
      </w:pPr>
      <w:r w:rsidRPr="00A8323F">
        <w:rPr>
          <w:rStyle w:val="FootnoteReference"/>
          <w:sz w:val="24"/>
          <w:lang w:val="sk-SK"/>
        </w:rPr>
        <w:footnoteRef/>
      </w:r>
      <w:r w:rsidR="00A8323F" w:rsidRPr="00A8323F">
        <w:rPr>
          <w:sz w:val="24"/>
          <w:lang w:val="sk-SK"/>
        </w:rPr>
        <w:t xml:space="preserve"> </w:t>
      </w:r>
      <w:r w:rsidR="00A8323F" w:rsidRPr="00A8323F">
        <w:rPr>
          <w:sz w:val="24"/>
          <w:lang w:val="sk-SK"/>
        </w:rPr>
        <w:tab/>
      </w:r>
      <w:r w:rsidRPr="00A8323F">
        <w:rPr>
          <w:sz w:val="24"/>
          <w:lang w:val="sk-SK"/>
        </w:rPr>
        <w:t>Ú. v. EÚ L 112, 30.4.2015, s. 22, ELI: </w:t>
      </w:r>
      <w:r w:rsidR="00EF6C14">
        <w:fldChar w:fldCharType="begin"/>
      </w:r>
      <w:r w:rsidR="00EF6C14" w:rsidRPr="00EF6C14">
        <w:rPr>
          <w:lang w:val="es-ES"/>
        </w:rPr>
        <w:instrText>HYPERLINK "http://data.europa.eu/eli/dec_impl/2015/687/oj" \o "Umožňuje prístup k tomuto dokumentu prostredníctvom jeho ELI URI."</w:instrText>
      </w:r>
      <w:r w:rsidR="00EF6C14">
        <w:fldChar w:fldCharType="separate"/>
      </w:r>
      <w:r w:rsidRPr="00A8323F">
        <w:rPr>
          <w:rStyle w:val="Hyperlink"/>
          <w:sz w:val="24"/>
          <w:lang w:val="sk-SK"/>
        </w:rPr>
        <w:t>http://data.europa.eu/eli/dec_impl/2015/687/oj</w:t>
      </w:r>
      <w:r w:rsidR="00EF6C14">
        <w:rPr>
          <w:rStyle w:val="Hyperlink"/>
          <w:sz w:val="24"/>
          <w:lang w:val="sk-SK"/>
        </w:rPr>
        <w:fldChar w:fldCharType="end"/>
      </w:r>
      <w:r w:rsidRPr="00A8323F">
        <w:rPr>
          <w:sz w:val="24"/>
          <w:lang w:val="sk-SK"/>
        </w:rPr>
        <w:t>.</w:t>
      </w:r>
    </w:p>
  </w:footnote>
  <w:footnote w:id="6">
    <w:p w14:paraId="65CCF060" w14:textId="140A9580" w:rsidR="00B57ABA" w:rsidRPr="00A8323F" w:rsidRDefault="00B57ABA" w:rsidP="00A8323F">
      <w:pPr>
        <w:pStyle w:val="FootnoteText"/>
        <w:ind w:left="567" w:hanging="567"/>
        <w:rPr>
          <w:sz w:val="24"/>
          <w:lang w:val="sk-SK"/>
        </w:rPr>
      </w:pPr>
      <w:r w:rsidRPr="00A8323F">
        <w:rPr>
          <w:rStyle w:val="FootnoteReference"/>
          <w:sz w:val="24"/>
          <w:lang w:val="sk-SK"/>
        </w:rPr>
        <w:footnoteRef/>
      </w:r>
      <w:r w:rsidR="00A8323F" w:rsidRPr="00A8323F">
        <w:rPr>
          <w:sz w:val="24"/>
          <w:lang w:val="sk-SK"/>
        </w:rPr>
        <w:t xml:space="preserve"> </w:t>
      </w:r>
      <w:r w:rsidR="00A8323F" w:rsidRPr="00A8323F">
        <w:rPr>
          <w:sz w:val="24"/>
          <w:lang w:val="sk-SK"/>
        </w:rPr>
        <w:tab/>
      </w:r>
      <w:r w:rsidRPr="00A8323F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 v. ES L 31, 1.2.2002, s. 1, ELI: </w:t>
      </w:r>
      <w:r w:rsidR="00EF6C14">
        <w:fldChar w:fldCharType="begin"/>
      </w:r>
      <w:r w:rsidR="00EF6C14" w:rsidRPr="00EF6C14">
        <w:rPr>
          <w:lang w:val="sk-SK"/>
        </w:rPr>
        <w:instrText>HYPERLINK "http://data.europa.eu/eli/reg/2002/178/oj" \t "Gives%20access%20to%20this%20document%20through%20its%20ELI%20URI."</w:instrText>
      </w:r>
      <w:r w:rsidR="00EF6C14">
        <w:fldChar w:fldCharType="separate"/>
      </w:r>
      <w:r w:rsidRPr="00A8323F">
        <w:rPr>
          <w:rStyle w:val="Hyperlink"/>
          <w:sz w:val="24"/>
          <w:lang w:val="sk-SK"/>
        </w:rPr>
        <w:t>http://data.europa.eu/eli/reg/2002/178/oj</w:t>
      </w:r>
      <w:r w:rsidR="00EF6C14">
        <w:rPr>
          <w:rStyle w:val="Hyperlink"/>
          <w:sz w:val="24"/>
          <w:lang w:val="sk-SK"/>
        </w:rPr>
        <w:fldChar w:fldCharType="end"/>
      </w:r>
      <w:r w:rsidRPr="00A8323F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1E9AE" w14:textId="77777777" w:rsidR="00064002" w:rsidRPr="00A8323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3C3B" w14:textId="77777777" w:rsidR="00064002" w:rsidRPr="00A8323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E4DA" w14:textId="77777777" w:rsidR="00064002" w:rsidRPr="00A8323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7175345">
    <w:abstractNumId w:val="9"/>
  </w:num>
  <w:num w:numId="2" w16cid:durableId="347296618">
    <w:abstractNumId w:val="9"/>
  </w:num>
  <w:num w:numId="3" w16cid:durableId="1820726473">
    <w:abstractNumId w:val="7"/>
  </w:num>
  <w:num w:numId="4" w16cid:durableId="835343134">
    <w:abstractNumId w:val="7"/>
  </w:num>
  <w:num w:numId="5" w16cid:durableId="1894583979">
    <w:abstractNumId w:val="6"/>
  </w:num>
  <w:num w:numId="6" w16cid:durableId="231234875">
    <w:abstractNumId w:val="6"/>
  </w:num>
  <w:num w:numId="7" w16cid:durableId="1169061244">
    <w:abstractNumId w:val="5"/>
  </w:num>
  <w:num w:numId="8" w16cid:durableId="958296656">
    <w:abstractNumId w:val="5"/>
  </w:num>
  <w:num w:numId="9" w16cid:durableId="1437287927">
    <w:abstractNumId w:val="4"/>
  </w:num>
  <w:num w:numId="10" w16cid:durableId="20253914">
    <w:abstractNumId w:val="4"/>
  </w:num>
  <w:num w:numId="11" w16cid:durableId="579557378">
    <w:abstractNumId w:val="8"/>
  </w:num>
  <w:num w:numId="12" w16cid:durableId="1492524309">
    <w:abstractNumId w:val="8"/>
  </w:num>
  <w:num w:numId="13" w16cid:durableId="1105541194">
    <w:abstractNumId w:val="3"/>
  </w:num>
  <w:num w:numId="14" w16cid:durableId="717360390">
    <w:abstractNumId w:val="3"/>
  </w:num>
  <w:num w:numId="15" w16cid:durableId="1555118806">
    <w:abstractNumId w:val="2"/>
  </w:num>
  <w:num w:numId="16" w16cid:durableId="151534248">
    <w:abstractNumId w:val="2"/>
  </w:num>
  <w:num w:numId="17" w16cid:durableId="1032805827">
    <w:abstractNumId w:val="1"/>
  </w:num>
  <w:num w:numId="18" w16cid:durableId="1583635677">
    <w:abstractNumId w:val="1"/>
  </w:num>
  <w:num w:numId="19" w16cid:durableId="548030943">
    <w:abstractNumId w:val="0"/>
  </w:num>
  <w:num w:numId="20" w16cid:durableId="1175464468">
    <w:abstractNumId w:val="0"/>
  </w:num>
  <w:num w:numId="21" w16cid:durableId="135149208">
    <w:abstractNumId w:val="9"/>
  </w:num>
  <w:num w:numId="22" w16cid:durableId="897859096">
    <w:abstractNumId w:val="7"/>
  </w:num>
  <w:num w:numId="23" w16cid:durableId="1847401063">
    <w:abstractNumId w:val="6"/>
  </w:num>
  <w:num w:numId="24" w16cid:durableId="366103247">
    <w:abstractNumId w:val="5"/>
  </w:num>
  <w:num w:numId="25" w16cid:durableId="893782097">
    <w:abstractNumId w:val="4"/>
  </w:num>
  <w:num w:numId="26" w16cid:durableId="1967464101">
    <w:abstractNumId w:val="8"/>
  </w:num>
  <w:num w:numId="27" w16cid:durableId="2138065290">
    <w:abstractNumId w:val="3"/>
  </w:num>
  <w:num w:numId="28" w16cid:durableId="1683773695">
    <w:abstractNumId w:val="2"/>
  </w:num>
  <w:num w:numId="29" w16cid:durableId="2005890017">
    <w:abstractNumId w:val="1"/>
  </w:num>
  <w:num w:numId="30" w16cid:durableId="1542397894">
    <w:abstractNumId w:val="0"/>
  </w:num>
  <w:num w:numId="31" w16cid:durableId="949051310">
    <w:abstractNumId w:val="9"/>
  </w:num>
  <w:num w:numId="32" w16cid:durableId="1549142424">
    <w:abstractNumId w:val="7"/>
  </w:num>
  <w:num w:numId="33" w16cid:durableId="55906890">
    <w:abstractNumId w:val="6"/>
  </w:num>
  <w:num w:numId="34" w16cid:durableId="981689874">
    <w:abstractNumId w:val="5"/>
  </w:num>
  <w:num w:numId="35" w16cid:durableId="264115918">
    <w:abstractNumId w:val="4"/>
  </w:num>
  <w:num w:numId="36" w16cid:durableId="540672928">
    <w:abstractNumId w:val="8"/>
  </w:num>
  <w:num w:numId="37" w16cid:durableId="605693912">
    <w:abstractNumId w:val="3"/>
  </w:num>
  <w:num w:numId="38" w16cid:durableId="1695157627">
    <w:abstractNumId w:val="2"/>
  </w:num>
  <w:num w:numId="39" w16cid:durableId="603150086">
    <w:abstractNumId w:val="1"/>
  </w:num>
  <w:num w:numId="40" w16cid:durableId="1070888371">
    <w:abstractNumId w:val="0"/>
  </w:num>
  <w:num w:numId="41" w16cid:durableId="462116942">
    <w:abstractNumId w:val="10"/>
  </w:num>
  <w:num w:numId="42" w16cid:durableId="593590626">
    <w:abstractNumId w:val="10"/>
  </w:num>
  <w:num w:numId="43" w16cid:durableId="844897907">
    <w:abstractNumId w:val="10"/>
  </w:num>
  <w:num w:numId="44" w16cid:durableId="383140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SK"/>
    <w:docVar w:name="dvnumam" w:val="0"/>
    <w:docVar w:name="dvpe" w:val="778.109"/>
    <w:docVar w:name="dvtitre" w:val="Uznesenie Európskeho parlamentu z xx. novembra 2025 o návrhu vykonávacieho rozhodnutia Komisie, ktorým sa podľa nariadenia Európskeho parlamentu a Rady (ES) č. 1829/2003 obnovuje povolenie umiestniť na trh produkty, ktoré obsahujú geneticky modifikovanú repku olejku MON 88302, sú z nej zložené alebo vyrobené(D109632/01 – 2025/2895(RSP))"/>
  </w:docVars>
  <w:rsids>
    <w:rsidRoot w:val="006746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5A8B"/>
    <w:rsid w:val="002B18FE"/>
    <w:rsid w:val="002B5493"/>
    <w:rsid w:val="002C2AB8"/>
    <w:rsid w:val="00343214"/>
    <w:rsid w:val="00361C00"/>
    <w:rsid w:val="0036496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6AF"/>
    <w:rsid w:val="00680577"/>
    <w:rsid w:val="006F74FA"/>
    <w:rsid w:val="0072526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8323F"/>
    <w:rsid w:val="00AB441E"/>
    <w:rsid w:val="00AB6293"/>
    <w:rsid w:val="00AE0928"/>
    <w:rsid w:val="00AF3B82"/>
    <w:rsid w:val="00B12E95"/>
    <w:rsid w:val="00B22876"/>
    <w:rsid w:val="00B267F7"/>
    <w:rsid w:val="00B558F0"/>
    <w:rsid w:val="00B57ABA"/>
    <w:rsid w:val="00BD48FE"/>
    <w:rsid w:val="00BD7BD8"/>
    <w:rsid w:val="00BE6ADC"/>
    <w:rsid w:val="00BF142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30D"/>
    <w:rsid w:val="00DA7FCD"/>
    <w:rsid w:val="00E365E1"/>
    <w:rsid w:val="00E820A4"/>
    <w:rsid w:val="00EB006A"/>
    <w:rsid w:val="00EB4772"/>
    <w:rsid w:val="00ED169E"/>
    <w:rsid w:val="00ED4235"/>
    <w:rsid w:val="00EF6C14"/>
    <w:rsid w:val="00F04346"/>
    <w:rsid w:val="00F075DC"/>
    <w:rsid w:val="00F149E9"/>
    <w:rsid w:val="00F30D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D0EAD2"/>
  <w15:chartTrackingRefBased/>
  <w15:docId w15:val="{5A7209F7-E4F4-4B24-A1AE-28737500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7ABA"/>
    <w:pPr>
      <w:spacing w:before="480" w:after="240"/>
    </w:pPr>
  </w:style>
  <w:style w:type="paragraph" w:customStyle="1" w:styleId="NormalHanging12a">
    <w:name w:val="NormalHanging12a"/>
    <w:basedOn w:val="Normal"/>
    <w:qFormat/>
    <w:rsid w:val="00B57AB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57ABA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B57ABA"/>
    <w:rPr>
      <w:vertAlign w:val="superscript"/>
    </w:rPr>
  </w:style>
  <w:style w:type="paragraph" w:styleId="Revision">
    <w:name w:val="Revision"/>
    <w:hidden/>
    <w:uiPriority w:val="99"/>
    <w:semiHidden/>
    <w:rsid w:val="00B267F7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D95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4/oj" TargetMode="External"/><Relationship Id="rId3" Type="http://schemas.openxmlformats.org/officeDocument/2006/relationships/hyperlink" Target="http://data.europa.eu/eli/C/2025/1799/oj" TargetMode="External"/><Relationship Id="rId7" Type="http://schemas.openxmlformats.org/officeDocument/2006/relationships/hyperlink" Target="http://data.europa.eu/eli/C/2025/1803/oj" TargetMode="External"/><Relationship Id="rId2" Type="http://schemas.openxmlformats.org/officeDocument/2006/relationships/hyperlink" Target="http://data.europa.eu/eli/C/2025/1798/oj" TargetMode="External"/><Relationship Id="rId1" Type="http://schemas.openxmlformats.org/officeDocument/2006/relationships/hyperlink" Target="http://data.europa.eu/eli/C/2025/1797/oj" TargetMode="External"/><Relationship Id="rId6" Type="http://schemas.openxmlformats.org/officeDocument/2006/relationships/hyperlink" Target="http://data.europa.eu/eli/C/2025/1802/oj" TargetMode="External"/><Relationship Id="rId5" Type="http://schemas.openxmlformats.org/officeDocument/2006/relationships/hyperlink" Target="http://data.europa.eu/eli/C/2025/1801/oj" TargetMode="External"/><Relationship Id="rId10" Type="http://schemas.openxmlformats.org/officeDocument/2006/relationships/hyperlink" Target="http://data.europa.eu/eli/C/2025/2247/oj" TargetMode="External"/><Relationship Id="rId4" Type="http://schemas.openxmlformats.org/officeDocument/2006/relationships/hyperlink" Target="http://data.europa.eu/eli/C/2025/1800/oj" TargetMode="External"/><Relationship Id="rId9" Type="http://schemas.openxmlformats.org/officeDocument/2006/relationships/hyperlink" Target="http://data.europa.eu/eli/C/2025/2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919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2026-01-26T09:52:00Z</dcterms:created>
  <dcterms:modified xsi:type="dcterms:W3CDTF">2026-01-26T09:52:00Z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B10-0490/2025</vt:lpwstr>
  </property>
  <property fmtid="{D5CDD505-2E9C-101B-9397-08002B2CF9AE}" pid="4" name="&lt;Type&gt;">
    <vt:lpwstr>RR</vt:lpwstr>
  </property>
</Properties>
</file>