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CAF" w14:paraId="01F28915" w14:textId="77777777" w:rsidTr="0010095E">
        <w:trPr>
          <w:trHeight w:hRule="exact" w:val="1418"/>
        </w:trPr>
        <w:tc>
          <w:tcPr>
            <w:tcW w:w="6804" w:type="dxa"/>
            <w:shd w:val="clear" w:color="auto" w:fill="auto"/>
            <w:vAlign w:val="center"/>
          </w:tcPr>
          <w:p w14:paraId="4DED4757" w14:textId="77777777" w:rsidR="00751A4A" w:rsidRPr="00611CAF" w:rsidRDefault="006D4520" w:rsidP="0010095E">
            <w:pPr>
              <w:pStyle w:val="EPName"/>
            </w:pPr>
            <w:r w:rsidRPr="00611CAF">
              <w:t>Europa-Parlamentet</w:t>
            </w:r>
          </w:p>
          <w:p w14:paraId="22D6C287" w14:textId="77777777" w:rsidR="00751A4A" w:rsidRPr="00611CAF" w:rsidRDefault="005F1B17" w:rsidP="005F1B17">
            <w:pPr>
              <w:pStyle w:val="EPTerm"/>
              <w:rPr>
                <w:rStyle w:val="HideTWBExt"/>
                <w:noProof w:val="0"/>
                <w:vanish w:val="0"/>
                <w:color w:val="auto"/>
              </w:rPr>
            </w:pPr>
            <w:r w:rsidRPr="00611CAF">
              <w:t>2024</w:t>
            </w:r>
            <w:r w:rsidR="00817416" w:rsidRPr="00611CAF">
              <w:t>-202</w:t>
            </w:r>
            <w:r w:rsidRPr="00611CAF">
              <w:t>9</w:t>
            </w:r>
          </w:p>
        </w:tc>
        <w:tc>
          <w:tcPr>
            <w:tcW w:w="2268" w:type="dxa"/>
            <w:shd w:val="clear" w:color="auto" w:fill="auto"/>
          </w:tcPr>
          <w:p w14:paraId="23F17A6E" w14:textId="77777777" w:rsidR="00751A4A" w:rsidRPr="00611CAF" w:rsidRDefault="00187494" w:rsidP="0010095E">
            <w:pPr>
              <w:pStyle w:val="EPLogo"/>
            </w:pPr>
            <w:r w:rsidRPr="00611CAF">
              <w:rPr>
                <w:noProof/>
                <w:lang w:eastAsia="ja-JP"/>
              </w:rPr>
              <w:drawing>
                <wp:inline distT="0" distB="0" distL="0" distR="0" wp14:anchorId="321D7B67" wp14:editId="3013DC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1AA2B" w14:textId="77777777" w:rsidR="00D058B8" w:rsidRPr="00611CAF" w:rsidRDefault="00D058B8" w:rsidP="004C5D52">
      <w:pPr>
        <w:pStyle w:val="LineTop"/>
      </w:pPr>
    </w:p>
    <w:p w14:paraId="196A0EAA" w14:textId="77777777" w:rsidR="00680577" w:rsidRPr="00611CAF" w:rsidRDefault="006D4520" w:rsidP="00680577">
      <w:pPr>
        <w:pStyle w:val="EPBodyTA1"/>
      </w:pPr>
      <w:r w:rsidRPr="00611CAF">
        <w:t>VEDTAGNE TEKSTER</w:t>
      </w:r>
    </w:p>
    <w:p w14:paraId="14C14E7A" w14:textId="77777777" w:rsidR="00D058B8" w:rsidRPr="00611CAF" w:rsidRDefault="00D058B8" w:rsidP="00D058B8">
      <w:pPr>
        <w:pStyle w:val="LineBottom"/>
      </w:pPr>
    </w:p>
    <w:p w14:paraId="56EC5312" w14:textId="2B2DAB0A" w:rsidR="006D4520" w:rsidRPr="007128A0" w:rsidRDefault="006D4520" w:rsidP="006D4520">
      <w:pPr>
        <w:pStyle w:val="ATHeading1"/>
      </w:pPr>
      <w:bookmarkStart w:id="0" w:name="TANumber"/>
      <w:r w:rsidRPr="007128A0">
        <w:t>P10_TA(2025)0</w:t>
      </w:r>
      <w:r w:rsidR="00D368C5">
        <w:t>291</w:t>
      </w:r>
      <w:bookmarkEnd w:id="0"/>
    </w:p>
    <w:p w14:paraId="433BAE95" w14:textId="77777777" w:rsidR="006D4520" w:rsidRPr="007128A0" w:rsidRDefault="006D4520" w:rsidP="006D4520">
      <w:pPr>
        <w:pStyle w:val="ATHeading2"/>
      </w:pPr>
      <w:bookmarkStart w:id="1" w:name="title"/>
      <w:r w:rsidRPr="007128A0">
        <w:t>Genetisk modificeret MON 87708-sojabønne</w:t>
      </w:r>
      <w:bookmarkEnd w:id="1"/>
    </w:p>
    <w:p w14:paraId="63A56A2F" w14:textId="77777777" w:rsidR="006D4520" w:rsidRPr="00611CAF" w:rsidRDefault="006D4520" w:rsidP="006D4520">
      <w:pPr>
        <w:rPr>
          <w:i/>
          <w:vanish/>
        </w:rPr>
      </w:pPr>
      <w:r w:rsidRPr="00611CAF">
        <w:rPr>
          <w:i/>
        </w:rPr>
        <w:fldChar w:fldCharType="begin"/>
      </w:r>
      <w:r w:rsidRPr="00611CAF">
        <w:rPr>
          <w:i/>
        </w:rPr>
        <w:instrText xml:space="preserve"> TC"(</w:instrText>
      </w:r>
      <w:bookmarkStart w:id="2" w:name="DocNumber"/>
      <w:r w:rsidRPr="00611CAF">
        <w:rPr>
          <w:i/>
        </w:rPr>
        <w:instrText>B10-0493/2025</w:instrText>
      </w:r>
      <w:bookmarkEnd w:id="2"/>
      <w:r w:rsidRPr="00611CAF">
        <w:rPr>
          <w:i/>
        </w:rPr>
        <w:instrText xml:space="preserve">)"\l3 \n&gt; \* MERGEFORMAT </w:instrText>
      </w:r>
      <w:r w:rsidRPr="00611CAF">
        <w:rPr>
          <w:i/>
        </w:rPr>
        <w:fldChar w:fldCharType="end"/>
      </w:r>
    </w:p>
    <w:p w14:paraId="5BE78808" w14:textId="77777777" w:rsidR="006D4520" w:rsidRPr="00611CAF" w:rsidRDefault="006D4520" w:rsidP="006D4520">
      <w:pPr>
        <w:rPr>
          <w:vanish/>
        </w:rPr>
      </w:pPr>
      <w:bookmarkStart w:id="3" w:name="PE"/>
      <w:r w:rsidRPr="00611CAF">
        <w:rPr>
          <w:vanish/>
        </w:rPr>
        <w:t>PE778.110</w:t>
      </w:r>
      <w:bookmarkEnd w:id="3"/>
    </w:p>
    <w:p w14:paraId="5C5A7784" w14:textId="4E1A31E8" w:rsidR="006D4520" w:rsidRPr="007128A0" w:rsidRDefault="006D4520" w:rsidP="006D4520">
      <w:pPr>
        <w:pStyle w:val="ATHeading3"/>
      </w:pPr>
      <w:bookmarkStart w:id="4" w:name="Sujet"/>
      <w:r w:rsidRPr="007128A0">
        <w:t xml:space="preserve">Europa-Parlamentets beslutning af </w:t>
      </w:r>
      <w:r w:rsidR="003A0924" w:rsidRPr="007128A0">
        <w:t>25</w:t>
      </w:r>
      <w:r w:rsidRPr="007128A0">
        <w:t>. november 2025 om Kommissionens gennemførelsesafgørelse om forlængelse af tilladelsen til markedsføring af produkter, der indeholder, består af eller er fremstillet af genetisk modificeret MON 87708-sojabønne, i henhold til Europa-Parlamentets og Rådets forordning (EF) nr. 1829/2003</w:t>
      </w:r>
      <w:bookmarkEnd w:id="4"/>
      <w:r w:rsidRPr="007128A0">
        <w:t xml:space="preserve"> </w:t>
      </w:r>
      <w:bookmarkStart w:id="5" w:name="References"/>
      <w:r w:rsidRPr="007128A0">
        <w:t>(D109633/01 – 2025/2896(RSP))</w:t>
      </w:r>
      <w:bookmarkEnd w:id="5"/>
    </w:p>
    <w:p w14:paraId="15A7F047" w14:textId="77777777" w:rsidR="006D4520" w:rsidRPr="00611CAF" w:rsidRDefault="006D4520" w:rsidP="006D4520"/>
    <w:p w14:paraId="57057619" w14:textId="77777777" w:rsidR="0003235A" w:rsidRPr="00611CAF" w:rsidRDefault="0003235A" w:rsidP="0003235A">
      <w:pPr>
        <w:pStyle w:val="NormalBold12a"/>
        <w:rPr>
          <w:b w:val="0"/>
          <w:bCs/>
        </w:rPr>
      </w:pPr>
      <w:bookmarkStart w:id="6" w:name="TextBodyBegin"/>
      <w:bookmarkEnd w:id="6"/>
      <w:r w:rsidRPr="00611CAF">
        <w:rPr>
          <w:b w:val="0"/>
          <w:i/>
        </w:rPr>
        <w:t>Europa-Parlamentet</w:t>
      </w:r>
      <w:r w:rsidRPr="00611CAF">
        <w:rPr>
          <w:b w:val="0"/>
        </w:rPr>
        <w:t>,</w:t>
      </w:r>
    </w:p>
    <w:p w14:paraId="0790774D" w14:textId="77777777" w:rsidR="0003235A" w:rsidRPr="00611CAF" w:rsidRDefault="0003235A" w:rsidP="0003235A">
      <w:pPr>
        <w:pStyle w:val="NormalHanging12a"/>
      </w:pPr>
      <w:r w:rsidRPr="00611CAF">
        <w:t>–</w:t>
      </w:r>
      <w:r w:rsidRPr="00611CAF">
        <w:tab/>
        <w:t>der henviser til udkast til Kommissionens gennemførelsesafgørelse om forlængelse af tilladelsen til markedsføring af produkter, der indeholder, består af eller er fremstillet af genetisk modificeret MON 87708-sojabønne, i henhold til Europa-Parlamentets og Rådets forordning (EF) nr. 1829/2003 (D109633/01),</w:t>
      </w:r>
    </w:p>
    <w:p w14:paraId="4C3D6CC2" w14:textId="77777777" w:rsidR="0003235A" w:rsidRPr="00611CAF" w:rsidRDefault="0003235A" w:rsidP="0003235A">
      <w:pPr>
        <w:pStyle w:val="NormalHanging12a"/>
      </w:pPr>
      <w:r w:rsidRPr="00611CAF">
        <w:t>–</w:t>
      </w:r>
      <w:r w:rsidRPr="00611CAF">
        <w:tab/>
        <w:t>der henviser til Europa-Parlamentets og Rådets forordning (EF) nr. 1829/2003 af 22. september 2003 om genetisk modificerede fødevarer og foderstoffer</w:t>
      </w:r>
      <w:r w:rsidRPr="00611CAF">
        <w:rPr>
          <w:vertAlign w:val="superscript"/>
        </w:rPr>
        <w:footnoteReference w:id="1"/>
      </w:r>
      <w:r w:rsidRPr="00611CAF">
        <w:t>, særlig artikel 11, stk. 3, og artikel 23, stk. 3,</w:t>
      </w:r>
    </w:p>
    <w:p w14:paraId="6B82399F" w14:textId="4022F398" w:rsidR="0003235A" w:rsidRPr="00611CAF" w:rsidRDefault="0003235A" w:rsidP="0003235A">
      <w:pPr>
        <w:pStyle w:val="NormalHanging12a"/>
      </w:pPr>
      <w:r w:rsidRPr="00611CAF">
        <w:t>–</w:t>
      </w:r>
      <w:r w:rsidRPr="00611CAF">
        <w:tab/>
        <w:t>der henviser til afstemningen i Den Stående Komité for Planter, Dyr, Fødevarer og Foder, jf. artikel 35 i forordning (EF) nr. 1829/2003, den 15. september 2025,</w:t>
      </w:r>
      <w:r w:rsidR="003A0924" w:rsidRPr="00611CAF">
        <w:t xml:space="preserve"> som ikke mundede ud i en udtalelse, og til afstemningen i appeludvalget den 21. oktober 2025, som heller ikke mundede ud i en udtalelse,</w:t>
      </w:r>
    </w:p>
    <w:p w14:paraId="7DE97F38" w14:textId="1B38231C" w:rsidR="0003235A" w:rsidRPr="00611CAF" w:rsidRDefault="0003235A" w:rsidP="0003235A">
      <w:pPr>
        <w:pStyle w:val="NormalHanging12a"/>
      </w:pPr>
      <w:r w:rsidRPr="00611CAF">
        <w:t>–</w:t>
      </w:r>
      <w:r w:rsidRPr="00611CAF">
        <w:tab/>
        <w:t>der henviser til artikel 11 i Europa-Parlamentets og Rådets forordning (EU) nr.</w:t>
      </w:r>
      <w:r w:rsidR="003A0924" w:rsidRPr="00611CAF">
        <w:t> </w:t>
      </w:r>
      <w:r w:rsidRPr="00611CAF">
        <w:t>182/2011 af 16. februar 2011 om de generelle regler og principper for, hvordan medlemsstaterne skal kontrollere Kommissionens udøvelse af gennemførelsesbeføjelser</w:t>
      </w:r>
      <w:bookmarkStart w:id="7" w:name="_Hlk210662860"/>
      <w:r w:rsidRPr="00611CAF">
        <w:rPr>
          <w:vertAlign w:val="superscript"/>
        </w:rPr>
        <w:footnoteReference w:id="2"/>
      </w:r>
      <w:bookmarkEnd w:id="7"/>
      <w:r w:rsidRPr="00611CAF">
        <w:t>,</w:t>
      </w:r>
    </w:p>
    <w:p w14:paraId="01C28E4B" w14:textId="77777777" w:rsidR="0003235A" w:rsidRPr="00611CAF" w:rsidRDefault="0003235A" w:rsidP="0003235A">
      <w:pPr>
        <w:pStyle w:val="NormalHanging12a"/>
      </w:pPr>
      <w:bookmarkStart w:id="9" w:name="_Hlk210663128"/>
      <w:r w:rsidRPr="00611CAF">
        <w:t>–</w:t>
      </w:r>
      <w:r w:rsidRPr="00611CAF">
        <w:tab/>
        <w:t xml:space="preserve">der henviser til den udtalelse, der blev vedtaget af Den Europæiske Fødevaresikkerhedsautoritet (EFSA) den 26. marts 2025 og offentliggjort den 13. maj </w:t>
      </w:r>
      <w:r w:rsidRPr="00611CAF">
        <w:lastRenderedPageBreak/>
        <w:t>2025</w:t>
      </w:r>
      <w:r w:rsidRPr="00611CAF">
        <w:rPr>
          <w:vertAlign w:val="superscript"/>
        </w:rPr>
        <w:footnoteReference w:id="3"/>
      </w:r>
      <w:r w:rsidRPr="00611CAF">
        <w:t>,</w:t>
      </w:r>
      <w:bookmarkEnd w:id="9"/>
    </w:p>
    <w:p w14:paraId="1FD98BF8" w14:textId="77777777" w:rsidR="0003235A" w:rsidRPr="00611CAF" w:rsidRDefault="0003235A" w:rsidP="0003235A">
      <w:pPr>
        <w:pStyle w:val="NormalHanging12a"/>
      </w:pPr>
      <w:r w:rsidRPr="00611CAF">
        <w:t>–</w:t>
      </w:r>
      <w:r w:rsidRPr="00611CAF">
        <w:tab/>
        <w:t>der henviser til sine tidligere beslutninger, hvori det gør indsigelse mod tilladelsen af genetisk modificerede organismer ("GMO'er")</w:t>
      </w:r>
      <w:r w:rsidRPr="00611CAF">
        <w:rPr>
          <w:vertAlign w:val="superscript"/>
        </w:rPr>
        <w:footnoteReference w:id="4"/>
      </w:r>
      <w:r w:rsidRPr="00611CAF">
        <w:t>,</w:t>
      </w:r>
    </w:p>
    <w:p w14:paraId="77DB6FD3" w14:textId="77777777" w:rsidR="0003235A" w:rsidRPr="00611CAF" w:rsidRDefault="0003235A" w:rsidP="0003235A">
      <w:pPr>
        <w:pStyle w:val="NormalHanging12a"/>
      </w:pPr>
      <w:r w:rsidRPr="00611CAF">
        <w:lastRenderedPageBreak/>
        <w:t>–</w:t>
      </w:r>
      <w:r w:rsidRPr="00611CAF">
        <w:tab/>
        <w:t>der henviser til forretningsordenens artikel 115, stk. 2 og 3,</w:t>
      </w:r>
    </w:p>
    <w:p w14:paraId="385DF47A" w14:textId="77777777" w:rsidR="0003235A" w:rsidRPr="00611CAF" w:rsidRDefault="0003235A" w:rsidP="0003235A">
      <w:pPr>
        <w:pStyle w:val="NormalHanging12a"/>
      </w:pPr>
      <w:r w:rsidRPr="00611CAF">
        <w:t>–</w:t>
      </w:r>
      <w:r w:rsidRPr="00611CAF">
        <w:tab/>
        <w:t>der henviser til forslag til beslutning fra Udvalget om Miljø, Klima og Fødevaresikkerhed,</w:t>
      </w:r>
    </w:p>
    <w:p w14:paraId="0778CBDC" w14:textId="77777777" w:rsidR="0003235A" w:rsidRPr="00611CAF" w:rsidRDefault="0003235A" w:rsidP="0003235A">
      <w:pPr>
        <w:pStyle w:val="NormalHanging12a"/>
      </w:pPr>
      <w:r w:rsidRPr="00611CAF">
        <w:t>A.</w:t>
      </w:r>
      <w:r w:rsidRPr="00611CAF">
        <w:tab/>
        <w:t>der henviser til, at det ved Kommissionens gennemførelsesafgørelse (EU) 2015/700 af 24. april 2015</w:t>
      </w:r>
      <w:r w:rsidRPr="00611CAF">
        <w:rPr>
          <w:vertAlign w:val="superscript"/>
        </w:rPr>
        <w:footnoteReference w:id="5"/>
      </w:r>
      <w:r w:rsidRPr="00611CAF">
        <w:t xml:space="preserve"> blev tilladt at markedsføre produkter, der indeholder, består af eller er fremstillet af genetisk modificeret MON 87708-sojabønne ("GM-sojabønne");</w:t>
      </w:r>
    </w:p>
    <w:p w14:paraId="40315ABD" w14:textId="77777777" w:rsidR="0003235A" w:rsidRPr="00611CAF" w:rsidRDefault="0003235A" w:rsidP="0003235A">
      <w:pPr>
        <w:pStyle w:val="NormalHanging12a"/>
      </w:pPr>
      <w:r w:rsidRPr="00611CAF">
        <w:t>B.</w:t>
      </w:r>
      <w:r w:rsidRPr="00611CAF">
        <w:tab/>
        <w:t xml:space="preserve">der henviser til, at Bayer </w:t>
      </w:r>
      <w:proofErr w:type="spellStart"/>
      <w:r w:rsidRPr="00611CAF">
        <w:t>Agriculture</w:t>
      </w:r>
      <w:proofErr w:type="spellEnd"/>
      <w:r w:rsidRPr="00611CAF">
        <w:t xml:space="preserve"> BV, med hjemsted i Belgien, den 8. marts 2024 – på vegne af Bayer </w:t>
      </w:r>
      <w:proofErr w:type="spellStart"/>
      <w:r w:rsidRPr="00611CAF">
        <w:t>CropScience</w:t>
      </w:r>
      <w:proofErr w:type="spellEnd"/>
      <w:r w:rsidRPr="00611CAF">
        <w:t xml:space="preserve"> LP med hjemsted i USA – indgav en ansøgning til Kommissionen om forlængelse af ovennævnte tilladelse; der henviser til, at anvendelsesområdet for denne tilladelse også omfattede markedsføring af andre produkter end fødevarer og foderstoffer, der indeholder eller består af GM-sojabønnen, til samme anvendelsesformål som enhver anden sojabønne med undtagelse af dyrkning;</w:t>
      </w:r>
    </w:p>
    <w:p w14:paraId="4072D7C2" w14:textId="77777777" w:rsidR="0003235A" w:rsidRPr="00611CAF" w:rsidRDefault="0003235A" w:rsidP="0003235A">
      <w:pPr>
        <w:pStyle w:val="NormalHanging12a"/>
      </w:pPr>
      <w:r w:rsidRPr="00611CAF">
        <w:t>C.</w:t>
      </w:r>
      <w:r w:rsidRPr="00611CAF">
        <w:tab/>
        <w:t>der henviser til, at EFSA den 26. marts 2025 afgav en positiv udtalelse, hvori den konkluderede, at ansøgningen om forlængelse ikke indeholdt dokumentation for nye farer, ændret eksponering eller videnskabelige usikkerheder, der kunne ændre konklusionerne i dens oprindelige risikovurdering fra 2013;</w:t>
      </w:r>
    </w:p>
    <w:p w14:paraId="10CBF1D0" w14:textId="77777777" w:rsidR="0003235A" w:rsidRPr="00611CAF" w:rsidRDefault="0003235A" w:rsidP="0003235A">
      <w:pPr>
        <w:pStyle w:val="NormalHanging12a"/>
      </w:pPr>
      <w:r w:rsidRPr="00611CAF">
        <w:t>D.</w:t>
      </w:r>
      <w:r w:rsidRPr="00611CAF">
        <w:tab/>
        <w:t xml:space="preserve">der henviser til, at </w:t>
      </w:r>
      <w:proofErr w:type="spellStart"/>
      <w:r w:rsidRPr="00611CAF">
        <w:t>EFSA's</w:t>
      </w:r>
      <w:proofErr w:type="spellEnd"/>
      <w:r w:rsidRPr="00611CAF">
        <w:t xml:space="preserve"> udtalelse ikke i tilstrækkelig grad tog stilling til kumulative og kombinatoriske virkninger, indirekte sundhedsrisici eller langsigtede socioøkonomiske konsekvenser af intensiv brug af </w:t>
      </w:r>
      <w:proofErr w:type="spellStart"/>
      <w:r w:rsidRPr="00611CAF">
        <w:t>dicamba</w:t>
      </w:r>
      <w:proofErr w:type="spellEnd"/>
      <w:r w:rsidRPr="00611CAF">
        <w:t>;</w:t>
      </w:r>
    </w:p>
    <w:p w14:paraId="7B088536" w14:textId="77777777" w:rsidR="0003235A" w:rsidRPr="00611CAF" w:rsidRDefault="0003235A" w:rsidP="0003235A">
      <w:pPr>
        <w:pStyle w:val="NormalHanging12a"/>
      </w:pPr>
      <w:r w:rsidRPr="00611CAF">
        <w:t>E.</w:t>
      </w:r>
      <w:r w:rsidRPr="00611CAF">
        <w:tab/>
        <w:t xml:space="preserve">der henviser til, at den genetisk modificerede sojabønne er tolerant over for </w:t>
      </w:r>
      <w:proofErr w:type="spellStart"/>
      <w:r w:rsidRPr="00611CAF">
        <w:t>dicamba</w:t>
      </w:r>
      <w:proofErr w:type="spellEnd"/>
      <w:r w:rsidRPr="00611CAF">
        <w:t xml:space="preserve">, </w:t>
      </w:r>
      <w:r w:rsidRPr="00611CAF">
        <w:lastRenderedPageBreak/>
        <w:t>som er et herbicid, der er forbundet med alvorlige risici for biodiversiteten, jordbundens og vandets sundhed samt med afdrift væk fra marken, der forårsager skader på nærliggende afgrøder og økosystemer;</w:t>
      </w:r>
    </w:p>
    <w:p w14:paraId="10EB61DB" w14:textId="77777777" w:rsidR="0003235A" w:rsidRPr="00611CAF" w:rsidRDefault="0003235A" w:rsidP="0003235A">
      <w:pPr>
        <w:pStyle w:val="NormalHanging12a"/>
      </w:pPr>
      <w:r w:rsidRPr="00611CAF">
        <w:t>F.</w:t>
      </w:r>
      <w:r w:rsidRPr="00611CAF">
        <w:tab/>
        <w:t xml:space="preserve">der henviser til, at udbredelsen af </w:t>
      </w:r>
      <w:proofErr w:type="spellStart"/>
      <w:r w:rsidRPr="00611CAF">
        <w:t>dicambaresistente</w:t>
      </w:r>
      <w:proofErr w:type="spellEnd"/>
      <w:r w:rsidRPr="00611CAF">
        <w:t xml:space="preserve"> og genetisk modificerede sojabønner i eksportlandene er blevet kædet sammen med omfattende afdrift af herbicider, konflikter imellem landbrugere og indvirkning på økosystemet, hvilket giver anledning til socioøkonomiske og miljømæssige bekymringer;</w:t>
      </w:r>
    </w:p>
    <w:p w14:paraId="3115BE24" w14:textId="77777777" w:rsidR="0003235A" w:rsidRPr="00611CAF" w:rsidRDefault="0003235A" w:rsidP="0003235A">
      <w:pPr>
        <w:pStyle w:val="NormalHanging12a"/>
      </w:pPr>
      <w:r w:rsidRPr="00611CAF">
        <w:t>G.</w:t>
      </w:r>
      <w:r w:rsidRPr="00611CAF">
        <w:tab/>
        <w:t xml:space="preserve">der henviser til, at den overvågning af miljømæssige virkninger, der er fastsat i udkastet til Kommissionens gennemførelsesafgørelse, bygger på generel overvågning og ikke omfatter specifikke undersøgelser af </w:t>
      </w:r>
      <w:proofErr w:type="spellStart"/>
      <w:r w:rsidRPr="00611CAF">
        <w:t>bestøvere</w:t>
      </w:r>
      <w:proofErr w:type="spellEnd"/>
      <w:r w:rsidRPr="00611CAF">
        <w:t>, jordorganismer og vandlevende arter;</w:t>
      </w:r>
    </w:p>
    <w:p w14:paraId="2A2C2BAB" w14:textId="77777777" w:rsidR="0003235A" w:rsidRPr="00611CAF" w:rsidRDefault="0003235A" w:rsidP="0003235A">
      <w:pPr>
        <w:pStyle w:val="NormalHanging12a"/>
      </w:pPr>
      <w:r w:rsidRPr="00611CAF">
        <w:t>H.</w:t>
      </w:r>
      <w:r w:rsidRPr="00611CAF">
        <w:tab/>
        <w:t>der henviser til, at forsigtighedsprincippet, som er nedfældet i artikel 191 i traktaten om Den Europæiske Unions funktionsmåde, bør finde anvendelse i tilfælde, hvor der hersker videnskabelig usikkerhed, og hvor der foreligger dokumentation for risici ved brug af komplementære herbicider;</w:t>
      </w:r>
    </w:p>
    <w:p w14:paraId="7B94089F" w14:textId="77777777" w:rsidR="0003235A" w:rsidRPr="00611CAF" w:rsidRDefault="0003235A" w:rsidP="0003235A">
      <w:pPr>
        <w:pStyle w:val="NormalHanging12a"/>
      </w:pPr>
      <w:r w:rsidRPr="00611CAF">
        <w:t>I.</w:t>
      </w:r>
      <w:r w:rsidRPr="00611CAF">
        <w:tab/>
        <w:t>der henviser til, at forordning (EF) nr. 1829/2003 indeholder krav om, at genetisk modificerede fødevarer og foderstoffer ikke må have negative virkninger for menneskers eller dyrs sundhed eller for miljøet;</w:t>
      </w:r>
    </w:p>
    <w:p w14:paraId="791BC33B" w14:textId="77777777" w:rsidR="0003235A" w:rsidRPr="00611CAF" w:rsidRDefault="0003235A" w:rsidP="0003235A">
      <w:pPr>
        <w:pStyle w:val="NormalHanging12a"/>
      </w:pPr>
      <w:r w:rsidRPr="00611CAF">
        <w:t>J.</w:t>
      </w:r>
      <w:r w:rsidRPr="00611CAF">
        <w:tab/>
        <w:t>der henviser til, at One Health-tilgangen kræver, at der tages hensyn til den indbyrdes vekselvirkning af tilladelser af GM-afgrøder på menneskers, dyrs, planters og miljøets sundhed, hvilket ikke i tilstrækkelig grad er afspejlet i den nuværende vurdering;</w:t>
      </w:r>
    </w:p>
    <w:p w14:paraId="391D97DC" w14:textId="77777777" w:rsidR="0003235A" w:rsidRPr="00611CAF" w:rsidRDefault="0003235A" w:rsidP="0003235A">
      <w:pPr>
        <w:pStyle w:val="NormalHanging12a"/>
      </w:pPr>
      <w:r w:rsidRPr="00611CAF">
        <w:t>K.</w:t>
      </w:r>
      <w:r w:rsidRPr="00611CAF">
        <w:tab/>
        <w:t xml:space="preserve">der henviser til, at Parlamentet gentagne gange har gjort indsigelse mod tilladelser eller forlængelse af tilladelser for GMO'er i tilfælde, hvor der ikke er opnået kvalificeret flertal blandt medlemsstaterne i </w:t>
      </w:r>
      <w:bookmarkStart w:id="10" w:name="_Hlk210672442"/>
      <w:r w:rsidRPr="00611CAF">
        <w:t>Den Stående Komité for Planter, Dyr, Fødevarer og Foder eller appeludvalget</w:t>
      </w:r>
      <w:bookmarkEnd w:id="10"/>
      <w:r w:rsidRPr="00611CAF">
        <w:t>, hvilket understreger det vedvarende demokratiske underskud i tilladelsesproceduren for GMO'er;</w:t>
      </w:r>
    </w:p>
    <w:p w14:paraId="3F579C47" w14:textId="53A7B5E6" w:rsidR="0003235A" w:rsidRPr="00611CAF" w:rsidRDefault="0003235A" w:rsidP="0003235A">
      <w:pPr>
        <w:pStyle w:val="NormalHanging12a"/>
      </w:pPr>
      <w:r w:rsidRPr="00611CAF">
        <w:t>1.</w:t>
      </w:r>
      <w:r w:rsidRPr="00611CAF">
        <w:tab/>
        <w:t>mener, at udkastet til Kommissionens gennemførelsesafgørelse indebærer en overskridelse af de gennemførelsesbeføjelser, der er fastsat i forordning (EF) nr. 1829/2003;</w:t>
      </w:r>
    </w:p>
    <w:p w14:paraId="1F1322F7" w14:textId="63FA1264" w:rsidR="0003235A" w:rsidRPr="00611CAF" w:rsidRDefault="0003235A" w:rsidP="0003235A">
      <w:pPr>
        <w:pStyle w:val="NormalHanging12a"/>
      </w:pPr>
      <w:r w:rsidRPr="00611CAF">
        <w:t>2.</w:t>
      </w:r>
      <w:r w:rsidRPr="00611CAF">
        <w:tab/>
        <w:t>mener, at udkastet til Kommissionens gennemførelsesafgørelse ikke er i overensstemmelse med EU-retten, idet det ikke er foreneligt med målet for forordning (EF) nr. 1829/2003, som i overensstemmelse med de generelle principper, der er fastlagt i Europa-Parlamentets og Rådets forordning (EF) nr. 178/2002</w:t>
      </w:r>
      <w:r w:rsidRPr="00611CAF">
        <w:footnoteReference w:id="6"/>
      </w:r>
      <w:r w:rsidRPr="00611CAF">
        <w:t>, er at skabe et grundlag for at sikre et højt niveau for beskyttelse af menneskers liv og sundhed, af dyrs sundhed og velfærd, af miljøet samt af forbrugernes interesser i relation til genmodificerede fødevarer og -foderstoffer, samtidig med at det sikres, at det indre marked fungerer tilfredsstillende, og at forsigtighedsprincippet respekteres;</w:t>
      </w:r>
    </w:p>
    <w:p w14:paraId="3C312909" w14:textId="77777777" w:rsidR="0003235A" w:rsidRPr="00611CAF" w:rsidRDefault="0003235A" w:rsidP="0003235A">
      <w:pPr>
        <w:pStyle w:val="NormalHanging12a"/>
      </w:pPr>
      <w:r w:rsidRPr="00611CAF">
        <w:t>3.</w:t>
      </w:r>
      <w:r w:rsidRPr="00611CAF">
        <w:tab/>
        <w:t>anmoder Kommissionen om at trække sit udkast til gennemførelsesafgørelse tilbage;</w:t>
      </w:r>
    </w:p>
    <w:p w14:paraId="450006CD" w14:textId="77777777" w:rsidR="0003235A" w:rsidRPr="00611CAF" w:rsidRDefault="0003235A" w:rsidP="0003235A">
      <w:pPr>
        <w:pStyle w:val="NormalHanging12a"/>
      </w:pPr>
      <w:r w:rsidRPr="00611CAF">
        <w:lastRenderedPageBreak/>
        <w:t>4.</w:t>
      </w:r>
      <w:r w:rsidRPr="00611CAF">
        <w:tab/>
        <w:t xml:space="preserve">opfordrer Kommissionen til ikke at forlænge tilladelsen af GM-sojabønnen på grund af de risici, der er forbundet med anvendelse af </w:t>
      </w:r>
      <w:proofErr w:type="spellStart"/>
      <w:r w:rsidRPr="00611CAF">
        <w:t>dicamba</w:t>
      </w:r>
      <w:proofErr w:type="spellEnd"/>
      <w:r w:rsidRPr="00611CAF">
        <w:t>, indvirkning på miljøet og utilstrækkelig dokumentation for sikkerheden på længere sigt i overensstemmelse med One Health-tilgangen;</w:t>
      </w:r>
      <w:bookmarkStart w:id="11" w:name="_Hlk210900300"/>
    </w:p>
    <w:p w14:paraId="2D11B9B8" w14:textId="77777777" w:rsidR="0003235A" w:rsidRPr="00611CAF" w:rsidRDefault="0003235A" w:rsidP="0003235A">
      <w:pPr>
        <w:pStyle w:val="NormalHanging12a"/>
      </w:pPr>
      <w:r w:rsidRPr="00611CAF">
        <w:t xml:space="preserve">5. </w:t>
      </w:r>
      <w:r w:rsidRPr="00611CAF">
        <w:tab/>
        <w:t>opfordrer Kommissionen til snarest muligt at fremsætte et lovgivningsforslag om reform af beslutningsproceduren for GMO'er med henblik på at reagere på Parlamentets konsekvente indsigelser og den manglende opbakning fra et kvalificeret flertal blandt medlemsstaterne</w:t>
      </w:r>
      <w:bookmarkEnd w:id="11"/>
      <w:r w:rsidRPr="00611CAF">
        <w:t>;</w:t>
      </w:r>
      <w:bookmarkStart w:id="12" w:name="_Hlk210900241"/>
    </w:p>
    <w:p w14:paraId="1C0E9A1E" w14:textId="77777777" w:rsidR="0003235A" w:rsidRPr="00611CAF" w:rsidRDefault="0003235A" w:rsidP="0003235A">
      <w:pPr>
        <w:pStyle w:val="NormalHanging12a"/>
      </w:pPr>
      <w:r w:rsidRPr="00611CAF">
        <w:t>6.</w:t>
      </w:r>
      <w:r w:rsidRPr="00611CAF">
        <w:tab/>
        <w:t>opfordrer indtrængende Kommissionen til at tilgodese Unionens forpligtelser i henhold til internationale aftaler, såsom klimaaftalen fra Paris, De Forenede Nationers biodiversitetskonvention og FN's verdensmål for bæredygtig udvikling;</w:t>
      </w:r>
    </w:p>
    <w:bookmarkEnd w:id="12"/>
    <w:p w14:paraId="769B52D4" w14:textId="54A9FD01" w:rsidR="00E365E1" w:rsidRPr="00611CAF" w:rsidRDefault="0003235A" w:rsidP="002E51CB">
      <w:pPr>
        <w:ind w:left="567" w:hanging="567"/>
      </w:pPr>
      <w:r w:rsidRPr="00611CAF">
        <w:t>7.</w:t>
      </w:r>
      <w:r w:rsidRPr="00611CAF">
        <w:tab/>
        <w:t>pålægger sin formand at sende denne beslutning til Rådet og Kommissionen samt til medlemsstaternes regeringer og parlamenter.</w:t>
      </w:r>
    </w:p>
    <w:sectPr w:rsidR="00E365E1" w:rsidRPr="00611CAF" w:rsidSect="00D028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CEDB2" w14:textId="77777777" w:rsidR="006D4520" w:rsidRPr="00D02881" w:rsidRDefault="006D4520">
      <w:r w:rsidRPr="00D02881">
        <w:separator/>
      </w:r>
    </w:p>
  </w:endnote>
  <w:endnote w:type="continuationSeparator" w:id="0">
    <w:p w14:paraId="331C5A89" w14:textId="77777777" w:rsidR="006D4520" w:rsidRPr="00D02881" w:rsidRDefault="006D4520">
      <w:r w:rsidRPr="00D028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FF2E1" w14:textId="77777777" w:rsidR="00064002" w:rsidRPr="00D028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7BBE" w14:textId="77777777" w:rsidR="00064002" w:rsidRPr="00D028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8058" w14:textId="77777777" w:rsidR="00064002" w:rsidRPr="00D028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A910A" w14:textId="77777777" w:rsidR="006D4520" w:rsidRPr="00D02881" w:rsidRDefault="006D4520">
      <w:r w:rsidRPr="00D02881">
        <w:separator/>
      </w:r>
    </w:p>
  </w:footnote>
  <w:footnote w:type="continuationSeparator" w:id="0">
    <w:p w14:paraId="34EE1B6C" w14:textId="77777777" w:rsidR="006D4520" w:rsidRPr="00D02881" w:rsidRDefault="006D4520">
      <w:r w:rsidRPr="00D02881">
        <w:continuationSeparator/>
      </w:r>
    </w:p>
  </w:footnote>
  <w:footnote w:id="1">
    <w:p w14:paraId="3578EB52" w14:textId="4C3A2D0A" w:rsidR="0003235A" w:rsidRPr="00D02881" w:rsidRDefault="0003235A" w:rsidP="00D02881">
      <w:pPr>
        <w:pStyle w:val="FootnoteText"/>
        <w:ind w:left="567" w:hanging="567"/>
        <w:rPr>
          <w:sz w:val="24"/>
          <w:szCs w:val="22"/>
          <w:lang w:val="da-DK"/>
        </w:rPr>
      </w:pPr>
      <w:r w:rsidRPr="00D02881">
        <w:rPr>
          <w:sz w:val="24"/>
          <w:szCs w:val="22"/>
          <w:vertAlign w:val="superscript"/>
          <w:lang w:val="da-DK"/>
        </w:rPr>
        <w:footnoteRef/>
      </w:r>
      <w:r w:rsidR="00D02881" w:rsidRPr="00D02881">
        <w:rPr>
          <w:sz w:val="24"/>
          <w:lang w:val="da-DK"/>
        </w:rPr>
        <w:t xml:space="preserve"> </w:t>
      </w:r>
      <w:r w:rsidR="00D02881" w:rsidRPr="00D02881">
        <w:rPr>
          <w:sz w:val="24"/>
          <w:lang w:val="da-DK"/>
        </w:rPr>
        <w:tab/>
      </w:r>
      <w:r w:rsidRPr="00D02881">
        <w:rPr>
          <w:sz w:val="24"/>
          <w:lang w:val="da-DK"/>
        </w:rPr>
        <w:t>EUT L 268 af 18.10.2003, s. 1, ELI: </w:t>
      </w:r>
      <w:hyperlink r:id="rId1" w:tgtFrame="Gives access to this document through its ELI URI." w:history="1">
        <w:r w:rsidRPr="00D02881">
          <w:rPr>
            <w:rStyle w:val="Hyperlink"/>
            <w:sz w:val="24"/>
            <w:lang w:val="da-DK"/>
          </w:rPr>
          <w:t>http://data.europa.eu/eli/reg/2003/18/oj</w:t>
        </w:r>
      </w:hyperlink>
      <w:r w:rsidRPr="00D02881">
        <w:rPr>
          <w:sz w:val="24"/>
          <w:lang w:val="da-DK"/>
        </w:rPr>
        <w:t>.</w:t>
      </w:r>
    </w:p>
  </w:footnote>
  <w:footnote w:id="2">
    <w:p w14:paraId="7AE87789" w14:textId="0723FF80" w:rsidR="0003235A" w:rsidRPr="00D02881" w:rsidRDefault="0003235A" w:rsidP="00D02881">
      <w:pPr>
        <w:pStyle w:val="FootnoteText"/>
        <w:ind w:left="567" w:hanging="567"/>
        <w:rPr>
          <w:sz w:val="24"/>
          <w:szCs w:val="22"/>
          <w:lang w:val="da-DK"/>
        </w:rPr>
      </w:pPr>
      <w:r w:rsidRPr="00D02881">
        <w:rPr>
          <w:rStyle w:val="FootnoteReference"/>
          <w:sz w:val="24"/>
          <w:szCs w:val="22"/>
          <w:lang w:val="da-DK"/>
        </w:rPr>
        <w:footnoteRef/>
      </w:r>
      <w:bookmarkStart w:id="8" w:name="_Hlk210663104"/>
      <w:r w:rsidR="00D02881" w:rsidRPr="00D02881">
        <w:rPr>
          <w:sz w:val="24"/>
          <w:lang w:val="da-DK"/>
        </w:rPr>
        <w:t xml:space="preserve"> </w:t>
      </w:r>
      <w:r w:rsidR="00D02881" w:rsidRPr="00D02881">
        <w:rPr>
          <w:sz w:val="24"/>
          <w:lang w:val="da-DK"/>
        </w:rPr>
        <w:tab/>
      </w:r>
      <w:r w:rsidRPr="00D02881">
        <w:rPr>
          <w:sz w:val="24"/>
          <w:lang w:val="da-DK"/>
        </w:rPr>
        <w:t xml:space="preserve">EUT L 55 af 28.2.2011, s. 13, ELI: </w:t>
      </w:r>
      <w:hyperlink r:id="rId2" w:history="1">
        <w:r w:rsidRPr="00D02881">
          <w:rPr>
            <w:rStyle w:val="Hyperlink"/>
            <w:sz w:val="24"/>
            <w:lang w:val="da-DK"/>
          </w:rPr>
          <w:t>http://data.europa.eu/eli/reg/2011/182/oj</w:t>
        </w:r>
      </w:hyperlink>
      <w:r w:rsidRPr="00D02881">
        <w:rPr>
          <w:sz w:val="24"/>
          <w:lang w:val="da-DK"/>
        </w:rPr>
        <w:t>.</w:t>
      </w:r>
      <w:bookmarkEnd w:id="8"/>
    </w:p>
  </w:footnote>
  <w:footnote w:id="3">
    <w:p w14:paraId="433EBF4D" w14:textId="1E4C182C" w:rsidR="0003235A" w:rsidRPr="00D02881" w:rsidRDefault="0003235A" w:rsidP="00D02881">
      <w:pPr>
        <w:pStyle w:val="FootnoteText"/>
        <w:ind w:left="567" w:hanging="567"/>
        <w:rPr>
          <w:sz w:val="24"/>
          <w:szCs w:val="22"/>
          <w:lang w:val="da-DK"/>
        </w:rPr>
      </w:pPr>
      <w:r w:rsidRPr="00D02881">
        <w:rPr>
          <w:sz w:val="24"/>
          <w:szCs w:val="22"/>
          <w:vertAlign w:val="superscript"/>
          <w:lang w:val="da-DK"/>
        </w:rPr>
        <w:footnoteRef/>
      </w:r>
      <w:r w:rsidR="00D02881" w:rsidRPr="00D02881">
        <w:rPr>
          <w:sz w:val="24"/>
          <w:lang w:val="da-DK"/>
        </w:rPr>
        <w:t xml:space="preserve"> </w:t>
      </w:r>
      <w:r w:rsidR="00D02881" w:rsidRPr="00D02881">
        <w:rPr>
          <w:sz w:val="24"/>
          <w:lang w:val="da-DK"/>
        </w:rPr>
        <w:tab/>
      </w:r>
      <w:r w:rsidRPr="00D02881">
        <w:rPr>
          <w:sz w:val="24"/>
          <w:lang w:val="da-DK"/>
        </w:rPr>
        <w:t xml:space="preserve">Videnskabelig udtalelse fra </w:t>
      </w:r>
      <w:proofErr w:type="spellStart"/>
      <w:r w:rsidRPr="00D02881">
        <w:rPr>
          <w:sz w:val="24"/>
          <w:lang w:val="da-DK"/>
        </w:rPr>
        <w:t>EFSA's</w:t>
      </w:r>
      <w:proofErr w:type="spellEnd"/>
      <w:r w:rsidRPr="00D02881">
        <w:rPr>
          <w:sz w:val="24"/>
          <w:lang w:val="da-DK"/>
        </w:rPr>
        <w:t xml:space="preserve"> Ekspertpanel for Genetisk Modificerede Organismer om vurdering af genetisk modificeret MON 87708-sojabønne (ansøgning GMFF-2023-21237), EFSA Journal 2025;23(5):9379: https://doi.org/10.2903/j.efsa.2025.9379. </w:t>
      </w:r>
    </w:p>
  </w:footnote>
  <w:footnote w:id="4">
    <w:p w14:paraId="593DC29D" w14:textId="18AA6BD6" w:rsidR="0003235A" w:rsidRPr="00D02881" w:rsidRDefault="0003235A" w:rsidP="00D02881">
      <w:pPr>
        <w:pStyle w:val="FootnoteText"/>
        <w:ind w:left="567" w:hanging="567"/>
        <w:rPr>
          <w:color w:val="000000" w:themeColor="text1"/>
          <w:sz w:val="24"/>
          <w:szCs w:val="22"/>
          <w:vertAlign w:val="superscript"/>
          <w:lang w:val="da-DK"/>
        </w:rPr>
      </w:pPr>
      <w:r w:rsidRPr="00D02881">
        <w:rPr>
          <w:rStyle w:val="FootnoteReference"/>
          <w:sz w:val="24"/>
          <w:szCs w:val="22"/>
          <w:lang w:val="da-DK"/>
        </w:rPr>
        <w:footnoteRef/>
      </w:r>
      <w:r w:rsidR="00D02881" w:rsidRPr="00D02881">
        <w:rPr>
          <w:color w:val="000000" w:themeColor="text1"/>
          <w:sz w:val="24"/>
          <w:lang w:val="da-DK"/>
        </w:rPr>
        <w:t xml:space="preserve"> </w:t>
      </w:r>
      <w:r w:rsidR="00D02881" w:rsidRPr="00D02881">
        <w:rPr>
          <w:color w:val="000000" w:themeColor="text1"/>
          <w:sz w:val="24"/>
          <w:lang w:val="da-DK"/>
        </w:rPr>
        <w:tab/>
      </w:r>
      <w:r w:rsidRPr="00D02881">
        <w:rPr>
          <w:color w:val="000000" w:themeColor="text1"/>
          <w:sz w:val="24"/>
          <w:lang w:val="da-DK"/>
        </w:rPr>
        <w:t>Parlamentet vedtog i sin ottende valgperiode 36 beslutninger og i sin niende valgperiode 38 beslutninger, hvori det gjorde indsigelse mod tilladelsen af GMO'er. Derudover har Europa-Parlamentet i sin tiende valgperiode vedtaget følgende beslutninger:</w:t>
      </w:r>
    </w:p>
    <w:p w14:paraId="315FF27A" w14:textId="5CF7BA78"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3" w:history="1">
        <w:r w:rsidR="0003235A" w:rsidRPr="00D02881">
          <w:rPr>
            <w:rStyle w:val="Hyperlink"/>
            <w:sz w:val="24"/>
            <w:lang w:val="da-DK"/>
          </w:rPr>
          <w:t>http://data.europa.eu/eli/C/2025/1797/oj</w:t>
        </w:r>
      </w:hyperlink>
      <w:r w:rsidR="0003235A" w:rsidRPr="00D02881">
        <w:rPr>
          <w:color w:val="000000" w:themeColor="text1"/>
          <w:sz w:val="24"/>
          <w:lang w:val="da-DK"/>
        </w:rPr>
        <w:t>).</w:t>
      </w:r>
    </w:p>
    <w:p w14:paraId="48E60C4F" w14:textId="26B9839C"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4" w:history="1">
        <w:r w:rsidR="0003235A" w:rsidRPr="00D02881">
          <w:rPr>
            <w:rStyle w:val="Hyperlink"/>
            <w:sz w:val="24"/>
            <w:lang w:val="da-DK"/>
          </w:rPr>
          <w:t>http://data.europa.eu/eli/C/2025/1798/oj</w:t>
        </w:r>
      </w:hyperlink>
      <w:r w:rsidR="0003235A" w:rsidRPr="00D02881">
        <w:rPr>
          <w:color w:val="000000" w:themeColor="text1"/>
          <w:sz w:val="24"/>
          <w:lang w:val="da-DK"/>
        </w:rPr>
        <w:t>).</w:t>
      </w:r>
    </w:p>
    <w:p w14:paraId="3C73124F" w14:textId="35FAAE5F"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5" w:history="1">
        <w:r w:rsidR="0003235A" w:rsidRPr="00D02881">
          <w:rPr>
            <w:rStyle w:val="Hyperlink"/>
            <w:sz w:val="24"/>
            <w:lang w:val="da-DK"/>
          </w:rPr>
          <w:t>http://data.europa.eu/eli/C/2025/1799/oj</w:t>
        </w:r>
      </w:hyperlink>
      <w:r w:rsidR="0003235A" w:rsidRPr="00D02881">
        <w:rPr>
          <w:color w:val="000000" w:themeColor="text1"/>
          <w:sz w:val="24"/>
          <w:lang w:val="da-DK"/>
        </w:rPr>
        <w:t>).</w:t>
      </w:r>
    </w:p>
    <w:p w14:paraId="259231D9" w14:textId="6D003CEA"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6" w:history="1">
        <w:r w:rsidR="0003235A" w:rsidRPr="00D02881">
          <w:rPr>
            <w:rStyle w:val="Hyperlink"/>
            <w:sz w:val="24"/>
            <w:lang w:val="da-DK"/>
          </w:rPr>
          <w:t>http://data.europa.eu/eli/C/2025/1800/oj</w:t>
        </w:r>
      </w:hyperlink>
      <w:r w:rsidR="0003235A" w:rsidRPr="00D02881">
        <w:rPr>
          <w:color w:val="000000" w:themeColor="text1"/>
          <w:sz w:val="24"/>
          <w:lang w:val="da-DK"/>
        </w:rPr>
        <w:t>).</w:t>
      </w:r>
    </w:p>
    <w:p w14:paraId="748F20CE" w14:textId="3D2DC502"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7" w:history="1">
        <w:r w:rsidR="0003235A" w:rsidRPr="00D02881">
          <w:rPr>
            <w:rStyle w:val="Hyperlink"/>
            <w:sz w:val="24"/>
            <w:lang w:val="da-DK"/>
          </w:rPr>
          <w:t>http://data.europa.eu/eli/C/2025/1801/oj</w:t>
        </w:r>
      </w:hyperlink>
      <w:r w:rsidR="0003235A" w:rsidRPr="00D02881">
        <w:rPr>
          <w:color w:val="000000" w:themeColor="text1"/>
          <w:sz w:val="24"/>
          <w:lang w:val="da-DK"/>
        </w:rPr>
        <w:t>).</w:t>
      </w:r>
    </w:p>
    <w:p w14:paraId="31EA69E9" w14:textId="1FEBBC10"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8" w:history="1">
        <w:r w:rsidR="0003235A" w:rsidRPr="00D02881">
          <w:rPr>
            <w:rStyle w:val="Hyperlink"/>
            <w:sz w:val="24"/>
            <w:lang w:val="da-DK"/>
          </w:rPr>
          <w:t>http://data.europa.eu/eli/C/2025/1802/oj</w:t>
        </w:r>
      </w:hyperlink>
      <w:r w:rsidR="0003235A" w:rsidRPr="00D02881">
        <w:rPr>
          <w:color w:val="000000" w:themeColor="text1"/>
          <w:sz w:val="24"/>
          <w:lang w:val="da-DK"/>
        </w:rPr>
        <w:t>).</w:t>
      </w:r>
    </w:p>
    <w:p w14:paraId="08EDD8DA" w14:textId="319A7F97"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9" w:history="1">
        <w:r w:rsidR="0003235A" w:rsidRPr="00D02881">
          <w:rPr>
            <w:rStyle w:val="Hyperlink"/>
            <w:sz w:val="24"/>
            <w:lang w:val="da-DK"/>
          </w:rPr>
          <w:t>http://data.europa.eu/eli/C/2025/1803/oj</w:t>
        </w:r>
      </w:hyperlink>
      <w:r w:rsidR="0003235A" w:rsidRPr="00D02881">
        <w:rPr>
          <w:color w:val="000000" w:themeColor="text1"/>
          <w:sz w:val="24"/>
          <w:lang w:val="da-DK"/>
        </w:rPr>
        <w:t>).</w:t>
      </w:r>
    </w:p>
    <w:p w14:paraId="27A4E86E" w14:textId="0F1D8C2A" w:rsidR="0003235A" w:rsidRPr="00D02881" w:rsidRDefault="00D02881" w:rsidP="00D02881">
      <w:pPr>
        <w:pStyle w:val="FootnoteText"/>
        <w:ind w:left="567" w:hanging="567"/>
        <w:rPr>
          <w:color w:val="000000" w:themeColor="text1"/>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majs MON 94804, i henhold til Europa-Parlamentets og Rådets forordning (EF) nr. 1829/2003 (EUT C, C/2025/1804, 4.4.2025, ELI: </w:t>
      </w:r>
      <w:hyperlink r:id="rId10" w:history="1">
        <w:r w:rsidR="0003235A" w:rsidRPr="00D02881">
          <w:rPr>
            <w:rStyle w:val="Hyperlink"/>
            <w:sz w:val="24"/>
            <w:lang w:val="da-DK"/>
          </w:rPr>
          <w:t>http://data.europa.eu/eli/C/2025/1804/oj</w:t>
        </w:r>
      </w:hyperlink>
      <w:r w:rsidR="0003235A" w:rsidRPr="00D02881">
        <w:rPr>
          <w:color w:val="000000" w:themeColor="text1"/>
          <w:sz w:val="24"/>
          <w:lang w:val="da-DK"/>
        </w:rPr>
        <w:t>).</w:t>
      </w:r>
    </w:p>
    <w:p w14:paraId="7C759781" w14:textId="7B96E598" w:rsidR="0003235A" w:rsidRPr="00D02881" w:rsidRDefault="00D02881" w:rsidP="00D02881">
      <w:pPr>
        <w:pStyle w:val="FootnoteText"/>
        <w:ind w:left="567" w:hanging="567"/>
        <w:rPr>
          <w:sz w:val="24"/>
          <w:szCs w:val="22"/>
          <w:vertAlign w:val="superscript"/>
          <w:lang w:val="da-DK"/>
        </w:rPr>
      </w:pPr>
      <w:r w:rsidRPr="00D02881">
        <w:rPr>
          <w:color w:val="000000" w:themeColor="text1"/>
          <w:sz w:val="24"/>
          <w:lang w:val="da-DK"/>
        </w:rPr>
        <w:t xml:space="preserve"> </w:t>
      </w:r>
      <w:r w:rsidRPr="00D02881">
        <w:rPr>
          <w:color w:val="000000" w:themeColor="text1"/>
          <w:sz w:val="24"/>
          <w:lang w:val="da-DK"/>
        </w:rPr>
        <w:tab/>
      </w:r>
      <w:r w:rsidR="0003235A" w:rsidRPr="00D02881">
        <w:rPr>
          <w:color w:val="000000" w:themeColor="text1"/>
          <w:sz w:val="24"/>
          <w:lang w:val="da-DK"/>
        </w:rPr>
        <w:t>–</w:t>
      </w:r>
      <w:r w:rsidR="0003235A" w:rsidRPr="00D02881">
        <w:rPr>
          <w:color w:val="000000" w:themeColor="text1"/>
          <w:sz w:val="24"/>
          <w:lang w:val="da-DK"/>
        </w:rPr>
        <w:tab/>
      </w:r>
      <w:r w:rsidR="0003235A" w:rsidRPr="00D02881">
        <w:rPr>
          <w:sz w:val="24"/>
          <w:lang w:val="da-DK"/>
        </w:rPr>
        <w:t xml:space="preserve">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1" w:tooltip="Giver adgang til dokumentet via dets ELI-URI." w:history="1">
        <w:r w:rsidR="0003235A" w:rsidRPr="00D02881">
          <w:rPr>
            <w:rStyle w:val="Hyperlink"/>
            <w:sz w:val="24"/>
            <w:lang w:val="da-DK"/>
          </w:rPr>
          <w:t>http://data.europa.eu/eli/C/2025/2246/oj</w:t>
        </w:r>
      </w:hyperlink>
      <w:r w:rsidR="0003235A" w:rsidRPr="00D02881">
        <w:rPr>
          <w:sz w:val="24"/>
          <w:lang w:val="da-DK"/>
        </w:rPr>
        <w:t>).</w:t>
      </w:r>
    </w:p>
    <w:p w14:paraId="46421E02" w14:textId="66F2FD37" w:rsidR="0003235A" w:rsidRPr="00D02881" w:rsidRDefault="00D02881" w:rsidP="00D02881">
      <w:pPr>
        <w:pStyle w:val="FootnoteText"/>
        <w:ind w:left="567" w:hanging="567"/>
        <w:rPr>
          <w:sz w:val="24"/>
          <w:szCs w:val="22"/>
          <w:vertAlign w:val="superscript"/>
          <w:lang w:val="da-DK"/>
        </w:rPr>
      </w:pPr>
      <w:r w:rsidRPr="00D02881">
        <w:rPr>
          <w:sz w:val="24"/>
          <w:lang w:val="da-DK"/>
        </w:rPr>
        <w:t xml:space="preserve"> </w:t>
      </w:r>
      <w:r w:rsidRPr="00D02881">
        <w:rPr>
          <w:sz w:val="24"/>
          <w:lang w:val="da-DK"/>
        </w:rPr>
        <w:tab/>
      </w:r>
      <w:r w:rsidR="0003235A" w:rsidRPr="00D02881">
        <w:rPr>
          <w:sz w:val="24"/>
          <w:lang w:val="da-DK"/>
        </w:rPr>
        <w:t>–</w:t>
      </w:r>
      <w:r w:rsidR="0003235A" w:rsidRPr="00D02881">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2" w:tooltip="Giver adgang til dokumentet via dets ELI-URI." w:history="1">
        <w:r w:rsidR="0003235A" w:rsidRPr="00D02881">
          <w:rPr>
            <w:rStyle w:val="Hyperlink"/>
            <w:sz w:val="24"/>
            <w:lang w:val="da-DK"/>
          </w:rPr>
          <w:t>http://data.europa.eu/eli/C/2025/2247/oj</w:t>
        </w:r>
      </w:hyperlink>
      <w:r w:rsidR="0003235A" w:rsidRPr="00D02881">
        <w:rPr>
          <w:sz w:val="24"/>
          <w:lang w:val="da-DK"/>
        </w:rPr>
        <w:t>).</w:t>
      </w:r>
    </w:p>
    <w:p w14:paraId="71860D2A" w14:textId="12E910B5" w:rsidR="0003235A" w:rsidRPr="00D02881" w:rsidRDefault="00D02881" w:rsidP="00D02881">
      <w:pPr>
        <w:pStyle w:val="FootnoteText"/>
        <w:ind w:left="567" w:hanging="567"/>
        <w:rPr>
          <w:sz w:val="24"/>
          <w:szCs w:val="22"/>
          <w:vertAlign w:val="superscript"/>
          <w:lang w:val="da-DK"/>
        </w:rPr>
      </w:pPr>
      <w:r w:rsidRPr="00D02881">
        <w:rPr>
          <w:sz w:val="24"/>
          <w:lang w:val="da-DK"/>
        </w:rPr>
        <w:t xml:space="preserve"> </w:t>
      </w:r>
      <w:r w:rsidRPr="00D02881">
        <w:rPr>
          <w:sz w:val="24"/>
          <w:lang w:val="da-DK"/>
        </w:rPr>
        <w:tab/>
      </w:r>
      <w:r w:rsidR="0003235A" w:rsidRPr="00D02881">
        <w:rPr>
          <w:sz w:val="24"/>
          <w:lang w:val="da-DK"/>
        </w:rPr>
        <w:t>–</w:t>
      </w:r>
      <w:r w:rsidR="0003235A" w:rsidRPr="00D02881">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(P10_</w:t>
      </w:r>
      <w:proofErr w:type="gramStart"/>
      <w:r w:rsidR="0003235A" w:rsidRPr="00D02881">
        <w:rPr>
          <w:sz w:val="24"/>
          <w:lang w:val="da-DK"/>
        </w:rPr>
        <w:t>TA(</w:t>
      </w:r>
      <w:proofErr w:type="gramEnd"/>
      <w:r w:rsidR="0003235A" w:rsidRPr="00D02881">
        <w:rPr>
          <w:sz w:val="24"/>
          <w:lang w:val="da-DK"/>
        </w:rPr>
        <w:t>2025)0106).</w:t>
      </w:r>
    </w:p>
    <w:p w14:paraId="3EB3E750" w14:textId="1232AE8C" w:rsidR="0003235A" w:rsidRPr="00D02881" w:rsidRDefault="00D02881" w:rsidP="00D02881">
      <w:pPr>
        <w:pStyle w:val="FootnoteText"/>
        <w:ind w:left="567" w:hanging="567"/>
        <w:rPr>
          <w:sz w:val="24"/>
          <w:szCs w:val="22"/>
          <w:lang w:val="da-DK"/>
        </w:rPr>
      </w:pPr>
      <w:r w:rsidRPr="00D02881">
        <w:rPr>
          <w:sz w:val="24"/>
          <w:lang w:val="da-DK"/>
        </w:rPr>
        <w:t xml:space="preserve"> </w:t>
      </w:r>
      <w:r w:rsidRPr="00D02881">
        <w:rPr>
          <w:sz w:val="24"/>
          <w:lang w:val="da-DK"/>
        </w:rPr>
        <w:tab/>
      </w:r>
      <w:r w:rsidR="0003235A" w:rsidRPr="00D02881">
        <w:rPr>
          <w:sz w:val="24"/>
          <w:lang w:val="da-DK"/>
        </w:rPr>
        <w:t>–</w:t>
      </w:r>
      <w:r w:rsidR="0003235A" w:rsidRPr="00D02881">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(P10_</w:t>
      </w:r>
      <w:proofErr w:type="gramStart"/>
      <w:r w:rsidR="0003235A" w:rsidRPr="00D02881">
        <w:rPr>
          <w:sz w:val="24"/>
          <w:lang w:val="da-DK"/>
        </w:rPr>
        <w:t>TA(</w:t>
      </w:r>
      <w:proofErr w:type="gramEnd"/>
      <w:r w:rsidR="0003235A" w:rsidRPr="00D02881">
        <w:rPr>
          <w:sz w:val="24"/>
          <w:lang w:val="da-DK"/>
        </w:rPr>
        <w:t>2025)0222).</w:t>
      </w:r>
    </w:p>
  </w:footnote>
  <w:footnote w:id="5">
    <w:p w14:paraId="16BDC700" w14:textId="7DA6BAAF" w:rsidR="0003235A" w:rsidRPr="00D02881" w:rsidRDefault="0003235A" w:rsidP="00D02881">
      <w:pPr>
        <w:pStyle w:val="FootnoteText"/>
        <w:ind w:left="567" w:hanging="567"/>
        <w:rPr>
          <w:sz w:val="24"/>
          <w:szCs w:val="22"/>
          <w:lang w:val="da-DK"/>
        </w:rPr>
      </w:pPr>
      <w:r w:rsidRPr="00D02881">
        <w:rPr>
          <w:rStyle w:val="FootnoteReference"/>
          <w:sz w:val="24"/>
          <w:szCs w:val="22"/>
          <w:lang w:val="da-DK"/>
        </w:rPr>
        <w:footnoteRef/>
      </w:r>
      <w:r w:rsidR="00D02881" w:rsidRPr="00D02881">
        <w:rPr>
          <w:sz w:val="24"/>
          <w:lang w:val="da-DK"/>
        </w:rPr>
        <w:t xml:space="preserve"> </w:t>
      </w:r>
      <w:r w:rsidR="00D02881" w:rsidRPr="00D02881">
        <w:rPr>
          <w:sz w:val="24"/>
          <w:lang w:val="da-DK"/>
        </w:rPr>
        <w:tab/>
      </w:r>
      <w:r w:rsidRPr="00D02881">
        <w:rPr>
          <w:sz w:val="24"/>
          <w:lang w:val="da-DK"/>
        </w:rPr>
        <w:t xml:space="preserve">EUT L 112 af 30.4.2015, s. 81, ELI: </w:t>
      </w:r>
      <w:hyperlink r:id="rId13" w:history="1">
        <w:r w:rsidRPr="00D02881">
          <w:rPr>
            <w:rStyle w:val="Hyperlink"/>
            <w:sz w:val="24"/>
            <w:lang w:val="da-DK"/>
          </w:rPr>
          <w:t>http://data.europa.eu/eli/dec_impl/2015/700/oj</w:t>
        </w:r>
      </w:hyperlink>
      <w:r w:rsidRPr="00D02881">
        <w:rPr>
          <w:sz w:val="24"/>
          <w:lang w:val="da-DK"/>
        </w:rPr>
        <w:t>.</w:t>
      </w:r>
    </w:p>
  </w:footnote>
  <w:footnote w:id="6">
    <w:p w14:paraId="098803CD" w14:textId="511757A9" w:rsidR="0003235A" w:rsidRPr="00D02881" w:rsidRDefault="0003235A" w:rsidP="00D02881">
      <w:pPr>
        <w:pStyle w:val="FootnoteText"/>
        <w:ind w:left="567" w:hanging="567"/>
        <w:rPr>
          <w:sz w:val="24"/>
          <w:szCs w:val="22"/>
          <w:lang w:val="da-DK"/>
        </w:rPr>
      </w:pPr>
      <w:r w:rsidRPr="00D02881">
        <w:rPr>
          <w:rStyle w:val="FootnoteReference"/>
          <w:sz w:val="24"/>
          <w:szCs w:val="22"/>
          <w:lang w:val="da-DK"/>
        </w:rPr>
        <w:footnoteRef/>
      </w:r>
      <w:r w:rsidR="00D02881" w:rsidRPr="00D02881">
        <w:rPr>
          <w:sz w:val="24"/>
          <w:lang w:val="da-DK"/>
        </w:rPr>
        <w:t xml:space="preserve"> </w:t>
      </w:r>
      <w:r w:rsidR="00D02881" w:rsidRPr="00D02881">
        <w:rPr>
          <w:sz w:val="24"/>
          <w:lang w:val="da-DK"/>
        </w:rPr>
        <w:tab/>
      </w:r>
      <w:r w:rsidRPr="00D02881">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14" w:tgtFrame="Gives%20access%20to%20this%20document%20through%20its%20ELI%20URI." w:history="1">
        <w:r w:rsidRPr="00D02881">
          <w:rPr>
            <w:rStyle w:val="Hyperlink"/>
            <w:sz w:val="24"/>
            <w:lang w:val="da-DK"/>
          </w:rPr>
          <w:t>http://data.europa.eu/eli/reg/2002/178/oj</w:t>
        </w:r>
      </w:hyperlink>
      <w:r w:rsidRPr="00D0288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3862" w14:textId="77777777" w:rsidR="00064002" w:rsidRPr="00D028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A4CFD" w14:textId="77777777" w:rsidR="00064002" w:rsidRPr="00D028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B14FA" w14:textId="77777777" w:rsidR="00064002" w:rsidRPr="00D028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842815">
    <w:abstractNumId w:val="9"/>
  </w:num>
  <w:num w:numId="2" w16cid:durableId="1658529462">
    <w:abstractNumId w:val="9"/>
  </w:num>
  <w:num w:numId="3" w16cid:durableId="1011646066">
    <w:abstractNumId w:val="7"/>
  </w:num>
  <w:num w:numId="4" w16cid:durableId="781456344">
    <w:abstractNumId w:val="7"/>
  </w:num>
  <w:num w:numId="5" w16cid:durableId="1434745025">
    <w:abstractNumId w:val="6"/>
  </w:num>
  <w:num w:numId="6" w16cid:durableId="499780335">
    <w:abstractNumId w:val="6"/>
  </w:num>
  <w:num w:numId="7" w16cid:durableId="1056704849">
    <w:abstractNumId w:val="5"/>
  </w:num>
  <w:num w:numId="8" w16cid:durableId="1384058367">
    <w:abstractNumId w:val="5"/>
  </w:num>
  <w:num w:numId="9" w16cid:durableId="1086070530">
    <w:abstractNumId w:val="4"/>
  </w:num>
  <w:num w:numId="10" w16cid:durableId="550191870">
    <w:abstractNumId w:val="4"/>
  </w:num>
  <w:num w:numId="11" w16cid:durableId="1213233270">
    <w:abstractNumId w:val="8"/>
  </w:num>
  <w:num w:numId="12" w16cid:durableId="1300842288">
    <w:abstractNumId w:val="8"/>
  </w:num>
  <w:num w:numId="13" w16cid:durableId="2026903143">
    <w:abstractNumId w:val="3"/>
  </w:num>
  <w:num w:numId="14" w16cid:durableId="1582368320">
    <w:abstractNumId w:val="3"/>
  </w:num>
  <w:num w:numId="15" w16cid:durableId="185677442">
    <w:abstractNumId w:val="2"/>
  </w:num>
  <w:num w:numId="16" w16cid:durableId="1839228453">
    <w:abstractNumId w:val="2"/>
  </w:num>
  <w:num w:numId="17" w16cid:durableId="28071332">
    <w:abstractNumId w:val="1"/>
  </w:num>
  <w:num w:numId="18" w16cid:durableId="411316102">
    <w:abstractNumId w:val="1"/>
  </w:num>
  <w:num w:numId="19" w16cid:durableId="353771478">
    <w:abstractNumId w:val="0"/>
  </w:num>
  <w:num w:numId="20" w16cid:durableId="133068809">
    <w:abstractNumId w:val="0"/>
  </w:num>
  <w:num w:numId="21" w16cid:durableId="1210417062">
    <w:abstractNumId w:val="9"/>
  </w:num>
  <w:num w:numId="22" w16cid:durableId="901603345">
    <w:abstractNumId w:val="7"/>
  </w:num>
  <w:num w:numId="23" w16cid:durableId="744113902">
    <w:abstractNumId w:val="6"/>
  </w:num>
  <w:num w:numId="24" w16cid:durableId="100492446">
    <w:abstractNumId w:val="5"/>
  </w:num>
  <w:num w:numId="25" w16cid:durableId="1662926312">
    <w:abstractNumId w:val="4"/>
  </w:num>
  <w:num w:numId="26" w16cid:durableId="127629692">
    <w:abstractNumId w:val="8"/>
  </w:num>
  <w:num w:numId="27" w16cid:durableId="1382823997">
    <w:abstractNumId w:val="3"/>
  </w:num>
  <w:num w:numId="28" w16cid:durableId="334309055">
    <w:abstractNumId w:val="2"/>
  </w:num>
  <w:num w:numId="29" w16cid:durableId="455031602">
    <w:abstractNumId w:val="1"/>
  </w:num>
  <w:num w:numId="30" w16cid:durableId="169412636">
    <w:abstractNumId w:val="0"/>
  </w:num>
  <w:num w:numId="31" w16cid:durableId="1374689415">
    <w:abstractNumId w:val="9"/>
  </w:num>
  <w:num w:numId="32" w16cid:durableId="327367246">
    <w:abstractNumId w:val="7"/>
  </w:num>
  <w:num w:numId="33" w16cid:durableId="829832083">
    <w:abstractNumId w:val="6"/>
  </w:num>
  <w:num w:numId="34" w16cid:durableId="1803961168">
    <w:abstractNumId w:val="5"/>
  </w:num>
  <w:num w:numId="35" w16cid:durableId="1976639226">
    <w:abstractNumId w:val="4"/>
  </w:num>
  <w:num w:numId="36" w16cid:durableId="462430415">
    <w:abstractNumId w:val="8"/>
  </w:num>
  <w:num w:numId="37" w16cid:durableId="1167088713">
    <w:abstractNumId w:val="3"/>
  </w:num>
  <w:num w:numId="38" w16cid:durableId="1192646553">
    <w:abstractNumId w:val="2"/>
  </w:num>
  <w:num w:numId="39" w16cid:durableId="859007748">
    <w:abstractNumId w:val="1"/>
  </w:num>
  <w:num w:numId="40" w16cid:durableId="628558430">
    <w:abstractNumId w:val="0"/>
  </w:num>
  <w:num w:numId="41" w16cid:durableId="1515899">
    <w:abstractNumId w:val="10"/>
  </w:num>
  <w:num w:numId="42" w16cid:durableId="156189803">
    <w:abstractNumId w:val="10"/>
  </w:num>
  <w:num w:numId="43" w16cid:durableId="1857381972">
    <w:abstractNumId w:val="10"/>
  </w:num>
  <w:num w:numId="44" w16cid:durableId="1888566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DA"/>
    <w:docVar w:name="dvnumam" w:val="0"/>
    <w:docVar w:name="dvpe" w:val="778.110"/>
    <w:docVar w:name="dvtitre" w:val="Europa-Parlamentets beslutning af xx. november 2025 om Kommissionens gennemførelsesafgørelse om forlængelse af tilladelsen til markedsføring af produkter, der indeholder, består af eller er fremstillet af genetisk modificeret MON 87708-sojabønne, i henhold til Europa-Parlamentets og Rådets forordning (EF) nr. 1829/2003(D109633/01 – 2025/2896(RSP))"/>
  </w:docVars>
  <w:rsids>
    <w:rsidRoot w:val="006D4520"/>
    <w:rsid w:val="00002272"/>
    <w:rsid w:val="0003235A"/>
    <w:rsid w:val="00064002"/>
    <w:rsid w:val="000677B9"/>
    <w:rsid w:val="000831BA"/>
    <w:rsid w:val="000A42CC"/>
    <w:rsid w:val="000E7DD9"/>
    <w:rsid w:val="0010095E"/>
    <w:rsid w:val="00125B37"/>
    <w:rsid w:val="00187494"/>
    <w:rsid w:val="001F32AE"/>
    <w:rsid w:val="002767FF"/>
    <w:rsid w:val="002B18FE"/>
    <w:rsid w:val="002B5493"/>
    <w:rsid w:val="002E51CB"/>
    <w:rsid w:val="00343214"/>
    <w:rsid w:val="00361C00"/>
    <w:rsid w:val="00395FA1"/>
    <w:rsid w:val="003A092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CAF"/>
    <w:rsid w:val="006631B6"/>
    <w:rsid w:val="00680577"/>
    <w:rsid w:val="006B3C9D"/>
    <w:rsid w:val="006D4520"/>
    <w:rsid w:val="006F74FA"/>
    <w:rsid w:val="007128A0"/>
    <w:rsid w:val="00731ADD"/>
    <w:rsid w:val="00734777"/>
    <w:rsid w:val="00743C8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95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267"/>
    <w:rsid w:val="00CF071A"/>
    <w:rsid w:val="00D02881"/>
    <w:rsid w:val="00D058B8"/>
    <w:rsid w:val="00D368C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0C11A"/>
  <w15:chartTrackingRefBased/>
  <w15:docId w15:val="{D23DD4EC-F537-41E5-B86E-B5AB0AEC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03235A"/>
    <w:pPr>
      <w:spacing w:after="240"/>
    </w:pPr>
    <w:rPr>
      <w:b/>
    </w:rPr>
  </w:style>
  <w:style w:type="paragraph" w:customStyle="1" w:styleId="NormalHanging12a">
    <w:name w:val="NormalHanging12a"/>
    <w:basedOn w:val="Normal"/>
    <w:rsid w:val="0003235A"/>
    <w:pPr>
      <w:spacing w:after="240"/>
      <w:ind w:left="567" w:hanging="567"/>
    </w:pPr>
  </w:style>
  <w:style w:type="character" w:styleId="Hyperlink">
    <w:name w:val="Hyperlink"/>
    <w:basedOn w:val="DefaultParagraphFont"/>
    <w:uiPriority w:val="99"/>
    <w:unhideWhenUsed/>
    <w:rsid w:val="0003235A"/>
    <w:rPr>
      <w:color w:val="0563C1" w:themeColor="hyperlink"/>
      <w:u w:val="single"/>
    </w:rPr>
  </w:style>
  <w:style w:type="paragraph" w:styleId="Revision">
    <w:name w:val="Revision"/>
    <w:hidden/>
    <w:uiPriority w:val="99"/>
    <w:semiHidden/>
    <w:rsid w:val="003A092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700/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5" Type="http://schemas.openxmlformats.org/officeDocument/2006/relationships/hyperlink" Target="http://data.europa.eu/eli/C/2025/1799/oj" TargetMode="External"/><Relationship Id="rId10" Type="http://schemas.openxmlformats.org/officeDocument/2006/relationships/hyperlink" Target="http://data.europa.eu/eli/C/2025/1804/oj"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966</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2025-11-25T12:20:00Z</dcterms:created>
  <dcterms:modified xsi:type="dcterms:W3CDTF">2025-11-25T12:20:00Z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P10_TA-PROV(2025)0291_B10-0493_2025_</vt:lpwstr>
  </property>
  <property fmtid="{D5CDD505-2E9C-101B-9397-08002B2CF9AE}" pid="4" name="&lt;Type&gt;">
    <vt:lpwstr>RR</vt:lpwstr>
  </property>
</Properties>
</file>