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0243" w14:paraId="58A8DDBD" w14:textId="77777777" w:rsidTr="0010095E">
        <w:trPr>
          <w:trHeight w:hRule="exact" w:val="1418"/>
        </w:trPr>
        <w:tc>
          <w:tcPr>
            <w:tcW w:w="6804" w:type="dxa"/>
            <w:shd w:val="clear" w:color="auto" w:fill="auto"/>
            <w:vAlign w:val="center"/>
          </w:tcPr>
          <w:p w14:paraId="0C899CF1" w14:textId="77777777" w:rsidR="00751A4A" w:rsidRPr="00E60243" w:rsidRDefault="006904D0" w:rsidP="0010095E">
            <w:pPr>
              <w:pStyle w:val="EPName"/>
            </w:pPr>
            <w:r w:rsidRPr="00E60243">
              <w:t>Euroopa Parlament</w:t>
            </w:r>
          </w:p>
          <w:p w14:paraId="1656753D" w14:textId="77777777" w:rsidR="00751A4A" w:rsidRPr="00E60243" w:rsidRDefault="005F1B17" w:rsidP="005F1B17">
            <w:pPr>
              <w:pStyle w:val="EPTerm"/>
              <w:rPr>
                <w:rStyle w:val="HideTWBExt"/>
                <w:noProof w:val="0"/>
                <w:vanish w:val="0"/>
                <w:color w:val="auto"/>
              </w:rPr>
            </w:pPr>
            <w:r w:rsidRPr="00E60243">
              <w:t>2024</w:t>
            </w:r>
            <w:r w:rsidR="00817416" w:rsidRPr="00E60243">
              <w:t>-202</w:t>
            </w:r>
            <w:r w:rsidRPr="00E60243">
              <w:t>9</w:t>
            </w:r>
          </w:p>
        </w:tc>
        <w:tc>
          <w:tcPr>
            <w:tcW w:w="2268" w:type="dxa"/>
            <w:shd w:val="clear" w:color="auto" w:fill="auto"/>
          </w:tcPr>
          <w:p w14:paraId="0DDC54AB" w14:textId="77777777" w:rsidR="00751A4A" w:rsidRPr="00E60243" w:rsidRDefault="00187494" w:rsidP="0010095E">
            <w:pPr>
              <w:pStyle w:val="EPLogo"/>
            </w:pPr>
            <w:r w:rsidRPr="00E60243">
              <w:rPr>
                <w:noProof/>
                <w:lang w:eastAsia="ja-JP"/>
              </w:rPr>
              <w:drawing>
                <wp:inline distT="0" distB="0" distL="0" distR="0" wp14:anchorId="1ACAF29B" wp14:editId="76C9F1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4F8FA6" w14:textId="77777777" w:rsidR="00D058B8" w:rsidRPr="00E60243" w:rsidRDefault="00D058B8" w:rsidP="004C5D52">
      <w:pPr>
        <w:pStyle w:val="LineTop"/>
      </w:pPr>
    </w:p>
    <w:p w14:paraId="4446B40A" w14:textId="77777777" w:rsidR="00680577" w:rsidRPr="00E60243" w:rsidRDefault="006904D0" w:rsidP="00680577">
      <w:pPr>
        <w:pStyle w:val="EPBodyTA1"/>
      </w:pPr>
      <w:r w:rsidRPr="00E60243">
        <w:t>VASTUVÕETUD TEKSTID</w:t>
      </w:r>
    </w:p>
    <w:p w14:paraId="6775AA37" w14:textId="77777777" w:rsidR="00D058B8" w:rsidRPr="00E60243" w:rsidRDefault="00D058B8" w:rsidP="00D058B8">
      <w:pPr>
        <w:pStyle w:val="LineBottom"/>
      </w:pPr>
    </w:p>
    <w:p w14:paraId="280FDDDE" w14:textId="6E7693FB" w:rsidR="006904D0" w:rsidRPr="00E60243" w:rsidRDefault="006904D0" w:rsidP="006904D0">
      <w:pPr>
        <w:pStyle w:val="ATHeading1"/>
      </w:pPr>
      <w:bookmarkStart w:id="0" w:name="TANumber"/>
      <w:r w:rsidRPr="00E60243">
        <w:t>P10_TA(2025)0</w:t>
      </w:r>
      <w:bookmarkEnd w:id="0"/>
      <w:r w:rsidR="00DE2D8A" w:rsidRPr="00E60243">
        <w:t>291</w:t>
      </w:r>
    </w:p>
    <w:p w14:paraId="03BF57FB" w14:textId="35A873F1" w:rsidR="006904D0" w:rsidRPr="00E60243" w:rsidRDefault="006A48A0" w:rsidP="006904D0">
      <w:pPr>
        <w:pStyle w:val="ATHeading2"/>
      </w:pPr>
      <w:bookmarkStart w:id="1" w:name="title"/>
      <w:r w:rsidRPr="00E60243">
        <w:t>G</w:t>
      </w:r>
      <w:r w:rsidR="006904D0" w:rsidRPr="00E60243">
        <w:t>eneetiliselt muundatud sojauba MON 87708</w:t>
      </w:r>
      <w:bookmarkEnd w:id="1"/>
    </w:p>
    <w:p w14:paraId="5E9EF2DA" w14:textId="77777777" w:rsidR="006904D0" w:rsidRPr="00E60243" w:rsidRDefault="006904D0" w:rsidP="006904D0">
      <w:pPr>
        <w:rPr>
          <w:i/>
          <w:vanish/>
        </w:rPr>
      </w:pPr>
      <w:r w:rsidRPr="00E60243">
        <w:rPr>
          <w:i/>
        </w:rPr>
        <w:fldChar w:fldCharType="begin"/>
      </w:r>
      <w:r w:rsidRPr="00E60243">
        <w:rPr>
          <w:i/>
        </w:rPr>
        <w:instrText xml:space="preserve"> TC"(</w:instrText>
      </w:r>
      <w:bookmarkStart w:id="2" w:name="DocNumber"/>
      <w:r w:rsidRPr="00E60243">
        <w:rPr>
          <w:i/>
        </w:rPr>
        <w:instrText>B10-0493/2025</w:instrText>
      </w:r>
      <w:bookmarkEnd w:id="2"/>
      <w:r w:rsidRPr="00E60243">
        <w:rPr>
          <w:i/>
        </w:rPr>
        <w:instrText xml:space="preserve">)"\l3 \n&gt; \* MERGEFORMAT </w:instrText>
      </w:r>
      <w:r w:rsidRPr="00E60243">
        <w:rPr>
          <w:i/>
        </w:rPr>
        <w:fldChar w:fldCharType="end"/>
      </w:r>
    </w:p>
    <w:p w14:paraId="12D777A7" w14:textId="77777777" w:rsidR="006904D0" w:rsidRPr="00E60243" w:rsidRDefault="006904D0" w:rsidP="006904D0">
      <w:pPr>
        <w:rPr>
          <w:vanish/>
        </w:rPr>
      </w:pPr>
      <w:bookmarkStart w:id="3" w:name="PE"/>
      <w:r w:rsidRPr="00E60243">
        <w:rPr>
          <w:vanish/>
        </w:rPr>
        <w:t>PE778.110</w:t>
      </w:r>
      <w:bookmarkEnd w:id="3"/>
    </w:p>
    <w:p w14:paraId="6F160F11" w14:textId="6746CFA7" w:rsidR="006904D0" w:rsidRPr="00E60243" w:rsidRDefault="006904D0" w:rsidP="006904D0">
      <w:pPr>
        <w:pStyle w:val="ATHeading3"/>
      </w:pPr>
      <w:bookmarkStart w:id="4" w:name="Sujet"/>
      <w:r w:rsidRPr="00E60243">
        <w:t xml:space="preserve">Euroopa Parlamendi </w:t>
      </w:r>
      <w:r w:rsidR="006A48A0" w:rsidRPr="00E60243">
        <w:t>25</w:t>
      </w:r>
      <w:r w:rsidRPr="00E60243">
        <w:t>.</w:t>
      </w:r>
      <w:r w:rsidR="006A48A0" w:rsidRPr="00E60243">
        <w:t> novembri</w:t>
      </w:r>
      <w:r w:rsidRPr="00E60243">
        <w:t xml:space="preserve"> 2025.</w:t>
      </w:r>
      <w:r w:rsidR="006A48A0" w:rsidRPr="00E60243">
        <w:t> </w:t>
      </w:r>
      <w:r w:rsidRPr="00E60243">
        <w:t>aasta resolutsioon komisjoni rakendusotsuse kohta, millega pikendatakse geneetiliselt muundatud sojauba MON 87708 sisaldavate, sellest koosnevate või sellest valmistatud toodete turule laskmise loa kehtivust vastavalt Euroopa Parlamendi ja nõukogu määrusele (EÜ) nr 1829/2003</w:t>
      </w:r>
      <w:bookmarkEnd w:id="4"/>
      <w:r w:rsidRPr="00E60243">
        <w:t xml:space="preserve"> </w:t>
      </w:r>
      <w:bookmarkStart w:id="5" w:name="References"/>
      <w:r w:rsidRPr="00E60243">
        <w:t>(D109633/01 – 2025/2896(RSP))</w:t>
      </w:r>
      <w:bookmarkEnd w:id="5"/>
    </w:p>
    <w:p w14:paraId="3C4CF15E" w14:textId="77777777" w:rsidR="006904D0" w:rsidRPr="00E60243" w:rsidRDefault="006904D0" w:rsidP="006904D0"/>
    <w:p w14:paraId="2B4D8706" w14:textId="77777777" w:rsidR="005D69F2" w:rsidRPr="00E60243" w:rsidRDefault="005D69F2" w:rsidP="005D69F2">
      <w:pPr>
        <w:pStyle w:val="NormalBold12a"/>
        <w:rPr>
          <w:b w:val="0"/>
          <w:bCs/>
        </w:rPr>
      </w:pPr>
      <w:bookmarkStart w:id="6" w:name="TextBodyBegin"/>
      <w:bookmarkEnd w:id="6"/>
      <w:r w:rsidRPr="00E60243">
        <w:rPr>
          <w:b w:val="0"/>
          <w:i/>
        </w:rPr>
        <w:t>Euroopa Parlament</w:t>
      </w:r>
      <w:r w:rsidRPr="00E60243">
        <w:rPr>
          <w:b w:val="0"/>
        </w:rPr>
        <w:t>,</w:t>
      </w:r>
    </w:p>
    <w:p w14:paraId="5841B1C4" w14:textId="77777777" w:rsidR="005D69F2" w:rsidRPr="00E60243" w:rsidRDefault="005D69F2" w:rsidP="005D69F2">
      <w:pPr>
        <w:pStyle w:val="NormalHanging12a"/>
      </w:pPr>
      <w:r w:rsidRPr="00E60243">
        <w:t>–</w:t>
      </w:r>
      <w:r w:rsidRPr="00E60243">
        <w:tab/>
        <w:t>võttes arvesse komisjoni rakendusotsuse eelnõu, millega pikendatakse geneetiliselt muundatud sojauba MON 87708 sisaldavate, sellest koosnevate või sellest valmistatud toodete turule laskmise loa kehtivust vastavalt Euroopa Parlamendi ja nõukogu määrusele (EÜ) nr 1829/2003 (D109633/01),</w:t>
      </w:r>
    </w:p>
    <w:p w14:paraId="6B4D9C12" w14:textId="77777777" w:rsidR="005D69F2" w:rsidRPr="00E60243" w:rsidRDefault="005D69F2" w:rsidP="005D69F2">
      <w:pPr>
        <w:pStyle w:val="NormalHanging12a"/>
      </w:pPr>
      <w:r w:rsidRPr="00E60243">
        <w:t>–</w:t>
      </w:r>
      <w:r w:rsidRPr="00E60243">
        <w:tab/>
        <w:t>võttes arvesse Euroopa Parlamendi ja nõukogu 22. septembri 2003. aasta määrust (EÜ) nr 1829/2003 geneetiliselt muundatud toidu ja sööda kohta</w:t>
      </w:r>
      <w:r w:rsidRPr="00E60243">
        <w:rPr>
          <w:vertAlign w:val="superscript"/>
        </w:rPr>
        <w:footnoteReference w:id="1"/>
      </w:r>
      <w:r w:rsidRPr="00E60243">
        <w:t>, eriti selle artikli 11 lõiget 3 ja artikli 23 lõiget 3,</w:t>
      </w:r>
    </w:p>
    <w:p w14:paraId="1B693FA6" w14:textId="18F4C2DF" w:rsidR="005D69F2" w:rsidRPr="00E60243" w:rsidRDefault="005D69F2" w:rsidP="005D69F2">
      <w:pPr>
        <w:pStyle w:val="NormalHanging12a"/>
      </w:pPr>
      <w:r w:rsidRPr="00E60243">
        <w:t>–</w:t>
      </w:r>
      <w:r w:rsidRPr="00E60243">
        <w:tab/>
        <w:t>võttes arvesse määruse (EÜ) nr 1829/2003 artiklis 35 osutatud alalises taime-, looma-, toidu- ja söödakomitees 15. septembril 2025 toimunud hääletust,</w:t>
      </w:r>
      <w:r w:rsidR="006A48A0" w:rsidRPr="00E60243">
        <w:t xml:space="preserve"> </w:t>
      </w:r>
      <w:r w:rsidR="007051F7" w:rsidRPr="00E60243">
        <w:t xml:space="preserve">mille tulemusel arvamust ei esitatud, </w:t>
      </w:r>
      <w:r w:rsidR="006A48A0" w:rsidRPr="00E60243">
        <w:t>ning apellatsioonikomitees 21. oktoobril 2025 toimunud hääletust, mille tulemusel samuti arvamust ei esitatud,</w:t>
      </w:r>
    </w:p>
    <w:p w14:paraId="2FBB865E" w14:textId="5FF4C692" w:rsidR="005D69F2" w:rsidRPr="00E60243" w:rsidRDefault="005D69F2" w:rsidP="005D69F2">
      <w:pPr>
        <w:pStyle w:val="NormalHanging12a"/>
      </w:pPr>
      <w:r w:rsidRPr="00E60243">
        <w:t>–</w:t>
      </w:r>
      <w:r w:rsidRPr="00E60243">
        <w:tab/>
        <w:t>võttes arvesse Euroopa Parlamendi ja nõukogu 16. veebruari 2011. aasta määruse (EL)</w:t>
      </w:r>
      <w:r w:rsidR="006A48A0" w:rsidRPr="00E60243">
        <w:t> </w:t>
      </w:r>
      <w:r w:rsidRPr="00E60243">
        <w:t>nr</w:t>
      </w:r>
      <w:r w:rsidR="006A48A0" w:rsidRPr="00E60243">
        <w:t> </w:t>
      </w:r>
      <w:r w:rsidRPr="00E60243">
        <w:t>182/2011</w:t>
      </w:r>
      <w:r w:rsidR="007051F7" w:rsidRPr="00E60243">
        <w:t>,</w:t>
      </w:r>
      <w:r w:rsidRPr="00E60243">
        <w:t xml:space="preserve"> millega kehtestatakse eeskirjad ja üldpõhimõtted, mis käsitlevad liikmesriikide läbiviidava kontrolli mehhanisme, mida kohaldatakse komisjoni rakendamisvolituste teostamise suhtes</w:t>
      </w:r>
      <w:bookmarkStart w:id="7" w:name="_Hlk210662860"/>
      <w:r w:rsidRPr="00E60243">
        <w:rPr>
          <w:vertAlign w:val="superscript"/>
        </w:rPr>
        <w:footnoteReference w:id="2"/>
      </w:r>
      <w:bookmarkEnd w:id="7"/>
      <w:r w:rsidRPr="00E60243">
        <w:t xml:space="preserve"> artiklit 11,</w:t>
      </w:r>
    </w:p>
    <w:p w14:paraId="481E8D6E" w14:textId="77777777" w:rsidR="005D69F2" w:rsidRPr="00E60243" w:rsidRDefault="005D69F2" w:rsidP="005D69F2">
      <w:pPr>
        <w:pStyle w:val="NormalHanging12a"/>
      </w:pPr>
      <w:bookmarkStart w:id="9" w:name="_Hlk210663128"/>
      <w:r w:rsidRPr="00E60243">
        <w:t>–</w:t>
      </w:r>
      <w:r w:rsidRPr="00E60243">
        <w:tab/>
        <w:t>võttes arvesse Euroopa Toiduohutusameti (EFSA) 26. märtsil 2025. aastal vastu võetud ja 13. mail 2025. aastal avaldatud arvamust</w:t>
      </w:r>
      <w:r w:rsidRPr="00E60243">
        <w:rPr>
          <w:vertAlign w:val="superscript"/>
        </w:rPr>
        <w:footnoteReference w:id="3"/>
      </w:r>
      <w:r w:rsidRPr="00E60243">
        <w:t>,</w:t>
      </w:r>
      <w:bookmarkEnd w:id="9"/>
    </w:p>
    <w:p w14:paraId="57248129" w14:textId="77777777" w:rsidR="005D69F2" w:rsidRPr="00E60243" w:rsidRDefault="005D69F2" w:rsidP="005D69F2">
      <w:pPr>
        <w:pStyle w:val="NormalHanging12a"/>
      </w:pPr>
      <w:r w:rsidRPr="00E60243">
        <w:t>–</w:t>
      </w:r>
      <w:r w:rsidRPr="00E60243">
        <w:tab/>
        <w:t xml:space="preserve">võttes arvesse oma varasemaid resolutsioone, milles esitatakse vastuväiteid geneetiliselt </w:t>
      </w:r>
      <w:r w:rsidRPr="00E60243">
        <w:lastRenderedPageBreak/>
        <w:t>muundatud organismide (GMOd) kasutamiseks lubade andmisele</w:t>
      </w:r>
      <w:r w:rsidRPr="00E60243">
        <w:rPr>
          <w:vertAlign w:val="superscript"/>
        </w:rPr>
        <w:footnoteReference w:id="4"/>
      </w:r>
      <w:r w:rsidRPr="00E60243">
        <w:t>,</w:t>
      </w:r>
    </w:p>
    <w:p w14:paraId="2E7BF7AF" w14:textId="77777777" w:rsidR="005D69F2" w:rsidRPr="00E60243" w:rsidRDefault="005D69F2" w:rsidP="005D69F2">
      <w:pPr>
        <w:pStyle w:val="NormalHanging12a"/>
      </w:pPr>
      <w:r w:rsidRPr="00E60243">
        <w:lastRenderedPageBreak/>
        <w:t>–</w:t>
      </w:r>
      <w:r w:rsidRPr="00E60243">
        <w:tab/>
        <w:t>võttes arvesse kodukorra artikli 115 lõikeid 2 ja 3,</w:t>
      </w:r>
    </w:p>
    <w:p w14:paraId="64D9BCBA" w14:textId="77777777" w:rsidR="005D69F2" w:rsidRPr="00E60243" w:rsidRDefault="005D69F2" w:rsidP="005D69F2">
      <w:pPr>
        <w:pStyle w:val="NormalHanging12a"/>
      </w:pPr>
      <w:r w:rsidRPr="00E60243">
        <w:t>–</w:t>
      </w:r>
      <w:r w:rsidRPr="00E60243">
        <w:tab/>
        <w:t>võttes arvesse keskkonna-, kliima- ja toiduohutuse komisjoni resolutsiooni ettepanekut,</w:t>
      </w:r>
    </w:p>
    <w:p w14:paraId="102A28B4" w14:textId="44528B8F" w:rsidR="005D69F2" w:rsidRPr="00E60243" w:rsidRDefault="005D69F2" w:rsidP="005D69F2">
      <w:pPr>
        <w:pStyle w:val="NormalHanging12a"/>
      </w:pPr>
      <w:r w:rsidRPr="00E60243">
        <w:t>A.</w:t>
      </w:r>
      <w:r w:rsidRPr="00E60243">
        <w:tab/>
        <w:t>arvestades, et komisjoni 24. aprilli 2015. aasta rakendusotsusega (EL) 2015/700</w:t>
      </w:r>
      <w:r w:rsidRPr="00E60243">
        <w:rPr>
          <w:vertAlign w:val="superscript"/>
        </w:rPr>
        <w:footnoteReference w:id="5"/>
      </w:r>
      <w:r w:rsidRPr="00E60243">
        <w:t xml:space="preserve"> anti luba lasta turule geneetiliselt muundatud sojauba MON 87708 (edaspidi „GM sojauba“) sisaldavaid, sellest koosnevaid või sellest toodetud </w:t>
      </w:r>
      <w:r w:rsidR="007051F7" w:rsidRPr="00E60243">
        <w:t>tooteid</w:t>
      </w:r>
      <w:r w:rsidRPr="00E60243">
        <w:t>;</w:t>
      </w:r>
    </w:p>
    <w:p w14:paraId="3C6841E8" w14:textId="2DC0B7F4" w:rsidR="005D69F2" w:rsidRPr="00E60243" w:rsidRDefault="005D69F2" w:rsidP="005D69F2">
      <w:pPr>
        <w:pStyle w:val="NormalHanging12a"/>
      </w:pPr>
      <w:r w:rsidRPr="00E60243">
        <w:t>B.</w:t>
      </w:r>
      <w:r w:rsidRPr="00E60243">
        <w:tab/>
        <w:t xml:space="preserve">arvestades, et 8. märtsil 2024 esitas Belgias asuv äriühing Bayer Agriculture B.V. Ameerika Ühendriikides asuva äriühingu Bayer CropScience LP nimel komisjonile taotluse kõnealuse loa kehtivuse pikendamiseks; arvestades, et kõnealune luba hõlmas ka selliste muude toodete (v.a toit ja sööt) turule laskmist, mis sisaldavad </w:t>
      </w:r>
      <w:r w:rsidR="00372F7E" w:rsidRPr="00E60243">
        <w:t xml:space="preserve">GM </w:t>
      </w:r>
      <w:r w:rsidRPr="00E60243">
        <w:t>sojauba või koosnevad sellest ja mida kasutatakse nagu muud sojauba, kuid mida ei viljelda;</w:t>
      </w:r>
    </w:p>
    <w:p w14:paraId="06B523D2" w14:textId="77777777" w:rsidR="005D69F2" w:rsidRPr="00E60243" w:rsidRDefault="005D69F2" w:rsidP="005D69F2">
      <w:pPr>
        <w:pStyle w:val="NormalHanging12a"/>
      </w:pPr>
      <w:r w:rsidRPr="00E60243">
        <w:t>C.</w:t>
      </w:r>
      <w:r w:rsidRPr="00E60243">
        <w:tab/>
        <w:t>arvestades, et EFSA esitas 26. märtsil 2025 heakskiitva arvamuse, jõudes järeldusele, et kõnealuses pikendamistaotluses ei ole esitatud tõendeid uute ohtude, kokkupuutega seotud muutuste ega teadusliku ebamäärasuse kohta, mis võiksid muuta 2013. aastal vastu võetud esialgse riskihindamise järeldusi;</w:t>
      </w:r>
    </w:p>
    <w:p w14:paraId="6E2BEE27" w14:textId="77777777" w:rsidR="005D69F2" w:rsidRPr="00E60243" w:rsidRDefault="005D69F2" w:rsidP="005D69F2">
      <w:pPr>
        <w:pStyle w:val="NormalHanging12a"/>
      </w:pPr>
      <w:r w:rsidRPr="00E60243">
        <w:t>D.</w:t>
      </w:r>
      <w:r w:rsidRPr="00E60243">
        <w:tab/>
        <w:t>arvestades, et EFSA arvamuses ei käsitletud piisavalt dikamba ulatusliku kasutamise kumulatiivset ja kombineeritud mõju, kaudseid terviseriske ega pikaajalisi ökoloogilisi tagajärgi;</w:t>
      </w:r>
    </w:p>
    <w:p w14:paraId="265C3738" w14:textId="555DDEA9" w:rsidR="005D69F2" w:rsidRPr="00E60243" w:rsidRDefault="005D69F2" w:rsidP="005D69F2">
      <w:pPr>
        <w:pStyle w:val="NormalHanging12a"/>
      </w:pPr>
      <w:r w:rsidRPr="00E60243">
        <w:t>E.</w:t>
      </w:r>
      <w:r w:rsidRPr="00E60243">
        <w:tab/>
        <w:t xml:space="preserve">arvestades, et </w:t>
      </w:r>
      <w:r w:rsidR="00372F7E" w:rsidRPr="00E60243">
        <w:t>GM</w:t>
      </w:r>
      <w:r w:rsidRPr="00E60243">
        <w:t xml:space="preserve"> sojauba on tolerantne herbitsiidi dikamba suhtes, mida seostatakse märkimisväärsete riskidega elurikkusele ning mulla ja vee tervisele, samuti triiviga põldudelt väljapoole, mis kahjustab naaberkultuure ja -ökosüsteeme;</w:t>
      </w:r>
    </w:p>
    <w:p w14:paraId="3ABF2C4C" w14:textId="77777777" w:rsidR="005D69F2" w:rsidRPr="00E60243" w:rsidRDefault="005D69F2" w:rsidP="005D69F2">
      <w:pPr>
        <w:pStyle w:val="NormalHanging12a"/>
      </w:pPr>
      <w:r w:rsidRPr="00E60243">
        <w:t>F.</w:t>
      </w:r>
      <w:r w:rsidRPr="00E60243">
        <w:tab/>
        <w:t>arvestades, et dikambaresistentsete geneetiliselt muundatud sojaubade levik eksportivates riikides on olnud seotud herbitsiidide laialdase triivi, põllumajandustootjate vaidluste ja ökosüsteemi mõjuga, tuues esile sotsiaal-</w:t>
      </w:r>
      <w:r w:rsidRPr="00E60243">
        <w:lastRenderedPageBreak/>
        <w:t>majanduslikud ja keskkonnaprobleemid;</w:t>
      </w:r>
    </w:p>
    <w:p w14:paraId="531327FD" w14:textId="77777777" w:rsidR="005D69F2" w:rsidRPr="00E60243" w:rsidRDefault="005D69F2" w:rsidP="005D69F2">
      <w:pPr>
        <w:pStyle w:val="NormalHanging12a"/>
      </w:pPr>
      <w:r w:rsidRPr="00E60243">
        <w:t>G.</w:t>
      </w:r>
      <w:r w:rsidRPr="00E60243">
        <w:tab/>
        <w:t>arvestades, et komisjoni rakendusotsuse eelnõus ette nähtud keskkonnamõju seire põhineb üldisel seirel ega hõlma sihipäraseid tolmeldajate, mullaorganismide ega veeliikide uuringuid;</w:t>
      </w:r>
    </w:p>
    <w:p w14:paraId="20F20096" w14:textId="77777777" w:rsidR="005D69F2" w:rsidRPr="00E60243" w:rsidRDefault="005D69F2" w:rsidP="005D69F2">
      <w:pPr>
        <w:pStyle w:val="NormalHanging12a"/>
      </w:pPr>
      <w:r w:rsidRPr="00E60243">
        <w:t>H.</w:t>
      </w:r>
      <w:r w:rsidRPr="00E60243">
        <w:tab/>
        <w:t>arvestades, et teadusliku ebamäärasuse ja täiendava herbitsiidi kasutamisest tulenevate dokumenteeritud riskide korral tuleks kohaldada Euroopa Liidu toimimise lepingu artiklis 191 sätestatud ettevaatuspõhimõtet;</w:t>
      </w:r>
    </w:p>
    <w:p w14:paraId="7F0D2EA4" w14:textId="77777777" w:rsidR="005D69F2" w:rsidRPr="00E60243" w:rsidRDefault="005D69F2" w:rsidP="005D69F2">
      <w:pPr>
        <w:pStyle w:val="NormalHanging12a"/>
      </w:pPr>
      <w:r w:rsidRPr="00E60243">
        <w:t>I.</w:t>
      </w:r>
      <w:r w:rsidRPr="00E60243">
        <w:tab/>
        <w:t>arvestades, et määruses (EÜ) nr 1829/2003 nõutakse, et geneetiliselt muundatud toit ja sööt ei tohi avaldada kahjulikku mõju inimeste ja loomade tervisele ega keskkonnale;</w:t>
      </w:r>
    </w:p>
    <w:p w14:paraId="37C3339A" w14:textId="77777777" w:rsidR="005D69F2" w:rsidRPr="00E60243" w:rsidRDefault="005D69F2" w:rsidP="005D69F2">
      <w:pPr>
        <w:pStyle w:val="NormalHanging12a"/>
      </w:pPr>
      <w:r w:rsidRPr="00E60243">
        <w:t>J.</w:t>
      </w:r>
      <w:r w:rsidRPr="00E60243">
        <w:tab/>
        <w:t>arvestades, et terviseühtsuse põhimõtte kohaselt tuleb arvesse võtta geneetiliselt muundatud põllukultuuride lubade läbipõimunud mõju inimeste, loomade, taimede ja keskkonna tervisele, mida praeguses hinnangus piisavalt ei kajastata;</w:t>
      </w:r>
    </w:p>
    <w:p w14:paraId="569F75AF" w14:textId="0D33DD21" w:rsidR="005D69F2" w:rsidRPr="00E60243" w:rsidRDefault="005D69F2" w:rsidP="005D69F2">
      <w:pPr>
        <w:pStyle w:val="NormalHanging12a"/>
      </w:pPr>
      <w:r w:rsidRPr="00E60243">
        <w:t>K.</w:t>
      </w:r>
      <w:r w:rsidRPr="00E60243">
        <w:tab/>
        <w:t xml:space="preserve">arvestades, et Euroopa Parlament on korduvalt esitanud vastuväiteid GMOde lubadele või lubade kehtivuse pikendamisele, kui liikmesriigid ei saavuta </w:t>
      </w:r>
      <w:bookmarkStart w:id="10" w:name="_Hlk210672442"/>
      <w:r w:rsidRPr="00E60243">
        <w:t>alalises taime-, looma-, toidu- ja söödakomitees või apellatsioonikomitees</w:t>
      </w:r>
      <w:bookmarkEnd w:id="10"/>
      <w:r w:rsidRPr="00E60243">
        <w:t xml:space="preserve"> kvalifitseeritud häälteenamust, toonitades </w:t>
      </w:r>
      <w:r w:rsidR="007051F7" w:rsidRPr="00E60243">
        <w:t xml:space="preserve">püsivat </w:t>
      </w:r>
      <w:r w:rsidRPr="00E60243">
        <w:t>demokraatia puudujääki GMOdele loa andmise menetluses;</w:t>
      </w:r>
    </w:p>
    <w:p w14:paraId="3E729324" w14:textId="12A00817" w:rsidR="005D69F2" w:rsidRPr="00E60243" w:rsidRDefault="005D69F2" w:rsidP="005D69F2">
      <w:pPr>
        <w:pStyle w:val="NormalHanging12a"/>
      </w:pPr>
      <w:r w:rsidRPr="00E60243">
        <w:t>1.</w:t>
      </w:r>
      <w:r w:rsidRPr="00E60243">
        <w:tab/>
        <w:t>on seisukohal, et komisjoni rakendusotsuse eelnõu ületab määruses (EÜ) nr 1829/2003 sätestatud rakendamisvolitusi;</w:t>
      </w:r>
    </w:p>
    <w:p w14:paraId="4C839A61" w14:textId="20630405" w:rsidR="005D69F2" w:rsidRPr="00E60243" w:rsidRDefault="005D69F2" w:rsidP="005D69F2">
      <w:pPr>
        <w:pStyle w:val="NormalHanging12a"/>
      </w:pPr>
      <w:r w:rsidRPr="00E60243">
        <w:t>2.</w:t>
      </w:r>
      <w:r w:rsidRPr="00E60243">
        <w:tab/>
        <w:t>on seisukohal, et komisjoni rakendusotsuse eelnõu on vastuolus liidu õigusega, sest see ei ole kooskõlas määruse (EÜ) nr 1829/2003 eesmärgiga, milleks Euroopa Parlamendi ja nõukogu määruses (EÜ) nr 178/2002</w:t>
      </w:r>
      <w:r w:rsidRPr="00E60243">
        <w:rPr>
          <w:vertAlign w:val="superscript"/>
        </w:rPr>
        <w:footnoteReference w:id="6"/>
      </w:r>
      <w:r w:rsidRPr="00E60243">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tõhus toimimine ja kooskõla ettevaatuspõhimõttega;</w:t>
      </w:r>
    </w:p>
    <w:p w14:paraId="6FC64DF5" w14:textId="77777777" w:rsidR="005D69F2" w:rsidRPr="00E60243" w:rsidRDefault="005D69F2" w:rsidP="005D69F2">
      <w:pPr>
        <w:pStyle w:val="NormalHanging12a"/>
      </w:pPr>
      <w:r w:rsidRPr="00E60243">
        <w:t>3.</w:t>
      </w:r>
      <w:r w:rsidRPr="00E60243">
        <w:tab/>
        <w:t>palub komisjonil oma rakendusotsuse eelnõu tagasi võtta;</w:t>
      </w:r>
    </w:p>
    <w:p w14:paraId="25A99E3A" w14:textId="19B6E566" w:rsidR="005D69F2" w:rsidRPr="00E60243" w:rsidRDefault="005D69F2" w:rsidP="005D69F2">
      <w:pPr>
        <w:pStyle w:val="NormalHanging12a"/>
      </w:pPr>
      <w:r w:rsidRPr="00E60243">
        <w:t>4.</w:t>
      </w:r>
      <w:r w:rsidRPr="00E60243">
        <w:tab/>
        <w:t xml:space="preserve">kutsub komisjoni üles mitte pikendama </w:t>
      </w:r>
      <w:r w:rsidR="00372F7E" w:rsidRPr="00E60243">
        <w:t>GM</w:t>
      </w:r>
      <w:r w:rsidRPr="00E60243">
        <w:t xml:space="preserve"> sojaoa luba dikamba kasutamise, keskkonnamõju ja ebapiisavate pikaajaliste tõenditega seotud riskide tõttu kooskõlas terviseühtsuse põhimõttega;</w:t>
      </w:r>
      <w:bookmarkStart w:id="11" w:name="_Hlk210900300"/>
    </w:p>
    <w:p w14:paraId="7727D209" w14:textId="77C4ACA6" w:rsidR="005D69F2" w:rsidRPr="00E60243" w:rsidRDefault="005D69F2" w:rsidP="005D69F2">
      <w:pPr>
        <w:pStyle w:val="NormalHanging12a"/>
      </w:pPr>
      <w:r w:rsidRPr="00E60243">
        <w:t>5.</w:t>
      </w:r>
      <w:r w:rsidRPr="00E60243">
        <w:tab/>
        <w:t>kutsub komisjoni üles esitama viivitamata seadusandliku ettepaneku GMOsid käsitleva otsustusprotsessi reformimiseks, et reageerida Euroopa Parlamendi järjepidevatele vastuväidetele ja liikmesriikide kvalifitseeritud häälteenamuse puudumisele</w:t>
      </w:r>
      <w:bookmarkEnd w:id="11"/>
      <w:r w:rsidRPr="00E60243">
        <w:t>;</w:t>
      </w:r>
      <w:bookmarkStart w:id="12" w:name="_Hlk210900241"/>
    </w:p>
    <w:p w14:paraId="4DB1A199" w14:textId="77777777" w:rsidR="005D69F2" w:rsidRPr="00E60243" w:rsidRDefault="005D69F2" w:rsidP="005D69F2">
      <w:pPr>
        <w:pStyle w:val="NormalHanging12a"/>
      </w:pPr>
      <w:r w:rsidRPr="00E60243">
        <w:t>6.</w:t>
      </w:r>
      <w:r w:rsidRPr="00E60243">
        <w:tab/>
        <w:t>nõuab tungivalt, et komisjon võtaks arvesse liidu kohustusi, mis tulenevad rahvusvahelistest kokkulepetest, nagu Pariisi kliimakokkulepe, ÜRO bioloogilise mitmekesisuse konventsioon ja ÜRO kestliku arengu eesmärgid;</w:t>
      </w:r>
    </w:p>
    <w:bookmarkEnd w:id="12"/>
    <w:p w14:paraId="67C3537A" w14:textId="01A81D6C" w:rsidR="00E365E1" w:rsidRPr="00E60243" w:rsidRDefault="005D69F2" w:rsidP="006A48A0">
      <w:pPr>
        <w:pStyle w:val="NormalHanging12a"/>
      </w:pPr>
      <w:r w:rsidRPr="00E60243">
        <w:lastRenderedPageBreak/>
        <w:t>7.</w:t>
      </w:r>
      <w:r w:rsidRPr="00E60243">
        <w:tab/>
        <w:t>teeb presidendile ülesandeks edastada käesolev resolutsioon nõukogule ja komisjonile ning liikmesriikide valitsustele ja parlamentidele.</w:t>
      </w:r>
    </w:p>
    <w:sectPr w:rsidR="00E365E1" w:rsidRPr="00E60243" w:rsidSect="00E41F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D2325" w14:textId="77777777" w:rsidR="006904D0" w:rsidRPr="00E41F8A" w:rsidRDefault="006904D0">
      <w:r w:rsidRPr="00E41F8A">
        <w:separator/>
      </w:r>
    </w:p>
  </w:endnote>
  <w:endnote w:type="continuationSeparator" w:id="0">
    <w:p w14:paraId="6EA1A286" w14:textId="77777777" w:rsidR="006904D0" w:rsidRPr="00E41F8A" w:rsidRDefault="006904D0">
      <w:r w:rsidRPr="00E41F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FEBAE" w14:textId="77777777" w:rsidR="00064002" w:rsidRPr="00E41F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FD25F" w14:textId="77777777" w:rsidR="00064002" w:rsidRPr="00E41F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950C" w14:textId="77777777" w:rsidR="00064002" w:rsidRPr="00E41F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D50CA" w14:textId="77777777" w:rsidR="006904D0" w:rsidRPr="00E41F8A" w:rsidRDefault="006904D0">
      <w:r w:rsidRPr="00E41F8A">
        <w:separator/>
      </w:r>
    </w:p>
  </w:footnote>
  <w:footnote w:type="continuationSeparator" w:id="0">
    <w:p w14:paraId="65C0F123" w14:textId="77777777" w:rsidR="006904D0" w:rsidRPr="00E41F8A" w:rsidRDefault="006904D0">
      <w:r w:rsidRPr="00E41F8A">
        <w:continuationSeparator/>
      </w:r>
    </w:p>
  </w:footnote>
  <w:footnote w:id="1">
    <w:p w14:paraId="0B6AA45B" w14:textId="188B4C8E" w:rsidR="005D69F2" w:rsidRPr="00E41F8A" w:rsidRDefault="005D69F2" w:rsidP="00E41F8A">
      <w:pPr>
        <w:pStyle w:val="FootnoteText"/>
        <w:ind w:left="567" w:hanging="567"/>
        <w:rPr>
          <w:sz w:val="24"/>
          <w:szCs w:val="22"/>
          <w:lang w:val="et-EE"/>
        </w:rPr>
      </w:pPr>
      <w:r w:rsidRPr="00E41F8A">
        <w:rPr>
          <w:sz w:val="24"/>
          <w:szCs w:val="22"/>
          <w:vertAlign w:val="superscript"/>
          <w:lang w:val="et-EE"/>
        </w:rPr>
        <w:footnoteRef/>
      </w:r>
      <w:r w:rsidR="00E41F8A" w:rsidRPr="00E41F8A">
        <w:rPr>
          <w:sz w:val="24"/>
          <w:lang w:val="et-EE"/>
        </w:rPr>
        <w:t xml:space="preserve"> </w:t>
      </w:r>
      <w:r w:rsidR="00E41F8A" w:rsidRPr="00E41F8A">
        <w:rPr>
          <w:sz w:val="24"/>
          <w:lang w:val="et-EE"/>
        </w:rPr>
        <w:tab/>
      </w:r>
      <w:r w:rsidRPr="00E41F8A">
        <w:rPr>
          <w:sz w:val="24"/>
          <w:lang w:val="et-EE"/>
        </w:rPr>
        <w:t>ELT L 268, 18.10.2003, lk 1, ELI: </w:t>
      </w:r>
      <w:hyperlink r:id="rId1" w:tgtFrame="Gives access to this document through its ELI URI." w:history="1">
        <w:r w:rsidRPr="00E41F8A">
          <w:rPr>
            <w:rStyle w:val="Hyperlink"/>
            <w:sz w:val="24"/>
            <w:lang w:val="et-EE"/>
          </w:rPr>
          <w:t>http://data.europa.eu/eli/reg/2003/18/oj</w:t>
        </w:r>
      </w:hyperlink>
    </w:p>
  </w:footnote>
  <w:footnote w:id="2">
    <w:p w14:paraId="152FF3AE" w14:textId="7B002C25" w:rsidR="005D69F2" w:rsidRPr="00E41F8A" w:rsidRDefault="005D69F2" w:rsidP="00E41F8A">
      <w:pPr>
        <w:pStyle w:val="FootnoteText"/>
        <w:ind w:left="567" w:hanging="567"/>
        <w:rPr>
          <w:sz w:val="24"/>
          <w:szCs w:val="22"/>
          <w:lang w:val="et-EE"/>
        </w:rPr>
      </w:pPr>
      <w:r w:rsidRPr="00E41F8A">
        <w:rPr>
          <w:rStyle w:val="FootnoteReference"/>
          <w:sz w:val="24"/>
          <w:szCs w:val="22"/>
          <w:lang w:val="et-EE"/>
        </w:rPr>
        <w:footnoteRef/>
      </w:r>
      <w:bookmarkStart w:id="8" w:name="_Hlk210663104"/>
      <w:r w:rsidR="00E41F8A" w:rsidRPr="00E41F8A">
        <w:rPr>
          <w:sz w:val="24"/>
          <w:lang w:val="et-EE"/>
        </w:rPr>
        <w:t xml:space="preserve"> </w:t>
      </w:r>
      <w:r w:rsidR="00E41F8A" w:rsidRPr="00E41F8A">
        <w:rPr>
          <w:sz w:val="24"/>
          <w:lang w:val="et-EE"/>
        </w:rPr>
        <w:tab/>
      </w:r>
      <w:r w:rsidRPr="00E41F8A">
        <w:rPr>
          <w:sz w:val="24"/>
          <w:lang w:val="et-EE"/>
        </w:rPr>
        <w:t xml:space="preserve">ELT L 55, 28.2.2011, lk 13, ELI: </w:t>
      </w:r>
      <w:hyperlink r:id="rId2" w:history="1">
        <w:r w:rsidRPr="00E41F8A">
          <w:rPr>
            <w:rStyle w:val="Hyperlink"/>
            <w:sz w:val="24"/>
            <w:lang w:val="et-EE"/>
          </w:rPr>
          <w:t>http://data.europa.eu/eli/reg/2011/182/oj</w:t>
        </w:r>
      </w:hyperlink>
      <w:r w:rsidRPr="00E41F8A">
        <w:rPr>
          <w:sz w:val="24"/>
          <w:lang w:val="et-EE"/>
        </w:rPr>
        <w:t>.</w:t>
      </w:r>
      <w:bookmarkEnd w:id="8"/>
    </w:p>
  </w:footnote>
  <w:footnote w:id="3">
    <w:p w14:paraId="6BA40BA9" w14:textId="26FA7279" w:rsidR="005D69F2" w:rsidRPr="00E41F8A" w:rsidRDefault="005D69F2" w:rsidP="00E41F8A">
      <w:pPr>
        <w:pStyle w:val="FootnoteText"/>
        <w:ind w:left="567" w:hanging="567"/>
        <w:rPr>
          <w:sz w:val="24"/>
          <w:szCs w:val="22"/>
          <w:lang w:val="et-EE"/>
        </w:rPr>
      </w:pPr>
      <w:r w:rsidRPr="00E41F8A">
        <w:rPr>
          <w:sz w:val="24"/>
          <w:szCs w:val="22"/>
          <w:vertAlign w:val="superscript"/>
          <w:lang w:val="et-EE"/>
        </w:rPr>
        <w:footnoteRef/>
      </w:r>
      <w:r w:rsidR="00E41F8A" w:rsidRPr="00E41F8A">
        <w:rPr>
          <w:sz w:val="24"/>
          <w:lang w:val="et-EE"/>
        </w:rPr>
        <w:t xml:space="preserve"> </w:t>
      </w:r>
      <w:r w:rsidR="00E41F8A" w:rsidRPr="00E41F8A">
        <w:rPr>
          <w:sz w:val="24"/>
          <w:lang w:val="et-EE"/>
        </w:rPr>
        <w:tab/>
      </w:r>
      <w:r w:rsidRPr="00E41F8A">
        <w:rPr>
          <w:sz w:val="24"/>
          <w:lang w:val="et-EE"/>
        </w:rPr>
        <w:t xml:space="preserve">EFSA geneetiliselt muundatud organismide komisjoni teaduslik arvamus geneetiliselt muundatud sojaoa MON 87708 hindamise kohta (taotlus GMFF-2023-21237). EFSA Journal 2025;23(5):9379; </w:t>
      </w:r>
      <w:hyperlink r:id="rId3" w:history="1">
        <w:r w:rsidRPr="006A48A0">
          <w:rPr>
            <w:rStyle w:val="Hyperlink"/>
            <w:sz w:val="24"/>
            <w:lang w:val="et-EE"/>
          </w:rPr>
          <w:t>https://doi.org/10.2903/j.efsa.2025.9379</w:t>
        </w:r>
      </w:hyperlink>
      <w:r w:rsidRPr="00E41F8A">
        <w:rPr>
          <w:sz w:val="24"/>
          <w:lang w:val="et-EE"/>
        </w:rPr>
        <w:t>.</w:t>
      </w:r>
    </w:p>
  </w:footnote>
  <w:footnote w:id="4">
    <w:p w14:paraId="0F604E1B" w14:textId="62BF7958" w:rsidR="005D69F2" w:rsidRPr="00E41F8A" w:rsidRDefault="005D69F2" w:rsidP="00E41F8A">
      <w:pPr>
        <w:pStyle w:val="FootnoteText"/>
        <w:ind w:left="567" w:hanging="567"/>
        <w:rPr>
          <w:color w:val="000000" w:themeColor="text1"/>
          <w:sz w:val="24"/>
          <w:szCs w:val="22"/>
          <w:vertAlign w:val="superscript"/>
          <w:lang w:val="et-EE"/>
        </w:rPr>
      </w:pPr>
      <w:r w:rsidRPr="00E41F8A">
        <w:rPr>
          <w:rStyle w:val="FootnoteReference"/>
          <w:sz w:val="24"/>
          <w:szCs w:val="22"/>
          <w:lang w:val="et-EE"/>
        </w:rPr>
        <w:footnoteRef/>
      </w:r>
      <w:r w:rsidR="00E41F8A" w:rsidRPr="00E41F8A">
        <w:rPr>
          <w:color w:val="000000" w:themeColor="text1"/>
          <w:sz w:val="24"/>
          <w:lang w:val="et-EE"/>
        </w:rPr>
        <w:t xml:space="preserve"> </w:t>
      </w:r>
      <w:r w:rsidR="00E41F8A" w:rsidRPr="00E41F8A">
        <w:rPr>
          <w:color w:val="000000" w:themeColor="text1"/>
          <w:sz w:val="24"/>
          <w:lang w:val="et-EE"/>
        </w:rPr>
        <w:tab/>
      </w:r>
      <w:r w:rsidR="006A48A0">
        <w:rPr>
          <w:color w:val="000000" w:themeColor="text1"/>
          <w:sz w:val="24"/>
          <w:lang w:val="et-EE"/>
        </w:rPr>
        <w:t xml:space="preserve">Euroopa </w:t>
      </w:r>
      <w:r w:rsidRPr="00E41F8A">
        <w:rPr>
          <w:color w:val="000000" w:themeColor="text1"/>
          <w:sz w:val="24"/>
          <w:lang w:val="et-EE"/>
        </w:rPr>
        <w:t>Parlament võttis kaheksandal ametiajal vastu 36 resolutsiooni ja üheksandal ametiajal 38 resolutsiooni, milles vaidlustati GMOde kasutamiseks lubade andmine. Lisaks sellele on Euroopa Parlament kümnendal ametiajal vastu võtnud järgmised resolutsioonid:</w:t>
      </w:r>
    </w:p>
    <w:p w14:paraId="7CA11116" w14:textId="681F49BE" w:rsidR="005D69F2" w:rsidRPr="00E41F8A" w:rsidRDefault="00E41F8A" w:rsidP="00E41F8A">
      <w:pPr>
        <w:pStyle w:val="FootnoteText"/>
        <w:ind w:left="567" w:hanging="567"/>
        <w:rPr>
          <w:color w:val="000000" w:themeColor="text1"/>
          <w:sz w:val="24"/>
          <w:szCs w:val="22"/>
          <w:vertAlign w:val="superscript"/>
          <w:lang w:val="et-EE"/>
        </w:rPr>
      </w:pPr>
      <w:r w:rsidRPr="00E41F8A">
        <w:rPr>
          <w:color w:val="000000" w:themeColor="text1"/>
          <w:sz w:val="24"/>
          <w:lang w:val="et-EE"/>
        </w:rPr>
        <w:t xml:space="preserve"> </w:t>
      </w:r>
      <w:r w:rsidRPr="00E41F8A">
        <w:rPr>
          <w:color w:val="000000" w:themeColor="text1"/>
          <w:sz w:val="24"/>
          <w:lang w:val="et-EE"/>
        </w:rPr>
        <w:tab/>
      </w:r>
      <w:r w:rsidR="005D69F2" w:rsidRPr="00E41F8A">
        <w:rPr>
          <w:color w:val="000000" w:themeColor="text1"/>
          <w:sz w:val="24"/>
          <w:lang w:val="et-EE"/>
        </w:rPr>
        <w:t>–</w:t>
      </w:r>
      <w:r w:rsidR="005D69F2" w:rsidRPr="00E41F8A">
        <w:rPr>
          <w:color w:val="000000" w:themeColor="text1"/>
          <w:sz w:val="24"/>
          <w:lang w:val="et-EE"/>
        </w:rPr>
        <w:tab/>
        <w:t xml:space="preserve">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4" w:history="1">
        <w:r w:rsidR="005D69F2" w:rsidRPr="00E41F8A">
          <w:rPr>
            <w:rStyle w:val="Hyperlink"/>
            <w:sz w:val="24"/>
            <w:lang w:val="et-EE"/>
          </w:rPr>
          <w:t>http://data.europa.eu/eli/C/2025/1797/oj</w:t>
        </w:r>
      </w:hyperlink>
      <w:r w:rsidR="005D69F2" w:rsidRPr="00E41F8A">
        <w:rPr>
          <w:color w:val="000000" w:themeColor="text1"/>
          <w:sz w:val="24"/>
          <w:lang w:val="et-EE"/>
        </w:rPr>
        <w:t>).</w:t>
      </w:r>
    </w:p>
    <w:p w14:paraId="4A196A6F" w14:textId="135CF311" w:rsidR="005D69F2" w:rsidRPr="00E41F8A" w:rsidRDefault="00E41F8A" w:rsidP="00E41F8A">
      <w:pPr>
        <w:pStyle w:val="FootnoteText"/>
        <w:ind w:left="567" w:hanging="567"/>
        <w:rPr>
          <w:color w:val="000000" w:themeColor="text1"/>
          <w:sz w:val="24"/>
          <w:szCs w:val="22"/>
          <w:vertAlign w:val="superscript"/>
          <w:lang w:val="et-EE"/>
        </w:rPr>
      </w:pPr>
      <w:r w:rsidRPr="00E41F8A">
        <w:rPr>
          <w:color w:val="000000" w:themeColor="text1"/>
          <w:sz w:val="24"/>
          <w:lang w:val="et-EE"/>
        </w:rPr>
        <w:t xml:space="preserve"> </w:t>
      </w:r>
      <w:r w:rsidRPr="00E41F8A">
        <w:rPr>
          <w:color w:val="000000" w:themeColor="text1"/>
          <w:sz w:val="24"/>
          <w:lang w:val="et-EE"/>
        </w:rPr>
        <w:tab/>
      </w:r>
      <w:r w:rsidR="005D69F2" w:rsidRPr="00E41F8A">
        <w:rPr>
          <w:color w:val="000000" w:themeColor="text1"/>
          <w:sz w:val="24"/>
          <w:lang w:val="et-EE"/>
        </w:rPr>
        <w:t>–</w:t>
      </w:r>
      <w:r w:rsidR="005D69F2" w:rsidRPr="00E41F8A">
        <w:rPr>
          <w:color w:val="000000" w:themeColor="text1"/>
          <w:sz w:val="24"/>
          <w:lang w:val="et-EE"/>
        </w:rPr>
        <w:tab/>
        <w:t xml:space="preserve">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history="1">
        <w:r w:rsidR="005D69F2" w:rsidRPr="00E41F8A">
          <w:rPr>
            <w:rStyle w:val="Hyperlink"/>
            <w:sz w:val="24"/>
            <w:lang w:val="et-EE"/>
          </w:rPr>
          <w:t>http://data.europa.eu/eli/C/2025/1798/oj</w:t>
        </w:r>
      </w:hyperlink>
      <w:r w:rsidR="005D69F2" w:rsidRPr="00E41F8A">
        <w:rPr>
          <w:color w:val="000000" w:themeColor="text1"/>
          <w:sz w:val="24"/>
          <w:lang w:val="et-EE"/>
        </w:rPr>
        <w:t>).</w:t>
      </w:r>
    </w:p>
    <w:p w14:paraId="4C14FE76" w14:textId="6FE57C02" w:rsidR="005D69F2" w:rsidRPr="00E41F8A" w:rsidRDefault="00E41F8A" w:rsidP="00E41F8A">
      <w:pPr>
        <w:pStyle w:val="FootnoteText"/>
        <w:ind w:left="567" w:hanging="567"/>
        <w:rPr>
          <w:color w:val="000000" w:themeColor="text1"/>
          <w:sz w:val="24"/>
          <w:szCs w:val="22"/>
          <w:vertAlign w:val="superscript"/>
          <w:lang w:val="et-EE"/>
        </w:rPr>
      </w:pPr>
      <w:r w:rsidRPr="00E41F8A">
        <w:rPr>
          <w:color w:val="000000" w:themeColor="text1"/>
          <w:sz w:val="24"/>
          <w:lang w:val="et-EE"/>
        </w:rPr>
        <w:t xml:space="preserve"> </w:t>
      </w:r>
      <w:r w:rsidRPr="00E41F8A">
        <w:rPr>
          <w:color w:val="000000" w:themeColor="text1"/>
          <w:sz w:val="24"/>
          <w:lang w:val="et-EE"/>
        </w:rPr>
        <w:tab/>
      </w:r>
      <w:r w:rsidR="005D69F2" w:rsidRPr="00E41F8A">
        <w:rPr>
          <w:color w:val="000000" w:themeColor="text1"/>
          <w:sz w:val="24"/>
          <w:lang w:val="et-EE"/>
        </w:rPr>
        <w:t>–</w:t>
      </w:r>
      <w:r w:rsidR="005D69F2" w:rsidRPr="00E41F8A">
        <w:rPr>
          <w:color w:val="000000" w:themeColor="text1"/>
          <w:sz w:val="24"/>
          <w:lang w:val="et-EE"/>
        </w:rPr>
        <w:tab/>
        <w:t xml:space="preserve">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6" w:history="1">
        <w:r w:rsidR="005D69F2" w:rsidRPr="00E41F8A">
          <w:rPr>
            <w:rStyle w:val="Hyperlink"/>
            <w:sz w:val="24"/>
            <w:lang w:val="et-EE"/>
          </w:rPr>
          <w:t>http://data.europa.eu/eli/C/2025/1799/oj</w:t>
        </w:r>
      </w:hyperlink>
      <w:r w:rsidR="005D69F2" w:rsidRPr="00E41F8A">
        <w:rPr>
          <w:color w:val="000000" w:themeColor="text1"/>
          <w:sz w:val="24"/>
          <w:lang w:val="et-EE"/>
        </w:rPr>
        <w:t>).</w:t>
      </w:r>
    </w:p>
    <w:p w14:paraId="5C72E269" w14:textId="51D358B4" w:rsidR="005D69F2" w:rsidRPr="00E41F8A" w:rsidRDefault="00E41F8A" w:rsidP="00E41F8A">
      <w:pPr>
        <w:pStyle w:val="FootnoteText"/>
        <w:ind w:left="567" w:hanging="567"/>
        <w:rPr>
          <w:color w:val="000000" w:themeColor="text1"/>
          <w:sz w:val="24"/>
          <w:szCs w:val="22"/>
          <w:vertAlign w:val="superscript"/>
          <w:lang w:val="et-EE"/>
        </w:rPr>
      </w:pPr>
      <w:r w:rsidRPr="00E41F8A">
        <w:rPr>
          <w:color w:val="000000" w:themeColor="text1"/>
          <w:sz w:val="24"/>
          <w:lang w:val="et-EE"/>
        </w:rPr>
        <w:t xml:space="preserve"> </w:t>
      </w:r>
      <w:r w:rsidRPr="00E41F8A">
        <w:rPr>
          <w:color w:val="000000" w:themeColor="text1"/>
          <w:sz w:val="24"/>
          <w:lang w:val="et-EE"/>
        </w:rPr>
        <w:tab/>
      </w:r>
      <w:r w:rsidR="005D69F2" w:rsidRPr="00E41F8A">
        <w:rPr>
          <w:color w:val="000000" w:themeColor="text1"/>
          <w:sz w:val="24"/>
          <w:lang w:val="et-EE"/>
        </w:rPr>
        <w:t>–</w:t>
      </w:r>
      <w:r w:rsidR="005D69F2" w:rsidRPr="00E41F8A">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turuleviimise loa kehtivust vastavalt Euroopa Parlamendi ja nõukogu määrusele (EÜ) nr 1829/2003 ning tunnistatakse kehtetuks komisjoni rakendusotsus (EL) 2017/1207 (ELT C, C/2025/1800, 4.4.2025, ELI: </w:t>
      </w:r>
      <w:hyperlink r:id="rId7" w:history="1">
        <w:r w:rsidR="005D69F2" w:rsidRPr="00E41F8A">
          <w:rPr>
            <w:rStyle w:val="Hyperlink"/>
            <w:sz w:val="24"/>
            <w:lang w:val="et-EE"/>
          </w:rPr>
          <w:t>http://data.europa.eu/eli/C/2025/1800/oj</w:t>
        </w:r>
      </w:hyperlink>
      <w:r w:rsidR="005D69F2" w:rsidRPr="00E41F8A">
        <w:rPr>
          <w:color w:val="000000" w:themeColor="text1"/>
          <w:sz w:val="24"/>
          <w:lang w:val="et-EE"/>
        </w:rPr>
        <w:t>).</w:t>
      </w:r>
    </w:p>
    <w:p w14:paraId="3E64C56A" w14:textId="33FED486" w:rsidR="005D69F2" w:rsidRPr="00E41F8A" w:rsidRDefault="00E41F8A" w:rsidP="00E41F8A">
      <w:pPr>
        <w:pStyle w:val="FootnoteText"/>
        <w:ind w:left="567" w:hanging="567"/>
        <w:rPr>
          <w:color w:val="000000" w:themeColor="text1"/>
          <w:sz w:val="24"/>
          <w:szCs w:val="22"/>
          <w:vertAlign w:val="superscript"/>
          <w:lang w:val="et-EE"/>
        </w:rPr>
      </w:pPr>
      <w:r w:rsidRPr="00E41F8A">
        <w:rPr>
          <w:color w:val="000000" w:themeColor="text1"/>
          <w:sz w:val="24"/>
          <w:lang w:val="et-EE"/>
        </w:rPr>
        <w:t xml:space="preserve"> </w:t>
      </w:r>
      <w:r w:rsidRPr="00E41F8A">
        <w:rPr>
          <w:color w:val="000000" w:themeColor="text1"/>
          <w:sz w:val="24"/>
          <w:lang w:val="et-EE"/>
        </w:rPr>
        <w:tab/>
      </w:r>
      <w:r w:rsidR="005D69F2" w:rsidRPr="00E41F8A">
        <w:rPr>
          <w:color w:val="000000" w:themeColor="text1"/>
          <w:sz w:val="24"/>
          <w:lang w:val="et-EE"/>
        </w:rPr>
        <w:t>–</w:t>
      </w:r>
      <w:r w:rsidR="005D69F2" w:rsidRPr="00E41F8A">
        <w:rPr>
          <w:color w:val="000000" w:themeColor="text1"/>
          <w:sz w:val="24"/>
          <w:lang w:val="et-EE"/>
        </w:rPr>
        <w:tab/>
        <w:t xml:space="preserve">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8" w:history="1">
        <w:r w:rsidR="005D69F2" w:rsidRPr="00E41F8A">
          <w:rPr>
            <w:rStyle w:val="Hyperlink"/>
            <w:sz w:val="24"/>
            <w:lang w:val="et-EE"/>
          </w:rPr>
          <w:t>http://data.europa.eu/eli/C/2025/1801/oj</w:t>
        </w:r>
      </w:hyperlink>
      <w:r w:rsidR="005D69F2" w:rsidRPr="00E41F8A">
        <w:rPr>
          <w:color w:val="000000" w:themeColor="text1"/>
          <w:sz w:val="24"/>
          <w:lang w:val="et-EE"/>
        </w:rPr>
        <w:t>).</w:t>
      </w:r>
    </w:p>
    <w:p w14:paraId="3AF6433B" w14:textId="522BD811" w:rsidR="005D69F2" w:rsidRPr="00E41F8A" w:rsidRDefault="00E41F8A" w:rsidP="00E41F8A">
      <w:pPr>
        <w:pStyle w:val="FootnoteText"/>
        <w:ind w:left="567" w:hanging="567"/>
        <w:rPr>
          <w:color w:val="000000" w:themeColor="text1"/>
          <w:sz w:val="24"/>
          <w:szCs w:val="22"/>
          <w:vertAlign w:val="superscript"/>
          <w:lang w:val="et-EE"/>
        </w:rPr>
      </w:pPr>
      <w:r w:rsidRPr="00E41F8A">
        <w:rPr>
          <w:color w:val="000000" w:themeColor="text1"/>
          <w:sz w:val="24"/>
          <w:lang w:val="et-EE"/>
        </w:rPr>
        <w:t xml:space="preserve"> </w:t>
      </w:r>
      <w:r w:rsidRPr="00E41F8A">
        <w:rPr>
          <w:color w:val="000000" w:themeColor="text1"/>
          <w:sz w:val="24"/>
          <w:lang w:val="et-EE"/>
        </w:rPr>
        <w:tab/>
      </w:r>
      <w:r w:rsidR="005D69F2" w:rsidRPr="00E41F8A">
        <w:rPr>
          <w:color w:val="000000" w:themeColor="text1"/>
          <w:sz w:val="24"/>
          <w:lang w:val="et-EE"/>
        </w:rPr>
        <w:t>–</w:t>
      </w:r>
      <w:r w:rsidR="005D69F2" w:rsidRPr="00E41F8A">
        <w:rPr>
          <w:color w:val="000000" w:themeColor="text1"/>
          <w:sz w:val="24"/>
          <w:lang w:val="et-EE"/>
        </w:rPr>
        <w:tab/>
        <w:t xml:space="preserve">Euroopa Parlamendi 26. novembri 2024. aasta resolutsioon komisjoni rakendusotsuse (EL) 2024/1826 kohta, millega lubatakse geneetiliselt muundatud maisi DP23211 sisaldavate, sellest koosnevate või sellest toodetud kaupade turule laskmist vastavalt Euroopa Parlamendi ja nõukogu määrusele (EÜ) nr 1829/2003 (ELT C, C/2025/1802, 4.4.2025, ELI: </w:t>
      </w:r>
      <w:hyperlink r:id="rId9" w:history="1">
        <w:r w:rsidR="005D69F2" w:rsidRPr="00E41F8A">
          <w:rPr>
            <w:rStyle w:val="Hyperlink"/>
            <w:sz w:val="24"/>
            <w:lang w:val="et-EE"/>
          </w:rPr>
          <w:t>http://data.europa.eu/eli/C/2025/1802/oj</w:t>
        </w:r>
      </w:hyperlink>
      <w:r w:rsidR="005D69F2" w:rsidRPr="00E41F8A">
        <w:rPr>
          <w:color w:val="000000" w:themeColor="text1"/>
          <w:sz w:val="24"/>
          <w:lang w:val="et-EE"/>
        </w:rPr>
        <w:t>).</w:t>
      </w:r>
    </w:p>
    <w:p w14:paraId="147E1277" w14:textId="770CF7A3" w:rsidR="005D69F2" w:rsidRPr="00E41F8A" w:rsidRDefault="00E41F8A" w:rsidP="00E41F8A">
      <w:pPr>
        <w:pStyle w:val="FootnoteText"/>
        <w:ind w:left="567" w:hanging="567"/>
        <w:rPr>
          <w:color w:val="000000" w:themeColor="text1"/>
          <w:sz w:val="24"/>
          <w:szCs w:val="22"/>
          <w:vertAlign w:val="superscript"/>
          <w:lang w:val="et-EE"/>
        </w:rPr>
      </w:pPr>
      <w:r w:rsidRPr="00E41F8A">
        <w:rPr>
          <w:color w:val="000000" w:themeColor="text1"/>
          <w:sz w:val="24"/>
          <w:lang w:val="et-EE"/>
        </w:rPr>
        <w:t xml:space="preserve"> </w:t>
      </w:r>
      <w:r w:rsidRPr="00E41F8A">
        <w:rPr>
          <w:color w:val="000000" w:themeColor="text1"/>
          <w:sz w:val="24"/>
          <w:lang w:val="et-EE"/>
        </w:rPr>
        <w:tab/>
      </w:r>
      <w:r w:rsidR="005D69F2" w:rsidRPr="00E41F8A">
        <w:rPr>
          <w:color w:val="000000" w:themeColor="text1"/>
          <w:sz w:val="24"/>
          <w:lang w:val="et-EE"/>
        </w:rPr>
        <w:t>–</w:t>
      </w:r>
      <w:r w:rsidR="005D69F2" w:rsidRPr="00E41F8A">
        <w:rPr>
          <w:color w:val="000000" w:themeColor="text1"/>
          <w:sz w:val="24"/>
          <w:lang w:val="et-EE"/>
        </w:rPr>
        <w:tab/>
        <w:t xml:space="preserve">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history="1">
        <w:r w:rsidR="005D69F2" w:rsidRPr="00E41F8A">
          <w:rPr>
            <w:rStyle w:val="Hyperlink"/>
            <w:sz w:val="24"/>
            <w:lang w:val="et-EE"/>
          </w:rPr>
          <w:t>http://data.europa.eu/eli/C/2025/1803/oj</w:t>
        </w:r>
      </w:hyperlink>
      <w:r w:rsidR="005D69F2" w:rsidRPr="00E41F8A">
        <w:rPr>
          <w:color w:val="000000" w:themeColor="text1"/>
          <w:sz w:val="24"/>
          <w:lang w:val="et-EE"/>
        </w:rPr>
        <w:t>).</w:t>
      </w:r>
    </w:p>
    <w:p w14:paraId="43972583" w14:textId="478524E5" w:rsidR="005D69F2" w:rsidRPr="00E41F8A" w:rsidRDefault="00E41F8A" w:rsidP="00E41F8A">
      <w:pPr>
        <w:pStyle w:val="FootnoteText"/>
        <w:ind w:left="567" w:hanging="567"/>
        <w:rPr>
          <w:color w:val="000000" w:themeColor="text1"/>
          <w:sz w:val="24"/>
          <w:szCs w:val="22"/>
          <w:vertAlign w:val="superscript"/>
          <w:lang w:val="et-EE"/>
        </w:rPr>
      </w:pPr>
      <w:r w:rsidRPr="00E41F8A">
        <w:rPr>
          <w:color w:val="000000" w:themeColor="text1"/>
          <w:sz w:val="24"/>
          <w:lang w:val="et-EE"/>
        </w:rPr>
        <w:t xml:space="preserve"> </w:t>
      </w:r>
      <w:r w:rsidRPr="00E41F8A">
        <w:rPr>
          <w:color w:val="000000" w:themeColor="text1"/>
          <w:sz w:val="24"/>
          <w:lang w:val="et-EE"/>
        </w:rPr>
        <w:tab/>
      </w:r>
      <w:r w:rsidR="005D69F2" w:rsidRPr="00E41F8A">
        <w:rPr>
          <w:color w:val="000000" w:themeColor="text1"/>
          <w:sz w:val="24"/>
          <w:lang w:val="et-EE"/>
        </w:rPr>
        <w:t>–</w:t>
      </w:r>
      <w:r w:rsidR="005D69F2" w:rsidRPr="00E41F8A">
        <w:rPr>
          <w:color w:val="000000" w:themeColor="text1"/>
          <w:sz w:val="24"/>
          <w:lang w:val="et-EE"/>
        </w:rPr>
        <w:tab/>
        <w:t xml:space="preserve">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history="1">
        <w:r w:rsidR="005D69F2" w:rsidRPr="00E41F8A">
          <w:rPr>
            <w:rStyle w:val="Hyperlink"/>
            <w:sz w:val="24"/>
            <w:lang w:val="et-EE"/>
          </w:rPr>
          <w:t>http://data.europa.eu/eli/C/2025/1804/oj</w:t>
        </w:r>
      </w:hyperlink>
      <w:r w:rsidR="005D69F2" w:rsidRPr="00E41F8A">
        <w:rPr>
          <w:color w:val="000000" w:themeColor="text1"/>
          <w:sz w:val="24"/>
          <w:lang w:val="et-EE"/>
        </w:rPr>
        <w:t>).</w:t>
      </w:r>
    </w:p>
    <w:p w14:paraId="1886FAF8" w14:textId="59E5489F" w:rsidR="005D69F2" w:rsidRPr="00E41F8A" w:rsidRDefault="00E41F8A" w:rsidP="00E41F8A">
      <w:pPr>
        <w:pStyle w:val="FootnoteText"/>
        <w:ind w:left="567" w:hanging="567"/>
        <w:rPr>
          <w:sz w:val="24"/>
          <w:szCs w:val="22"/>
          <w:vertAlign w:val="superscript"/>
          <w:lang w:val="et-EE"/>
        </w:rPr>
      </w:pPr>
      <w:r w:rsidRPr="00E41F8A">
        <w:rPr>
          <w:color w:val="000000" w:themeColor="text1"/>
          <w:sz w:val="24"/>
          <w:lang w:val="et-EE"/>
        </w:rPr>
        <w:t xml:space="preserve"> </w:t>
      </w:r>
      <w:r w:rsidRPr="00E41F8A">
        <w:rPr>
          <w:color w:val="000000" w:themeColor="text1"/>
          <w:sz w:val="24"/>
          <w:lang w:val="et-EE"/>
        </w:rPr>
        <w:tab/>
      </w:r>
      <w:r w:rsidR="005D69F2" w:rsidRPr="00E41F8A">
        <w:rPr>
          <w:color w:val="000000" w:themeColor="text1"/>
          <w:sz w:val="24"/>
          <w:lang w:val="et-EE"/>
        </w:rPr>
        <w:t>–</w:t>
      </w:r>
      <w:r w:rsidR="005D69F2" w:rsidRPr="00E41F8A">
        <w:rPr>
          <w:color w:val="000000" w:themeColor="text1"/>
          <w:sz w:val="24"/>
          <w:lang w:val="et-EE"/>
        </w:rPr>
        <w:tab/>
      </w:r>
      <w:r w:rsidR="005D69F2" w:rsidRPr="00E41F8A">
        <w:rPr>
          <w:sz w:val="24"/>
          <w:lang w:val="et-EE"/>
        </w:rPr>
        <w:t xml:space="preserve">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2" w:tooltip="Annab juurdepääsu sellele dokumendile ELI URI kaudu." w:history="1">
        <w:r w:rsidR="005D69F2" w:rsidRPr="00E41F8A">
          <w:rPr>
            <w:rStyle w:val="Hyperlink"/>
            <w:sz w:val="24"/>
            <w:lang w:val="et-EE"/>
          </w:rPr>
          <w:t>http://data.europa.eu/eli/C/2025/2246/oj</w:t>
        </w:r>
      </w:hyperlink>
      <w:r w:rsidR="005D69F2" w:rsidRPr="00E41F8A">
        <w:rPr>
          <w:sz w:val="24"/>
          <w:lang w:val="et-EE"/>
        </w:rPr>
        <w:t>).</w:t>
      </w:r>
    </w:p>
    <w:p w14:paraId="0D56B08C" w14:textId="4C1FD706" w:rsidR="005D69F2" w:rsidRPr="00E41F8A" w:rsidRDefault="00E41F8A" w:rsidP="00E41F8A">
      <w:pPr>
        <w:pStyle w:val="FootnoteText"/>
        <w:ind w:left="567" w:hanging="567"/>
        <w:rPr>
          <w:sz w:val="24"/>
          <w:szCs w:val="22"/>
          <w:vertAlign w:val="superscript"/>
          <w:lang w:val="et-EE"/>
        </w:rPr>
      </w:pPr>
      <w:r w:rsidRPr="00E41F8A">
        <w:rPr>
          <w:sz w:val="24"/>
          <w:lang w:val="et-EE"/>
        </w:rPr>
        <w:t xml:space="preserve"> </w:t>
      </w:r>
      <w:r w:rsidRPr="00E41F8A">
        <w:rPr>
          <w:sz w:val="24"/>
          <w:lang w:val="et-EE"/>
        </w:rPr>
        <w:tab/>
      </w:r>
      <w:r w:rsidR="005D69F2" w:rsidRPr="00E41F8A">
        <w:rPr>
          <w:sz w:val="24"/>
          <w:lang w:val="et-EE"/>
        </w:rPr>
        <w:t>–</w:t>
      </w:r>
      <w:r w:rsidR="005D69F2" w:rsidRPr="00E41F8A">
        <w:rPr>
          <w:sz w:val="24"/>
          <w:lang w:val="et-EE"/>
        </w:rPr>
        <w:tab/>
        <w:t xml:space="preserve">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3" w:tooltip="Annab juurdepääsu sellele dokumendile ELI URI kaudu." w:history="1">
        <w:r w:rsidR="005D69F2" w:rsidRPr="00E41F8A">
          <w:rPr>
            <w:rStyle w:val="Hyperlink"/>
            <w:sz w:val="24"/>
            <w:lang w:val="et-EE"/>
          </w:rPr>
          <w:t>http://data.europa.eu/eli/C/2025/2247/oj</w:t>
        </w:r>
      </w:hyperlink>
      <w:r w:rsidR="005D69F2" w:rsidRPr="00E41F8A">
        <w:rPr>
          <w:sz w:val="24"/>
          <w:lang w:val="et-EE"/>
        </w:rPr>
        <w:t>).</w:t>
      </w:r>
    </w:p>
    <w:p w14:paraId="51BFA407" w14:textId="7C88E428" w:rsidR="005D69F2" w:rsidRPr="00E41F8A" w:rsidRDefault="00E41F8A" w:rsidP="00E41F8A">
      <w:pPr>
        <w:pStyle w:val="FootnoteText"/>
        <w:ind w:left="567" w:hanging="567"/>
        <w:rPr>
          <w:sz w:val="24"/>
          <w:szCs w:val="22"/>
          <w:vertAlign w:val="superscript"/>
          <w:lang w:val="et-EE"/>
        </w:rPr>
      </w:pPr>
      <w:r w:rsidRPr="00E41F8A">
        <w:rPr>
          <w:sz w:val="24"/>
          <w:lang w:val="et-EE"/>
        </w:rPr>
        <w:t xml:space="preserve"> </w:t>
      </w:r>
      <w:r w:rsidRPr="00E41F8A">
        <w:rPr>
          <w:sz w:val="24"/>
          <w:lang w:val="et-EE"/>
        </w:rPr>
        <w:tab/>
      </w:r>
      <w:r w:rsidR="005D69F2" w:rsidRPr="00E41F8A">
        <w:rPr>
          <w:sz w:val="24"/>
          <w:lang w:val="et-EE"/>
        </w:rPr>
        <w:t>–</w:t>
      </w:r>
      <w:r w:rsidR="005D69F2" w:rsidRPr="00E41F8A">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(P10_TA(2025)0106).</w:t>
      </w:r>
    </w:p>
    <w:p w14:paraId="40049116" w14:textId="3E6A3915" w:rsidR="005D69F2" w:rsidRPr="00E41F8A" w:rsidRDefault="00E41F8A" w:rsidP="00E41F8A">
      <w:pPr>
        <w:pStyle w:val="FootnoteText"/>
        <w:ind w:left="567" w:hanging="567"/>
        <w:rPr>
          <w:sz w:val="24"/>
          <w:szCs w:val="22"/>
          <w:lang w:val="et-EE"/>
        </w:rPr>
      </w:pPr>
      <w:r w:rsidRPr="00E41F8A">
        <w:rPr>
          <w:sz w:val="24"/>
          <w:lang w:val="et-EE"/>
        </w:rPr>
        <w:t xml:space="preserve"> </w:t>
      </w:r>
      <w:r w:rsidRPr="00E41F8A">
        <w:rPr>
          <w:sz w:val="24"/>
          <w:lang w:val="et-EE"/>
        </w:rPr>
        <w:tab/>
      </w:r>
      <w:r w:rsidR="005D69F2" w:rsidRPr="00E41F8A">
        <w:rPr>
          <w:sz w:val="24"/>
          <w:lang w:val="et-EE"/>
        </w:rPr>
        <w:t>–</w:t>
      </w:r>
      <w:r w:rsidR="005D69F2" w:rsidRPr="00E41F8A">
        <w:rPr>
          <w:sz w:val="24"/>
          <w:lang w:val="et-EE"/>
        </w:rPr>
        <w:tab/>
        <w:t>Euroopa Parlamendi 8. oktoobri 2025. aasta resolutsioon komisjoni 22. septembri 2025. </w:t>
      </w:r>
      <w:r w:rsidR="005D69F2" w:rsidRPr="00E41F8A">
        <w:rPr>
          <w:sz w:val="24"/>
          <w:lang w:val="et-EE"/>
        </w:rPr>
        <w:t>aasta rakendusotsuse (EL) 2025/1898 kohta, millega lubatakse turule lasta geneetiliselt muundatud maisi DP51291 sisaldavaid, sellest koosnevaid või sellest valmistatud tooteid vastavalt Euroopa Parlamendi ja nõukogu määrusele (EÜ) nr 1829/2003 (P10</w:t>
      </w:r>
      <w:r w:rsidR="00836B09" w:rsidRPr="00836B09">
        <w:t>_</w:t>
      </w:r>
      <w:r w:rsidR="005D69F2" w:rsidRPr="00E41F8A">
        <w:rPr>
          <w:sz w:val="24"/>
          <w:lang w:val="et-EE"/>
        </w:rPr>
        <w:t>TA(</w:t>
      </w:r>
      <w:r w:rsidR="00836B09">
        <w:rPr>
          <w:sz w:val="24"/>
          <w:lang w:val="et-EE"/>
        </w:rPr>
        <w:t>2025</w:t>
      </w:r>
      <w:r w:rsidR="005D69F2" w:rsidRPr="00E41F8A">
        <w:rPr>
          <w:sz w:val="24"/>
          <w:lang w:val="et-EE"/>
        </w:rPr>
        <w:t>)0222).</w:t>
      </w:r>
    </w:p>
  </w:footnote>
  <w:footnote w:id="5">
    <w:p w14:paraId="0A3ECC17" w14:textId="5FF4C3CC" w:rsidR="005D69F2" w:rsidRPr="00E41F8A" w:rsidRDefault="005D69F2" w:rsidP="00E41F8A">
      <w:pPr>
        <w:pStyle w:val="FootnoteText"/>
        <w:ind w:left="567" w:hanging="567"/>
        <w:rPr>
          <w:sz w:val="24"/>
          <w:szCs w:val="22"/>
          <w:lang w:val="et-EE"/>
        </w:rPr>
      </w:pPr>
      <w:r w:rsidRPr="00E41F8A">
        <w:rPr>
          <w:rStyle w:val="FootnoteReference"/>
          <w:sz w:val="24"/>
          <w:szCs w:val="22"/>
          <w:lang w:val="et-EE"/>
        </w:rPr>
        <w:footnoteRef/>
      </w:r>
      <w:r w:rsidR="00E41F8A" w:rsidRPr="00E41F8A">
        <w:rPr>
          <w:sz w:val="24"/>
          <w:lang w:val="et-EE"/>
        </w:rPr>
        <w:t xml:space="preserve"> </w:t>
      </w:r>
      <w:r w:rsidR="00E41F8A" w:rsidRPr="00E41F8A">
        <w:rPr>
          <w:sz w:val="24"/>
          <w:lang w:val="et-EE"/>
        </w:rPr>
        <w:tab/>
      </w:r>
      <w:r w:rsidRPr="00E41F8A">
        <w:rPr>
          <w:sz w:val="24"/>
          <w:lang w:val="et-EE"/>
        </w:rPr>
        <w:t xml:space="preserve">ELT L 112, 30.4.2015, lk 81, ELI: </w:t>
      </w:r>
      <w:hyperlink r:id="rId14" w:history="1">
        <w:r w:rsidRPr="00E41F8A">
          <w:rPr>
            <w:rStyle w:val="Hyperlink"/>
            <w:sz w:val="24"/>
            <w:lang w:val="et-EE"/>
          </w:rPr>
          <w:t>http://data.europa.eu/eli/dec_impl/2015/700/oj</w:t>
        </w:r>
      </w:hyperlink>
      <w:r w:rsidRPr="00E41F8A">
        <w:rPr>
          <w:sz w:val="24"/>
          <w:lang w:val="et-EE"/>
        </w:rPr>
        <w:t>.</w:t>
      </w:r>
    </w:p>
  </w:footnote>
  <w:footnote w:id="6">
    <w:p w14:paraId="262852B1" w14:textId="61B9186F" w:rsidR="005D69F2" w:rsidRPr="00E41F8A" w:rsidRDefault="005D69F2" w:rsidP="00E41F8A">
      <w:pPr>
        <w:pStyle w:val="FootnoteText"/>
        <w:ind w:left="567" w:hanging="567"/>
        <w:rPr>
          <w:sz w:val="24"/>
          <w:szCs w:val="22"/>
          <w:lang w:val="et-EE"/>
        </w:rPr>
      </w:pPr>
      <w:r w:rsidRPr="00E41F8A">
        <w:rPr>
          <w:rStyle w:val="FootnoteReference"/>
          <w:sz w:val="24"/>
          <w:szCs w:val="22"/>
          <w:lang w:val="et-EE"/>
        </w:rPr>
        <w:footnoteRef/>
      </w:r>
      <w:r w:rsidR="00E41F8A" w:rsidRPr="00E41F8A">
        <w:rPr>
          <w:sz w:val="24"/>
          <w:lang w:val="et-EE"/>
        </w:rPr>
        <w:t xml:space="preserve"> </w:t>
      </w:r>
      <w:r w:rsidR="00E41F8A" w:rsidRPr="00E41F8A">
        <w:rPr>
          <w:sz w:val="24"/>
          <w:lang w:val="et-EE"/>
        </w:rPr>
        <w:tab/>
      </w:r>
      <w:r w:rsidRPr="00E41F8A">
        <w:rPr>
          <w:sz w:val="24"/>
          <w:lang w:val="et-EE"/>
        </w:rPr>
        <w:t>Euroopa Parlamendi ja nõukogu 28. jaanuari 2002. aasta määrus (EÜ) nr 178/2002, millega sätestatakse toidualaste õigusnormide üldised põhimõtted ja nõuded, asutatakse Euroopa Toiduohutusamet ja kehtestatakse toidu ohutusega seotud menetlused (EÜT L 31, 1.2.2002, lk 1, ELI: </w:t>
      </w:r>
      <w:hyperlink r:id="rId15" w:tgtFrame="Gives%20access%20to%20this%20document%20through%20its%20ELI%20URI." w:history="1">
        <w:r w:rsidRPr="00E41F8A">
          <w:rPr>
            <w:rStyle w:val="Hyperlink"/>
            <w:sz w:val="24"/>
            <w:lang w:val="et-EE"/>
          </w:rPr>
          <w:t>http://data.europa.eu/eli/reg/2002/178/oj</w:t>
        </w:r>
      </w:hyperlink>
      <w:r w:rsidRPr="00E41F8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E178" w14:textId="77777777" w:rsidR="00064002" w:rsidRPr="00E41F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A8EC2" w14:textId="77777777" w:rsidR="00064002" w:rsidRPr="00E41F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53AB" w14:textId="77777777" w:rsidR="00064002" w:rsidRPr="00E41F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8115941">
    <w:abstractNumId w:val="9"/>
  </w:num>
  <w:num w:numId="2" w16cid:durableId="611011252">
    <w:abstractNumId w:val="9"/>
  </w:num>
  <w:num w:numId="3" w16cid:durableId="1594625113">
    <w:abstractNumId w:val="7"/>
  </w:num>
  <w:num w:numId="4" w16cid:durableId="968633123">
    <w:abstractNumId w:val="7"/>
  </w:num>
  <w:num w:numId="5" w16cid:durableId="1626082559">
    <w:abstractNumId w:val="6"/>
  </w:num>
  <w:num w:numId="6" w16cid:durableId="1071081262">
    <w:abstractNumId w:val="6"/>
  </w:num>
  <w:num w:numId="7" w16cid:durableId="2120449243">
    <w:abstractNumId w:val="5"/>
  </w:num>
  <w:num w:numId="8" w16cid:durableId="767194140">
    <w:abstractNumId w:val="5"/>
  </w:num>
  <w:num w:numId="9" w16cid:durableId="1359502161">
    <w:abstractNumId w:val="4"/>
  </w:num>
  <w:num w:numId="10" w16cid:durableId="1912346633">
    <w:abstractNumId w:val="4"/>
  </w:num>
  <w:num w:numId="11" w16cid:durableId="1424449187">
    <w:abstractNumId w:val="8"/>
  </w:num>
  <w:num w:numId="12" w16cid:durableId="629016734">
    <w:abstractNumId w:val="8"/>
  </w:num>
  <w:num w:numId="13" w16cid:durableId="182986465">
    <w:abstractNumId w:val="3"/>
  </w:num>
  <w:num w:numId="14" w16cid:durableId="1799447746">
    <w:abstractNumId w:val="3"/>
  </w:num>
  <w:num w:numId="15" w16cid:durableId="231430955">
    <w:abstractNumId w:val="2"/>
  </w:num>
  <w:num w:numId="16" w16cid:durableId="865602422">
    <w:abstractNumId w:val="2"/>
  </w:num>
  <w:num w:numId="17" w16cid:durableId="110325564">
    <w:abstractNumId w:val="1"/>
  </w:num>
  <w:num w:numId="18" w16cid:durableId="2085906563">
    <w:abstractNumId w:val="1"/>
  </w:num>
  <w:num w:numId="19" w16cid:durableId="927537266">
    <w:abstractNumId w:val="0"/>
  </w:num>
  <w:num w:numId="20" w16cid:durableId="600138474">
    <w:abstractNumId w:val="0"/>
  </w:num>
  <w:num w:numId="21" w16cid:durableId="2053457642">
    <w:abstractNumId w:val="9"/>
  </w:num>
  <w:num w:numId="22" w16cid:durableId="1517303621">
    <w:abstractNumId w:val="7"/>
  </w:num>
  <w:num w:numId="23" w16cid:durableId="1050804258">
    <w:abstractNumId w:val="6"/>
  </w:num>
  <w:num w:numId="24" w16cid:durableId="1459491098">
    <w:abstractNumId w:val="5"/>
  </w:num>
  <w:num w:numId="25" w16cid:durableId="1368946861">
    <w:abstractNumId w:val="4"/>
  </w:num>
  <w:num w:numId="26" w16cid:durableId="1502545197">
    <w:abstractNumId w:val="8"/>
  </w:num>
  <w:num w:numId="27" w16cid:durableId="977955794">
    <w:abstractNumId w:val="3"/>
  </w:num>
  <w:num w:numId="28" w16cid:durableId="858281412">
    <w:abstractNumId w:val="2"/>
  </w:num>
  <w:num w:numId="29" w16cid:durableId="755519548">
    <w:abstractNumId w:val="1"/>
  </w:num>
  <w:num w:numId="30" w16cid:durableId="905576762">
    <w:abstractNumId w:val="0"/>
  </w:num>
  <w:num w:numId="31" w16cid:durableId="1393583266">
    <w:abstractNumId w:val="9"/>
  </w:num>
  <w:num w:numId="32" w16cid:durableId="1597666550">
    <w:abstractNumId w:val="7"/>
  </w:num>
  <w:num w:numId="33" w16cid:durableId="1941446437">
    <w:abstractNumId w:val="6"/>
  </w:num>
  <w:num w:numId="34" w16cid:durableId="468670259">
    <w:abstractNumId w:val="5"/>
  </w:num>
  <w:num w:numId="35" w16cid:durableId="1373532064">
    <w:abstractNumId w:val="4"/>
  </w:num>
  <w:num w:numId="36" w16cid:durableId="466242806">
    <w:abstractNumId w:val="8"/>
  </w:num>
  <w:num w:numId="37" w16cid:durableId="758907672">
    <w:abstractNumId w:val="3"/>
  </w:num>
  <w:num w:numId="38" w16cid:durableId="677730873">
    <w:abstractNumId w:val="2"/>
  </w:num>
  <w:num w:numId="39" w16cid:durableId="948393875">
    <w:abstractNumId w:val="1"/>
  </w:num>
  <w:num w:numId="40" w16cid:durableId="663898660">
    <w:abstractNumId w:val="0"/>
  </w:num>
  <w:num w:numId="41" w16cid:durableId="1808737041">
    <w:abstractNumId w:val="10"/>
  </w:num>
  <w:num w:numId="42" w16cid:durableId="106316761">
    <w:abstractNumId w:val="10"/>
  </w:num>
  <w:num w:numId="43" w16cid:durableId="751849919">
    <w:abstractNumId w:val="10"/>
  </w:num>
  <w:num w:numId="44" w16cid:durableId="16426868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ET"/>
    <w:docVar w:name="dvnumam" w:val="0"/>
    <w:docVar w:name="dvpe" w:val="778.110"/>
    <w:docVar w:name="dvtitre" w:val="Euroopa Parlamendi .... 2025. aasta resolutsioon komisjoni rakendusotsuse kohta, millega pikendatakse geneetiliselt muundatud sojauba MON 87708 sisaldavate, sellest koosnevate või sellest valmistatud toodete turule laskmise loa kehtivust vastavalt Euroopa Parlamendi ja nõukogu määrusele (EÜ) nr 1829/2003(D109633/01 – 2025/2896(RSP))"/>
  </w:docVars>
  <w:rsids>
    <w:rsidRoot w:val="006904D0"/>
    <w:rsid w:val="00002272"/>
    <w:rsid w:val="00064002"/>
    <w:rsid w:val="000677B9"/>
    <w:rsid w:val="000831BA"/>
    <w:rsid w:val="000A42CC"/>
    <w:rsid w:val="000D64E8"/>
    <w:rsid w:val="000E7DD9"/>
    <w:rsid w:val="0010095E"/>
    <w:rsid w:val="00125B37"/>
    <w:rsid w:val="00187494"/>
    <w:rsid w:val="001F32AE"/>
    <w:rsid w:val="002767FF"/>
    <w:rsid w:val="002B18FE"/>
    <w:rsid w:val="002B5493"/>
    <w:rsid w:val="00343214"/>
    <w:rsid w:val="00361C00"/>
    <w:rsid w:val="00370AD3"/>
    <w:rsid w:val="00372F7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9F2"/>
    <w:rsid w:val="005F1B17"/>
    <w:rsid w:val="006037C0"/>
    <w:rsid w:val="006631B6"/>
    <w:rsid w:val="00680577"/>
    <w:rsid w:val="006904D0"/>
    <w:rsid w:val="006A48A0"/>
    <w:rsid w:val="006F74FA"/>
    <w:rsid w:val="007051F7"/>
    <w:rsid w:val="00731ADD"/>
    <w:rsid w:val="00734777"/>
    <w:rsid w:val="00747932"/>
    <w:rsid w:val="00751A4A"/>
    <w:rsid w:val="00756632"/>
    <w:rsid w:val="00762C74"/>
    <w:rsid w:val="00786EC0"/>
    <w:rsid w:val="007D1690"/>
    <w:rsid w:val="007E22AD"/>
    <w:rsid w:val="00817416"/>
    <w:rsid w:val="00836B09"/>
    <w:rsid w:val="00842779"/>
    <w:rsid w:val="00865F67"/>
    <w:rsid w:val="00881A7B"/>
    <w:rsid w:val="008840E5"/>
    <w:rsid w:val="00887B3E"/>
    <w:rsid w:val="008C2AC6"/>
    <w:rsid w:val="00930C23"/>
    <w:rsid w:val="00931911"/>
    <w:rsid w:val="0093193B"/>
    <w:rsid w:val="009509D8"/>
    <w:rsid w:val="00950B64"/>
    <w:rsid w:val="00981893"/>
    <w:rsid w:val="00A1687D"/>
    <w:rsid w:val="00A43E52"/>
    <w:rsid w:val="00A43FB0"/>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D8A"/>
    <w:rsid w:val="00E365E1"/>
    <w:rsid w:val="00E41F8A"/>
    <w:rsid w:val="00E6024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827F64"/>
  <w15:chartTrackingRefBased/>
  <w15:docId w15:val="{517FE52D-7415-4E50-96BD-DAAAD7132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5D69F2"/>
    <w:pPr>
      <w:spacing w:after="240"/>
    </w:pPr>
    <w:rPr>
      <w:b/>
    </w:rPr>
  </w:style>
  <w:style w:type="paragraph" w:customStyle="1" w:styleId="NormalHanging12a">
    <w:name w:val="NormalHanging12a"/>
    <w:basedOn w:val="Normal"/>
    <w:rsid w:val="005D69F2"/>
    <w:pPr>
      <w:spacing w:after="240"/>
      <w:ind w:left="567" w:hanging="567"/>
    </w:pPr>
  </w:style>
  <w:style w:type="character" w:styleId="Hyperlink">
    <w:name w:val="Hyperlink"/>
    <w:basedOn w:val="DefaultParagraphFont"/>
    <w:uiPriority w:val="99"/>
    <w:unhideWhenUsed/>
    <w:rsid w:val="005D69F2"/>
    <w:rPr>
      <w:color w:val="0563C1" w:themeColor="hyperlink"/>
      <w:u w:val="single"/>
    </w:rPr>
  </w:style>
  <w:style w:type="paragraph" w:styleId="Revision">
    <w:name w:val="Revision"/>
    <w:hidden/>
    <w:uiPriority w:val="99"/>
    <w:semiHidden/>
    <w:rsid w:val="006A48A0"/>
    <w:rPr>
      <w:sz w:val="24"/>
      <w:lang w:val="et-EE"/>
    </w:rPr>
  </w:style>
  <w:style w:type="character" w:styleId="UnresolvedMention">
    <w:name w:val="Unresolved Mention"/>
    <w:basedOn w:val="DefaultParagraphFont"/>
    <w:uiPriority w:val="99"/>
    <w:semiHidden/>
    <w:unhideWhenUsed/>
    <w:rsid w:val="006A4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7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755</Words>
  <Characters>5583</Characters>
  <Application>Microsoft Office Word</Application>
  <DocSecurity>0</DocSecurity>
  <Lines>328</Lines>
  <Paragraphs>275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2026-01-20T14:52:00Z</dcterms:created>
  <dcterms:modified xsi:type="dcterms:W3CDTF">2026-01-20T14:52:00Z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B10-0493/2025</vt:lpwstr>
  </property>
  <property fmtid="{D5CDD505-2E9C-101B-9397-08002B2CF9AE}" pid="4" name="&lt;Type&gt;">
    <vt:lpwstr>RR</vt:lpwstr>
  </property>
</Properties>
</file>