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7BB6" w14:paraId="41876A3E" w14:textId="77777777" w:rsidTr="0010095E">
        <w:trPr>
          <w:trHeight w:hRule="exact" w:val="1418"/>
        </w:trPr>
        <w:tc>
          <w:tcPr>
            <w:tcW w:w="6804" w:type="dxa"/>
            <w:shd w:val="clear" w:color="auto" w:fill="auto"/>
            <w:vAlign w:val="center"/>
          </w:tcPr>
          <w:p w14:paraId="07ACF34B" w14:textId="77777777" w:rsidR="00751A4A" w:rsidRPr="00567BB6" w:rsidRDefault="00ED7167" w:rsidP="0010095E">
            <w:pPr>
              <w:pStyle w:val="EPName"/>
            </w:pPr>
            <w:r w:rsidRPr="00567BB6">
              <w:t>Parlement européen</w:t>
            </w:r>
          </w:p>
          <w:p w14:paraId="10FE413E" w14:textId="77777777" w:rsidR="00751A4A" w:rsidRPr="00567BB6" w:rsidRDefault="005F1B17" w:rsidP="005F1B17">
            <w:pPr>
              <w:pStyle w:val="EPTerm"/>
              <w:rPr>
                <w:rStyle w:val="HideTWBExt"/>
                <w:noProof w:val="0"/>
                <w:vanish w:val="0"/>
                <w:color w:val="auto"/>
              </w:rPr>
            </w:pPr>
            <w:r w:rsidRPr="00567BB6">
              <w:t>2024</w:t>
            </w:r>
            <w:r w:rsidR="00817416" w:rsidRPr="00567BB6">
              <w:t>-202</w:t>
            </w:r>
            <w:r w:rsidRPr="00567BB6">
              <w:t>9</w:t>
            </w:r>
          </w:p>
        </w:tc>
        <w:tc>
          <w:tcPr>
            <w:tcW w:w="2268" w:type="dxa"/>
            <w:shd w:val="clear" w:color="auto" w:fill="auto"/>
          </w:tcPr>
          <w:p w14:paraId="05199575" w14:textId="77777777" w:rsidR="00751A4A" w:rsidRPr="00567BB6" w:rsidRDefault="00187494" w:rsidP="0010095E">
            <w:pPr>
              <w:pStyle w:val="EPLogo"/>
            </w:pPr>
            <w:r w:rsidRPr="00567BB6">
              <w:rPr>
                <w:noProof/>
                <w:lang w:eastAsia="ja-JP"/>
              </w:rPr>
              <w:drawing>
                <wp:inline distT="0" distB="0" distL="0" distR="0" wp14:anchorId="7B4E2527" wp14:editId="7FF43F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03A3F8" w14:textId="77777777" w:rsidR="00D058B8" w:rsidRPr="00567BB6" w:rsidRDefault="00D058B8" w:rsidP="004C5D52">
      <w:pPr>
        <w:pStyle w:val="LineTop"/>
      </w:pPr>
    </w:p>
    <w:p w14:paraId="3DB61399" w14:textId="77777777" w:rsidR="00680577" w:rsidRPr="00567BB6" w:rsidRDefault="00ED7167" w:rsidP="00680577">
      <w:pPr>
        <w:pStyle w:val="EPBodyTA1"/>
      </w:pPr>
      <w:r w:rsidRPr="00567BB6">
        <w:t>TEXTES ADOPTÉS</w:t>
      </w:r>
    </w:p>
    <w:p w14:paraId="0D1A9866" w14:textId="77777777" w:rsidR="00D058B8" w:rsidRPr="00567BB6" w:rsidRDefault="00D058B8" w:rsidP="00D058B8">
      <w:pPr>
        <w:pStyle w:val="LineBottom"/>
      </w:pPr>
    </w:p>
    <w:p w14:paraId="505533EE" w14:textId="6378B177" w:rsidR="00ED7167" w:rsidRPr="00567BB6" w:rsidRDefault="00ED7167" w:rsidP="00ED7167">
      <w:pPr>
        <w:pStyle w:val="ATHeading1"/>
      </w:pPr>
      <w:bookmarkStart w:id="0" w:name="TANumber"/>
      <w:r w:rsidRPr="00567BB6">
        <w:t>P10_TA(2025)0</w:t>
      </w:r>
      <w:r w:rsidR="006C7BE2">
        <w:t>291</w:t>
      </w:r>
      <w:bookmarkEnd w:id="0"/>
    </w:p>
    <w:p w14:paraId="6FB6181C" w14:textId="2C4C979B" w:rsidR="00ED7167" w:rsidRPr="00567BB6" w:rsidRDefault="00A8348A" w:rsidP="00ED7167">
      <w:pPr>
        <w:pStyle w:val="ATHeading2"/>
      </w:pPr>
      <w:bookmarkStart w:id="1" w:name="title"/>
      <w:r>
        <w:rPr>
          <w:bCs/>
        </w:rPr>
        <w:t>S</w:t>
      </w:r>
      <w:r w:rsidRPr="00A8348A">
        <w:rPr>
          <w:bCs/>
        </w:rPr>
        <w:t>oja génétiquement modifié MON 87708</w:t>
      </w:r>
      <w:bookmarkEnd w:id="1"/>
    </w:p>
    <w:p w14:paraId="37C7E488" w14:textId="77777777" w:rsidR="00ED7167" w:rsidRPr="00567BB6" w:rsidRDefault="00ED7167" w:rsidP="00ED7167">
      <w:pPr>
        <w:rPr>
          <w:i/>
          <w:vanish/>
        </w:rPr>
      </w:pPr>
      <w:r w:rsidRPr="00567BB6">
        <w:rPr>
          <w:i/>
        </w:rPr>
        <w:fldChar w:fldCharType="begin"/>
      </w:r>
      <w:r w:rsidRPr="00567BB6">
        <w:rPr>
          <w:i/>
        </w:rPr>
        <w:instrText xml:space="preserve"> TC"(</w:instrText>
      </w:r>
      <w:bookmarkStart w:id="2" w:name="DocNumber"/>
      <w:r w:rsidRPr="00567BB6">
        <w:rPr>
          <w:i/>
        </w:rPr>
        <w:instrText>B10-0493/2025</w:instrText>
      </w:r>
      <w:bookmarkEnd w:id="2"/>
      <w:r w:rsidRPr="00567BB6">
        <w:rPr>
          <w:i/>
        </w:rPr>
        <w:instrText xml:space="preserve">)"\l3 \n&gt; \* MERGEFORMAT </w:instrText>
      </w:r>
      <w:r w:rsidRPr="00567BB6">
        <w:rPr>
          <w:i/>
        </w:rPr>
        <w:fldChar w:fldCharType="end"/>
      </w:r>
    </w:p>
    <w:p w14:paraId="0A9700B6" w14:textId="77777777" w:rsidR="00ED7167" w:rsidRPr="00567BB6" w:rsidRDefault="00ED7167" w:rsidP="00ED7167">
      <w:pPr>
        <w:rPr>
          <w:vanish/>
        </w:rPr>
      </w:pPr>
      <w:bookmarkStart w:id="3" w:name="PE"/>
      <w:r w:rsidRPr="00567BB6">
        <w:rPr>
          <w:vanish/>
        </w:rPr>
        <w:t>PE778.110</w:t>
      </w:r>
      <w:bookmarkEnd w:id="3"/>
    </w:p>
    <w:p w14:paraId="5E030EA5" w14:textId="2BBFE870" w:rsidR="00ED7167" w:rsidRPr="00567BB6" w:rsidRDefault="00ED7167" w:rsidP="00ED7167">
      <w:pPr>
        <w:pStyle w:val="ATHeading3"/>
      </w:pPr>
      <w:bookmarkStart w:id="4" w:name="Sujet"/>
      <w:r w:rsidRPr="00567BB6">
        <w:t xml:space="preserve">Résolution du Parlement européen du </w:t>
      </w:r>
      <w:r w:rsidR="000438D9">
        <w:t>25 novembre</w:t>
      </w:r>
      <w:r w:rsidRPr="00567BB6">
        <w:t xml:space="preserv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w:t>
      </w:r>
      <w:bookmarkEnd w:id="4"/>
      <w:r w:rsidRPr="00567BB6">
        <w:t xml:space="preserve"> </w:t>
      </w:r>
      <w:bookmarkStart w:id="5" w:name="References"/>
      <w:r w:rsidRPr="00567BB6">
        <w:t>(D109633/01 – 2025/2896(RSP))</w:t>
      </w:r>
      <w:bookmarkEnd w:id="5"/>
    </w:p>
    <w:p w14:paraId="2E042E0C" w14:textId="77777777" w:rsidR="00B56A34" w:rsidRPr="00567BB6" w:rsidRDefault="00B56A34" w:rsidP="006C7BE2">
      <w:pPr>
        <w:pStyle w:val="NormalBold12a"/>
        <w:spacing w:before="360"/>
        <w:rPr>
          <w:b w:val="0"/>
          <w:bCs/>
        </w:rPr>
      </w:pPr>
      <w:bookmarkStart w:id="6" w:name="TextBodyBegin"/>
      <w:bookmarkEnd w:id="6"/>
      <w:r w:rsidRPr="00567BB6">
        <w:rPr>
          <w:b w:val="0"/>
          <w:i/>
        </w:rPr>
        <w:t>Le Parlement européen</w:t>
      </w:r>
      <w:r w:rsidRPr="00567BB6">
        <w:rPr>
          <w:b w:val="0"/>
        </w:rPr>
        <w:t>,</w:t>
      </w:r>
    </w:p>
    <w:p w14:paraId="71675EAB" w14:textId="77777777" w:rsidR="00B56A34" w:rsidRPr="00567BB6" w:rsidRDefault="00B56A34" w:rsidP="00B56A34">
      <w:pPr>
        <w:pStyle w:val="NormalHanging12a"/>
      </w:pPr>
      <w:r w:rsidRPr="00567BB6">
        <w:t>–</w:t>
      </w:r>
      <w:r w:rsidRPr="00567BB6">
        <w:tab/>
        <w:t>vu le projet de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(D 109633/01),</w:t>
      </w:r>
    </w:p>
    <w:p w14:paraId="25A7BDEF" w14:textId="77777777" w:rsidR="00B56A34" w:rsidRPr="00567BB6" w:rsidRDefault="00B56A34" w:rsidP="00B56A34">
      <w:pPr>
        <w:pStyle w:val="NormalHanging12a"/>
      </w:pPr>
      <w:r w:rsidRPr="00567BB6">
        <w:t>–</w:t>
      </w:r>
      <w:r w:rsidRPr="00567BB6">
        <w:tab/>
        <w:t>vu le règlement (CE) nº 1829/2003 du Parlement européen et du Conseil du 22 septembre 2003 concernant les denrées alimentaires et les aliments pour animaux génétiquement modifiés</w:t>
      </w:r>
      <w:r w:rsidRPr="00567BB6">
        <w:rPr>
          <w:vertAlign w:val="superscript"/>
        </w:rPr>
        <w:footnoteReference w:id="1"/>
      </w:r>
      <w:r w:rsidRPr="00567BB6">
        <w:t>, et notamment son article 11, paragraphe 3, et son article 23, paragraphe 3,</w:t>
      </w:r>
    </w:p>
    <w:p w14:paraId="132643F0" w14:textId="124A0F7A" w:rsidR="00A8348A" w:rsidRPr="00B763A5" w:rsidRDefault="00B56A34" w:rsidP="00A8348A">
      <w:pPr>
        <w:pStyle w:val="NormalHanging12a"/>
      </w:pPr>
      <w:r w:rsidRPr="00567BB6">
        <w:t>–</w:t>
      </w:r>
      <w:r w:rsidRPr="00567BB6">
        <w:tab/>
        <w:t>vu le vote du 15 septembre 2025 du comité permanent des végétaux, des animaux, des denrées alimentaires et des aliments pour animaux, visé à l’article 35 du règlement (CE) nº 1829/2003,</w:t>
      </w:r>
      <w:r w:rsidR="00A8348A">
        <w:t xml:space="preserve"> </w:t>
      </w:r>
      <w:r w:rsidR="00A8348A" w:rsidRPr="00102778">
        <w:t>par lequel ledit comité a décidé de ne pas rendre d’avis,</w:t>
      </w:r>
      <w:r w:rsidR="00A8348A">
        <w:t xml:space="preserve"> </w:t>
      </w:r>
      <w:r w:rsidR="00A8348A" w:rsidRPr="008152C8">
        <w:t>et le vote du comité d'appel, le 21 octobre 2025, au cours duquel, là encore, aucun avis n'a été rendu,</w:t>
      </w:r>
    </w:p>
    <w:p w14:paraId="1C1C1729" w14:textId="77777777" w:rsidR="00B56A34" w:rsidRPr="00567BB6" w:rsidRDefault="00B56A34" w:rsidP="00B56A34">
      <w:pPr>
        <w:pStyle w:val="NormalHanging12a"/>
      </w:pPr>
      <w:r w:rsidRPr="00567BB6">
        <w:t>–</w:t>
      </w:r>
      <w:r w:rsidRPr="00567BB6">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bookmarkStart w:id="7" w:name="_Hlk210662860"/>
      <w:r w:rsidRPr="00567BB6">
        <w:rPr>
          <w:vertAlign w:val="superscript"/>
        </w:rPr>
        <w:footnoteReference w:id="2"/>
      </w:r>
      <w:bookmarkEnd w:id="7"/>
      <w:r w:rsidRPr="00567BB6">
        <w:t>,</w:t>
      </w:r>
    </w:p>
    <w:p w14:paraId="7CB14666" w14:textId="77777777" w:rsidR="00B56A34" w:rsidRPr="00567BB6" w:rsidRDefault="00B56A34" w:rsidP="00B56A34">
      <w:pPr>
        <w:pStyle w:val="NormalHanging12a"/>
      </w:pPr>
      <w:bookmarkStart w:id="9" w:name="_Hlk210663128"/>
      <w:r w:rsidRPr="00567BB6">
        <w:t>–</w:t>
      </w:r>
      <w:r w:rsidRPr="00567BB6">
        <w:tab/>
        <w:t xml:space="preserve">vu l’avis adopté par l’Autorité européenne de sécurité des aliments (EFSA) le </w:t>
      </w:r>
      <w:r w:rsidRPr="00567BB6">
        <w:lastRenderedPageBreak/>
        <w:t>26 mars 2025 et publié le 13 mai 2025</w:t>
      </w:r>
      <w:r w:rsidRPr="00567BB6">
        <w:rPr>
          <w:vertAlign w:val="superscript"/>
        </w:rPr>
        <w:footnoteReference w:id="3"/>
      </w:r>
      <w:r w:rsidRPr="00567BB6">
        <w:t>,</w:t>
      </w:r>
      <w:bookmarkEnd w:id="9"/>
    </w:p>
    <w:p w14:paraId="37E6B456" w14:textId="77777777" w:rsidR="00B56A34" w:rsidRPr="00567BB6" w:rsidRDefault="00B56A34" w:rsidP="00B56A34">
      <w:pPr>
        <w:pStyle w:val="NormalHanging12a"/>
      </w:pPr>
      <w:r w:rsidRPr="00567BB6">
        <w:t>–</w:t>
      </w:r>
      <w:r w:rsidRPr="00567BB6">
        <w:tab/>
        <w:t>vu ses résolutions précédentes s’opposant à l’autorisation d’organismes génétiquement modifiés (ci-après «OGM»)</w:t>
      </w:r>
      <w:r w:rsidRPr="00567BB6">
        <w:rPr>
          <w:vertAlign w:val="superscript"/>
        </w:rPr>
        <w:footnoteReference w:id="4"/>
      </w:r>
      <w:r w:rsidRPr="00567BB6">
        <w:t>,</w:t>
      </w:r>
    </w:p>
    <w:p w14:paraId="28A115B2" w14:textId="77777777" w:rsidR="00B56A34" w:rsidRPr="00567BB6" w:rsidRDefault="00B56A34" w:rsidP="00B56A34">
      <w:pPr>
        <w:pStyle w:val="NormalHanging12a"/>
      </w:pPr>
      <w:r w:rsidRPr="00567BB6">
        <w:lastRenderedPageBreak/>
        <w:t>–</w:t>
      </w:r>
      <w:r w:rsidRPr="00567BB6">
        <w:tab/>
        <w:t>vu l’article 115, paragraphes 2 et 3, de son règlement intérieur,</w:t>
      </w:r>
    </w:p>
    <w:p w14:paraId="46CA07F5" w14:textId="77777777" w:rsidR="00B56A34" w:rsidRPr="00567BB6" w:rsidRDefault="00B56A34" w:rsidP="00B56A34">
      <w:pPr>
        <w:pStyle w:val="NormalHanging12a"/>
      </w:pPr>
      <w:r w:rsidRPr="00567BB6">
        <w:t>–</w:t>
      </w:r>
      <w:r w:rsidRPr="00567BB6">
        <w:tab/>
        <w:t>vu la proposition de résolution de la commission de l’environnement, du climat et de la sécurité alimentaire,</w:t>
      </w:r>
    </w:p>
    <w:p w14:paraId="4FA027FB" w14:textId="77777777" w:rsidR="00B56A34" w:rsidRPr="00567BB6" w:rsidRDefault="00B56A34" w:rsidP="00B56A34">
      <w:pPr>
        <w:pStyle w:val="NormalHanging12a"/>
      </w:pPr>
      <w:r w:rsidRPr="00567BB6">
        <w:t>A.</w:t>
      </w:r>
      <w:r w:rsidRPr="00567BB6">
        <w:tab/>
        <w:t>considérant que la décision d’exécution (UE) 2015/700 de la Commission du 24 avril 2015</w:t>
      </w:r>
      <w:r w:rsidRPr="00567BB6">
        <w:rPr>
          <w:vertAlign w:val="superscript"/>
        </w:rPr>
        <w:footnoteReference w:id="5"/>
      </w:r>
      <w:r w:rsidRPr="00567BB6">
        <w:t xml:space="preserve"> a autorisé la mise sur le marché de produits contenant du soja génétiquement modifié MON 87708 (ci-après, le «soja génétiquement modifié), consistant en ce soja ou produits à partir de celui-ci;</w:t>
      </w:r>
    </w:p>
    <w:p w14:paraId="4E2AAA30" w14:textId="77777777" w:rsidR="00B56A34" w:rsidRPr="00567BB6" w:rsidRDefault="00B56A34" w:rsidP="00B56A34">
      <w:pPr>
        <w:pStyle w:val="NormalHanging12a"/>
      </w:pPr>
      <w:r w:rsidRPr="00567BB6">
        <w:t>B.</w:t>
      </w:r>
      <w:r w:rsidRPr="00567BB6">
        <w:tab/>
        <w:t xml:space="preserve">considérant que, le 8 mars 2024, la société Bayer Agriculture BV, établie en Belgique, a soumis à la Commission, au nom de la société Bayer </w:t>
      </w:r>
      <w:proofErr w:type="spellStart"/>
      <w:r w:rsidRPr="00567BB6">
        <w:t>CropScience</w:t>
      </w:r>
      <w:proofErr w:type="spellEnd"/>
      <w:r w:rsidRPr="00567BB6">
        <w:t xml:space="preserve"> LP, établie aux États-Unis d’Amérique, une demande de renouvellement de cette autorisation; que le champ d’application de cette autorisation portait également sur la mise sur le marché de produits autres que des denrées alimentaires et des aliments pour animaux contenant du soja génétiquement modifié ou consistant en celui-ci et destinés aux mêmes utilisations que tout autre soja, à l’exception de la culture;</w:t>
      </w:r>
    </w:p>
    <w:p w14:paraId="55CFE3C1" w14:textId="77777777" w:rsidR="00B56A34" w:rsidRPr="00567BB6" w:rsidRDefault="00B56A34" w:rsidP="00B56A34">
      <w:pPr>
        <w:pStyle w:val="NormalHanging12a"/>
      </w:pPr>
      <w:r w:rsidRPr="00567BB6">
        <w:t>C.</w:t>
      </w:r>
      <w:r w:rsidRPr="00567BB6">
        <w:tab/>
        <w:t xml:space="preserve">considérant que l’EFSA a rendu un avis favorable le 26 mars 2025, en concluant qu’aucun danger nouveau ou exposition modifiée ni aucune nouvelle incertitude </w:t>
      </w:r>
      <w:r w:rsidRPr="00567BB6">
        <w:lastRenderedPageBreak/>
        <w:t>scientifique n’avaient été mis en évidence dans le cadre de la demande de renouvellement qui seraient de nature à modifier les conclusions de son évaluation des risques initiale adoptée en 2013;</w:t>
      </w:r>
    </w:p>
    <w:p w14:paraId="236147AB" w14:textId="77777777" w:rsidR="00B56A34" w:rsidRPr="00567BB6" w:rsidRDefault="00B56A34" w:rsidP="00B56A34">
      <w:pPr>
        <w:pStyle w:val="NormalHanging12a"/>
      </w:pPr>
      <w:r w:rsidRPr="00567BB6">
        <w:t>D.</w:t>
      </w:r>
      <w:r w:rsidRPr="00567BB6">
        <w:tab/>
        <w:t>considérant que l’avis de l’EFSA n’a pas suffisamment tenu compte des effets cumulatifs et combinatoires, des risques sanitaires indirects ou des conséquences écologiques à long terme de l’utilisation du dicamba à grande échelle;</w:t>
      </w:r>
    </w:p>
    <w:p w14:paraId="66073BD1" w14:textId="77777777" w:rsidR="00B56A34" w:rsidRPr="00567BB6" w:rsidRDefault="00B56A34" w:rsidP="00B56A34">
      <w:pPr>
        <w:pStyle w:val="NormalHanging12a"/>
      </w:pPr>
      <w:r w:rsidRPr="00567BB6">
        <w:t>E.</w:t>
      </w:r>
      <w:r w:rsidRPr="00567BB6">
        <w:tab/>
        <w:t>considérant que le soja génétiquement modifié est tolérant au dicamba, un herbicide associé à des risques importants pour la biodiversité, pour la santé des sols et de l’eau, ainsi qu’à une dérive en dehors des zones de traitement causant des dommages aux cultures et aux écosystèmes voisins;</w:t>
      </w:r>
    </w:p>
    <w:p w14:paraId="3E8EB2D1" w14:textId="77777777" w:rsidR="00B56A34" w:rsidRPr="00567BB6" w:rsidRDefault="00B56A34" w:rsidP="00B56A34">
      <w:pPr>
        <w:pStyle w:val="NormalHanging12a"/>
      </w:pPr>
      <w:r w:rsidRPr="00567BB6">
        <w:t>F.</w:t>
      </w:r>
      <w:r w:rsidRPr="00567BB6">
        <w:tab/>
        <w:t>considérant que l’expansion du soja génétiquement modifié résistant au dicamba dans les pays exportateurs est liée à la dérive généralisée des herbicides, aux différends entre agriculteurs et aux incidences sur les écosystèmes, ce qui met en évidence des préoccupations socio-économiques et environnementales;</w:t>
      </w:r>
    </w:p>
    <w:p w14:paraId="036ED95E" w14:textId="77777777" w:rsidR="00B56A34" w:rsidRPr="00567BB6" w:rsidRDefault="00B56A34" w:rsidP="00B56A34">
      <w:pPr>
        <w:pStyle w:val="NormalHanging12a"/>
      </w:pPr>
      <w:r w:rsidRPr="00567BB6">
        <w:t>G.</w:t>
      </w:r>
      <w:r w:rsidRPr="00567BB6">
        <w:tab/>
        <w:t>considérant que la surveillance des effets sur l’environnement prévue dans le projet de décision d’exécution de la Commission repose sur une surveillance générale et ne comprend pas d’études ciblées sur les pollinisateurs, les organismes du sol ou les espèces aquatiques;</w:t>
      </w:r>
    </w:p>
    <w:p w14:paraId="4E958BAB" w14:textId="77777777" w:rsidR="00B56A34" w:rsidRPr="00567BB6" w:rsidRDefault="00B56A34" w:rsidP="00B56A34">
      <w:pPr>
        <w:pStyle w:val="NormalHanging12a"/>
      </w:pPr>
      <w:r w:rsidRPr="00567BB6">
        <w:t>H.</w:t>
      </w:r>
      <w:r w:rsidRPr="00567BB6">
        <w:tab/>
        <w:t>considérant que le principe de précaution, consacré par l’article 191 du traité sur le fonctionnement de l’Union européenne, devrait s’appliquer en cas d’incertitude scientifique et de risques documentés liés à l’utilisation d’herbicides complémentaires;</w:t>
      </w:r>
    </w:p>
    <w:p w14:paraId="5A1BF284" w14:textId="77777777" w:rsidR="00B56A34" w:rsidRPr="00567BB6" w:rsidRDefault="00B56A34" w:rsidP="00B56A34">
      <w:pPr>
        <w:pStyle w:val="NormalHanging12a"/>
      </w:pPr>
      <w:r w:rsidRPr="00567BB6">
        <w:t>I.</w:t>
      </w:r>
      <w:r w:rsidRPr="00567BB6">
        <w:tab/>
        <w:t>considérant que le règlement (CE) nº 1829/2003 exige que les denrées alimentaires et les aliments pour animaux génétiquement modifiés n’aient pas d’effets négatifs sur la santé humaine, la santé animale ou l’environnement;</w:t>
      </w:r>
    </w:p>
    <w:p w14:paraId="7D339228" w14:textId="77777777" w:rsidR="00B56A34" w:rsidRPr="00567BB6" w:rsidRDefault="00B56A34" w:rsidP="00B56A34">
      <w:pPr>
        <w:pStyle w:val="NormalHanging12a"/>
      </w:pPr>
      <w:r w:rsidRPr="00567BB6">
        <w:t>J.</w:t>
      </w:r>
      <w:r w:rsidRPr="00567BB6">
        <w:tab/>
        <w:t>considérant que le concept «Une seule santé» implique de tenir compte des incidences interdépendantes des autorisations de cultures génétiquement modifiées sur la santé humaine, animale, végétale et environnementale, ce que l’évaluation actuelle ne reflète pas suffisamment;</w:t>
      </w:r>
    </w:p>
    <w:p w14:paraId="3E7B116D" w14:textId="77777777" w:rsidR="00B56A34" w:rsidRPr="00567BB6" w:rsidRDefault="00B56A34" w:rsidP="00B56A34">
      <w:pPr>
        <w:pStyle w:val="NormalHanging12a"/>
      </w:pPr>
      <w:r w:rsidRPr="00567BB6">
        <w:t>K.</w:t>
      </w:r>
      <w:r w:rsidRPr="00567BB6">
        <w:tab/>
        <w:t xml:space="preserve">considérant que le Parlement s’est opposé à plusieurs reprises à l’autorisation ou au renouvellement d’OGM dans les cas où aucune majorité qualifiée ne se dégage parmi les États membres </w:t>
      </w:r>
      <w:bookmarkStart w:id="10" w:name="_Hlk210672442"/>
      <w:r w:rsidRPr="00567BB6">
        <w:t>au sein du comité permanent des végétaux, des animaux, des denrées alimentaires et des aliments pour animaux ou du comité d’appel</w:t>
      </w:r>
      <w:bookmarkEnd w:id="10"/>
      <w:r w:rsidRPr="00567BB6">
        <w:t>, ce qui souligne le déficit démocratique persistant dans la procédure d’autorisation des OGM;</w:t>
      </w:r>
    </w:p>
    <w:p w14:paraId="1258570C" w14:textId="77777777" w:rsidR="00B56A34" w:rsidRPr="00567BB6" w:rsidRDefault="00B56A34" w:rsidP="00B56A34">
      <w:pPr>
        <w:pStyle w:val="NormalHanging12a"/>
      </w:pPr>
      <w:r w:rsidRPr="00567BB6">
        <w:t xml:space="preserve">1. </w:t>
      </w:r>
      <w:r w:rsidRPr="00567BB6">
        <w:tab/>
        <w:t>considère que le projet de décision d’exécution de la Commission excède les compétences d’exécution prévues dans le règlement (CE) nº 1829/2003;</w:t>
      </w:r>
    </w:p>
    <w:p w14:paraId="62100FAB" w14:textId="77777777" w:rsidR="00B56A34" w:rsidRPr="00567BB6" w:rsidRDefault="00B56A34" w:rsidP="00B56A34">
      <w:pPr>
        <w:pStyle w:val="NormalHanging12a"/>
      </w:pPr>
      <w:r w:rsidRPr="00567BB6">
        <w:t xml:space="preserve">2. </w:t>
      </w:r>
      <w:r w:rsidRPr="00567BB6">
        <w:tab/>
        <w:t xml:space="preserve">estime que le projet de décision d’exécution de la Commission n’est pas conforme au droit de l’Union, en ce qu’il est incompatible avec l’objectif du règlement (CE) nº 1829/2003, qui est, conformément aux principes généraux prévus dans le </w:t>
      </w:r>
      <w:r w:rsidRPr="00567BB6">
        <w:lastRenderedPageBreak/>
        <w:t>règlement (CE) nº 178/2002 du Parlement européen et du Conseil</w:t>
      </w:r>
      <w:r w:rsidRPr="00567BB6">
        <w:footnoteReference w:id="6"/>
      </w:r>
      <w:r w:rsidRPr="00567BB6">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 et conformément au principe de précaution;</w:t>
      </w:r>
    </w:p>
    <w:p w14:paraId="1D3608B0" w14:textId="77777777" w:rsidR="00B56A34" w:rsidRPr="00567BB6" w:rsidRDefault="00B56A34" w:rsidP="00B56A34">
      <w:pPr>
        <w:pStyle w:val="NormalHanging12a"/>
      </w:pPr>
      <w:r w:rsidRPr="00567BB6">
        <w:t>3.</w:t>
      </w:r>
      <w:r w:rsidRPr="00567BB6">
        <w:tab/>
        <w:t>demande à la Commission de retirer son projet de décision d’exécution;</w:t>
      </w:r>
    </w:p>
    <w:p w14:paraId="3CF7FB30" w14:textId="77777777" w:rsidR="00B56A34" w:rsidRPr="00567BB6" w:rsidRDefault="00B56A34" w:rsidP="00B56A34">
      <w:pPr>
        <w:pStyle w:val="NormalHanging12a"/>
      </w:pPr>
      <w:r w:rsidRPr="00567BB6">
        <w:t>4.</w:t>
      </w:r>
      <w:r w:rsidRPr="00567BB6">
        <w:tab/>
        <w:t>invite la Commission à ne pas renouveler l’autorisation du soja génétiquement modifié en raison des risques liés à l’utilisation du dicamba, aux incidences sur l’environnement et à l’insuffisance des preuves à long terme, conformément à l’approche «Une seule santé»;</w:t>
      </w:r>
      <w:bookmarkStart w:id="11" w:name="_Hlk210900300"/>
    </w:p>
    <w:p w14:paraId="106C4392" w14:textId="77777777" w:rsidR="00B56A34" w:rsidRPr="00567BB6" w:rsidRDefault="00B56A34" w:rsidP="00B56A34">
      <w:pPr>
        <w:pStyle w:val="NormalHanging12a"/>
      </w:pPr>
      <w:r w:rsidRPr="00567BB6">
        <w:t xml:space="preserve">5. </w:t>
      </w:r>
      <w:r w:rsidRPr="00567BB6">
        <w:tab/>
        <w:t>invite la Commission à présenter sans délai une proposition législative visant à réformer la procédure décisionnelle relative aux OGM afin de répondre aux objections récurrentes du Parlement et à l’absence de majorité qualifiée parmi les États membres</w:t>
      </w:r>
      <w:bookmarkEnd w:id="11"/>
      <w:r w:rsidRPr="00567BB6">
        <w:t>;</w:t>
      </w:r>
      <w:bookmarkStart w:id="12" w:name="_Hlk210900241"/>
    </w:p>
    <w:p w14:paraId="2468F76E" w14:textId="77777777" w:rsidR="00B56A34" w:rsidRPr="00567BB6" w:rsidRDefault="00B56A34" w:rsidP="00B56A34">
      <w:pPr>
        <w:pStyle w:val="NormalHanging12a"/>
      </w:pPr>
      <w:r w:rsidRPr="00567BB6">
        <w:t>6.</w:t>
      </w:r>
      <w:r w:rsidRPr="00567BB6">
        <w:tab/>
        <w:t>demande instamment à la Commission de tenir compte des obligations qui incombent à l’Union en vertu d’accords internationaux, tels que l’accord de Paris sur le climat, la convention des Nations unies sur la diversité biologique et les objectifs de développement durable des Nations unies;</w:t>
      </w:r>
    </w:p>
    <w:bookmarkEnd w:id="12"/>
    <w:p w14:paraId="7646E48B" w14:textId="283CFDDF" w:rsidR="00E365E1" w:rsidRPr="00567BB6" w:rsidRDefault="00B56A34" w:rsidP="006C7BE2">
      <w:pPr>
        <w:pStyle w:val="NormalHanging12a"/>
      </w:pPr>
      <w:r w:rsidRPr="00567BB6">
        <w:t>7.</w:t>
      </w:r>
      <w:r w:rsidRPr="00567BB6">
        <w:tab/>
        <w:t>charge sa Présidente de transmettre la présente résolution au Conseil et à la Commission ainsi qu’aux gouvernements et aux parlements des États membres.</w:t>
      </w:r>
    </w:p>
    <w:sectPr w:rsidR="00E365E1" w:rsidRPr="00567BB6" w:rsidSect="00567B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9C935" w14:textId="77777777" w:rsidR="00ED7167" w:rsidRPr="00567BB6" w:rsidRDefault="00ED7167">
      <w:r w:rsidRPr="00567BB6">
        <w:separator/>
      </w:r>
    </w:p>
  </w:endnote>
  <w:endnote w:type="continuationSeparator" w:id="0">
    <w:p w14:paraId="5353B3EC" w14:textId="77777777" w:rsidR="00ED7167" w:rsidRPr="00567BB6" w:rsidRDefault="00ED7167">
      <w:r w:rsidRPr="00567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D76B" w14:textId="77777777" w:rsidR="00064002" w:rsidRPr="00567B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0F7AF" w14:textId="77777777" w:rsidR="00064002" w:rsidRPr="00567B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58C65" w14:textId="77777777" w:rsidR="00064002" w:rsidRPr="00567B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90D2F" w14:textId="77777777" w:rsidR="00ED7167" w:rsidRPr="00567BB6" w:rsidRDefault="00ED7167">
      <w:r w:rsidRPr="00567BB6">
        <w:separator/>
      </w:r>
    </w:p>
  </w:footnote>
  <w:footnote w:type="continuationSeparator" w:id="0">
    <w:p w14:paraId="521227DB" w14:textId="77777777" w:rsidR="00ED7167" w:rsidRPr="00567BB6" w:rsidRDefault="00ED7167">
      <w:r w:rsidRPr="00567BB6">
        <w:continuationSeparator/>
      </w:r>
    </w:p>
  </w:footnote>
  <w:footnote w:id="1">
    <w:p w14:paraId="5E6AC56B" w14:textId="79A529C5" w:rsidR="00B56A34" w:rsidRPr="00A8348A" w:rsidRDefault="00B56A34" w:rsidP="00567BB6">
      <w:pPr>
        <w:pStyle w:val="FootnoteText"/>
        <w:ind w:left="567" w:hanging="567"/>
        <w:rPr>
          <w:sz w:val="24"/>
          <w:szCs w:val="22"/>
          <w:lang w:val="da-DK"/>
        </w:rPr>
      </w:pPr>
      <w:r w:rsidRPr="00567BB6">
        <w:rPr>
          <w:sz w:val="24"/>
          <w:szCs w:val="22"/>
          <w:vertAlign w:val="superscript"/>
        </w:rPr>
        <w:footnoteRef/>
      </w:r>
      <w:r w:rsidR="00567BB6" w:rsidRPr="00A8348A">
        <w:rPr>
          <w:sz w:val="24"/>
          <w:lang w:val="da-DK"/>
        </w:rPr>
        <w:t xml:space="preserve"> </w:t>
      </w:r>
      <w:r w:rsidR="00567BB6" w:rsidRPr="00A8348A">
        <w:rPr>
          <w:sz w:val="24"/>
          <w:lang w:val="da-DK"/>
        </w:rPr>
        <w:tab/>
      </w:r>
      <w:r w:rsidRPr="00A8348A">
        <w:rPr>
          <w:sz w:val="24"/>
          <w:lang w:val="da-DK"/>
        </w:rPr>
        <w:t>JO L 268 du 18.10.2003, p. 1, ELI: </w:t>
      </w:r>
      <w:r w:rsidR="000438D9">
        <w:fldChar w:fldCharType="begin"/>
      </w:r>
      <w:r w:rsidR="000438D9" w:rsidRPr="000438D9">
        <w:rPr>
          <w:lang w:val="da-DK"/>
        </w:rPr>
        <w:instrText>HYPERLINK "http://data.europa.eu/eli/reg/2003/18/oj" \t "Gives access to this document through its ELI URI."</w:instrText>
      </w:r>
      <w:r w:rsidR="000438D9">
        <w:fldChar w:fldCharType="separate"/>
      </w:r>
      <w:r w:rsidRPr="00A8348A">
        <w:rPr>
          <w:rStyle w:val="Hyperlink"/>
          <w:sz w:val="24"/>
          <w:lang w:val="da-DK"/>
        </w:rPr>
        <w:t>http://data.europa.eu/eli/reg/2003/18/oj</w:t>
      </w:r>
      <w:r w:rsidR="000438D9">
        <w:rPr>
          <w:rStyle w:val="Hyperlink"/>
          <w:sz w:val="24"/>
          <w:lang w:val="da-DK"/>
        </w:rPr>
        <w:fldChar w:fldCharType="end"/>
      </w:r>
    </w:p>
  </w:footnote>
  <w:footnote w:id="2">
    <w:p w14:paraId="41247522" w14:textId="4FC56EF3" w:rsidR="00B56A34" w:rsidRPr="00A8348A" w:rsidRDefault="00B56A34" w:rsidP="00567BB6">
      <w:pPr>
        <w:pStyle w:val="FootnoteText"/>
        <w:ind w:left="567" w:hanging="567"/>
        <w:rPr>
          <w:sz w:val="24"/>
          <w:szCs w:val="22"/>
          <w:lang w:val="fi-FI"/>
        </w:rPr>
      </w:pPr>
      <w:r w:rsidRPr="00567BB6">
        <w:rPr>
          <w:rStyle w:val="FootnoteReference"/>
          <w:sz w:val="24"/>
          <w:szCs w:val="22"/>
        </w:rPr>
        <w:footnoteRef/>
      </w:r>
      <w:bookmarkStart w:id="8" w:name="_Hlk210663104"/>
      <w:r w:rsidR="00567BB6" w:rsidRPr="00A8348A">
        <w:rPr>
          <w:sz w:val="24"/>
          <w:lang w:val="fi-FI"/>
        </w:rPr>
        <w:t xml:space="preserve"> </w:t>
      </w:r>
      <w:r w:rsidR="00567BB6" w:rsidRPr="00A8348A">
        <w:rPr>
          <w:sz w:val="24"/>
          <w:lang w:val="fi-FI"/>
        </w:rPr>
        <w:tab/>
      </w:r>
      <w:r w:rsidRPr="00A8348A">
        <w:rPr>
          <w:sz w:val="24"/>
          <w:lang w:val="fi-FI"/>
        </w:rPr>
        <w:t xml:space="preserve">JO L 55 du 28.2.2011, p. 13, ELI: </w:t>
      </w:r>
      <w:r w:rsidR="000438D9">
        <w:fldChar w:fldCharType="begin"/>
      </w:r>
      <w:r w:rsidR="000438D9" w:rsidRPr="000438D9">
        <w:rPr>
          <w:lang w:val="fi-FI"/>
        </w:rPr>
        <w:instrText>HYPERLINK "http://data.europa.eu/eli/reg/2011/182/oj"</w:instrText>
      </w:r>
      <w:r w:rsidR="000438D9">
        <w:fldChar w:fldCharType="separate"/>
      </w:r>
      <w:r w:rsidRPr="00A8348A">
        <w:rPr>
          <w:rStyle w:val="Hyperlink"/>
          <w:sz w:val="24"/>
          <w:lang w:val="fi-FI"/>
        </w:rPr>
        <w:t>http://data.europa.eu/eli/reg/2011/182/oj</w:t>
      </w:r>
      <w:r w:rsidR="000438D9">
        <w:rPr>
          <w:rStyle w:val="Hyperlink"/>
          <w:sz w:val="24"/>
          <w:lang w:val="fi-FI"/>
        </w:rPr>
        <w:fldChar w:fldCharType="end"/>
      </w:r>
      <w:r w:rsidRPr="00A8348A">
        <w:rPr>
          <w:sz w:val="24"/>
          <w:lang w:val="fi-FI"/>
        </w:rPr>
        <w:t>.</w:t>
      </w:r>
      <w:bookmarkEnd w:id="8"/>
    </w:p>
  </w:footnote>
  <w:footnote w:id="3">
    <w:p w14:paraId="2EAE7C55" w14:textId="05C5EE0E" w:rsidR="00B56A34" w:rsidRPr="00567BB6" w:rsidRDefault="00B56A34" w:rsidP="00567BB6">
      <w:pPr>
        <w:pStyle w:val="FootnoteText"/>
        <w:ind w:left="567" w:hanging="567"/>
        <w:rPr>
          <w:sz w:val="24"/>
          <w:szCs w:val="22"/>
        </w:rPr>
      </w:pPr>
      <w:r w:rsidRPr="00567BB6">
        <w:rPr>
          <w:sz w:val="24"/>
          <w:szCs w:val="22"/>
          <w:vertAlign w:val="superscript"/>
        </w:rPr>
        <w:footnoteRef/>
      </w:r>
      <w:r w:rsidR="00567BB6" w:rsidRPr="00567BB6">
        <w:rPr>
          <w:sz w:val="24"/>
        </w:rPr>
        <w:t xml:space="preserve"> </w:t>
      </w:r>
      <w:r w:rsidR="00567BB6" w:rsidRPr="00567BB6">
        <w:rPr>
          <w:sz w:val="24"/>
        </w:rPr>
        <w:tab/>
      </w:r>
      <w:r w:rsidRPr="00567BB6">
        <w:rPr>
          <w:sz w:val="24"/>
        </w:rPr>
        <w:t>Avis scientifique du groupe scientifique de l’EFSA sur les organismes génétiquement modifiés intitulé «</w:t>
      </w:r>
      <w:proofErr w:type="spellStart"/>
      <w:r w:rsidRPr="00567BB6">
        <w:rPr>
          <w:sz w:val="24"/>
        </w:rPr>
        <w:t>Assessment</w:t>
      </w:r>
      <w:proofErr w:type="spellEnd"/>
      <w:r w:rsidRPr="00567BB6">
        <w:rPr>
          <w:sz w:val="24"/>
        </w:rPr>
        <w:t xml:space="preserve"> of </w:t>
      </w:r>
      <w:proofErr w:type="spellStart"/>
      <w:r w:rsidRPr="00567BB6">
        <w:rPr>
          <w:sz w:val="24"/>
        </w:rPr>
        <w:t>genetically</w:t>
      </w:r>
      <w:proofErr w:type="spellEnd"/>
      <w:r w:rsidRPr="00567BB6">
        <w:rPr>
          <w:sz w:val="24"/>
        </w:rPr>
        <w:t xml:space="preserve"> </w:t>
      </w:r>
      <w:proofErr w:type="spellStart"/>
      <w:r w:rsidRPr="00567BB6">
        <w:rPr>
          <w:sz w:val="24"/>
        </w:rPr>
        <w:t>modified</w:t>
      </w:r>
      <w:proofErr w:type="spellEnd"/>
      <w:r w:rsidRPr="00567BB6">
        <w:rPr>
          <w:sz w:val="24"/>
        </w:rPr>
        <w:t xml:space="preserve"> </w:t>
      </w:r>
      <w:proofErr w:type="spellStart"/>
      <w:r w:rsidRPr="00567BB6">
        <w:rPr>
          <w:sz w:val="24"/>
        </w:rPr>
        <w:t>soybean</w:t>
      </w:r>
      <w:proofErr w:type="spellEnd"/>
      <w:r w:rsidRPr="00567BB6">
        <w:rPr>
          <w:sz w:val="24"/>
        </w:rPr>
        <w:t xml:space="preserve"> MON 87708 (application GMFF-2023-21237)». EFSA Journal 2025;23(5):9379; https://doi.org/10.2903/j.efsa.2025.9379. </w:t>
      </w:r>
    </w:p>
  </w:footnote>
  <w:footnote w:id="4">
    <w:p w14:paraId="76E4A0B1" w14:textId="18E2CB04" w:rsidR="00B56A34" w:rsidRPr="00567BB6" w:rsidRDefault="00B56A34" w:rsidP="00567BB6">
      <w:pPr>
        <w:pStyle w:val="FootnoteText"/>
        <w:ind w:left="567" w:hanging="567"/>
        <w:rPr>
          <w:color w:val="000000" w:themeColor="text1"/>
          <w:sz w:val="24"/>
          <w:szCs w:val="22"/>
          <w:vertAlign w:val="superscript"/>
        </w:rPr>
      </w:pPr>
      <w:r w:rsidRPr="00567BB6">
        <w:rPr>
          <w:rStyle w:val="FootnoteReference"/>
          <w:sz w:val="24"/>
          <w:szCs w:val="22"/>
        </w:rPr>
        <w:footnoteRef/>
      </w:r>
      <w:r w:rsidR="00567BB6" w:rsidRPr="00567BB6">
        <w:rPr>
          <w:color w:val="000000" w:themeColor="text1"/>
          <w:sz w:val="24"/>
        </w:rPr>
        <w:t xml:space="preserve"> </w:t>
      </w:r>
      <w:r w:rsidR="00567BB6" w:rsidRPr="00567BB6">
        <w:rPr>
          <w:color w:val="000000" w:themeColor="text1"/>
          <w:sz w:val="24"/>
        </w:rPr>
        <w:tab/>
      </w:r>
      <w:r w:rsidRPr="00567BB6">
        <w:rPr>
          <w:color w:val="000000" w:themeColor="text1"/>
          <w:sz w:val="24"/>
        </w:rPr>
        <w:t>Le Parlement a adopté 36 résolutions par lesquelles il s’opposait à l’autorisation d’OGM au cours de sa huitième législature, et 38 au cours de sa neuvième législature. En outre, depuis le début de la dixième législature, il a adopté les résolutions suivantes:</w:t>
      </w:r>
    </w:p>
    <w:p w14:paraId="3BF5A202" w14:textId="4F930795" w:rsidR="00B56A34" w:rsidRPr="00567BB6" w:rsidRDefault="00567BB6" w:rsidP="00567BB6">
      <w:pPr>
        <w:pStyle w:val="FootnoteText"/>
        <w:ind w:left="567" w:hanging="567"/>
        <w:rPr>
          <w:color w:val="000000" w:themeColor="text1"/>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1" w:history="1">
        <w:r w:rsidR="00B56A34" w:rsidRPr="00567BB6">
          <w:rPr>
            <w:rStyle w:val="Hyperlink"/>
            <w:sz w:val="24"/>
          </w:rPr>
          <w:t>http://data.europa.eu/eli/C/2025/1797/oj</w:t>
        </w:r>
      </w:hyperlink>
      <w:r w:rsidR="00B56A34" w:rsidRPr="00567BB6">
        <w:rPr>
          <w:color w:val="000000" w:themeColor="text1"/>
          <w:sz w:val="24"/>
        </w:rPr>
        <w:t>).</w:t>
      </w:r>
    </w:p>
    <w:p w14:paraId="5954FC5E" w14:textId="5696C2A2" w:rsidR="00B56A34" w:rsidRPr="00567BB6" w:rsidRDefault="00567BB6" w:rsidP="00567BB6">
      <w:pPr>
        <w:pStyle w:val="FootnoteText"/>
        <w:ind w:left="567" w:hanging="567"/>
        <w:rPr>
          <w:color w:val="000000" w:themeColor="text1"/>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2" w:history="1">
        <w:r w:rsidR="00B56A34" w:rsidRPr="00567BB6">
          <w:rPr>
            <w:rStyle w:val="Hyperlink"/>
            <w:sz w:val="24"/>
          </w:rPr>
          <w:t>http://data.europa.eu/eli/C/2025/1798/oj</w:t>
        </w:r>
      </w:hyperlink>
      <w:r w:rsidR="00B56A34" w:rsidRPr="00567BB6">
        <w:rPr>
          <w:color w:val="000000" w:themeColor="text1"/>
          <w:sz w:val="24"/>
        </w:rPr>
        <w:t>).</w:t>
      </w:r>
    </w:p>
    <w:p w14:paraId="2C629397" w14:textId="70B5A314" w:rsidR="00B56A34" w:rsidRPr="00567BB6" w:rsidRDefault="00567BB6" w:rsidP="00567BB6">
      <w:pPr>
        <w:pStyle w:val="FootnoteText"/>
        <w:ind w:left="567" w:hanging="567"/>
        <w:rPr>
          <w:color w:val="000000" w:themeColor="text1"/>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3" w:history="1">
        <w:r w:rsidR="00B56A34" w:rsidRPr="00567BB6">
          <w:rPr>
            <w:rStyle w:val="Hyperlink"/>
            <w:sz w:val="24"/>
          </w:rPr>
          <w:t>http://data.europa.eu/eli/C/2025/1799/oj</w:t>
        </w:r>
      </w:hyperlink>
      <w:r w:rsidR="00B56A34" w:rsidRPr="00567BB6">
        <w:rPr>
          <w:color w:val="000000" w:themeColor="text1"/>
          <w:sz w:val="24"/>
        </w:rPr>
        <w:t>).</w:t>
      </w:r>
    </w:p>
    <w:p w14:paraId="5CC4E1D8" w14:textId="033E3B7E" w:rsidR="00B56A34" w:rsidRPr="00567BB6" w:rsidRDefault="00567BB6" w:rsidP="00567BB6">
      <w:pPr>
        <w:pStyle w:val="FootnoteText"/>
        <w:ind w:left="567" w:hanging="567"/>
        <w:rPr>
          <w:color w:val="000000" w:themeColor="text1"/>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4" w:history="1">
        <w:r w:rsidR="00B56A34" w:rsidRPr="00567BB6">
          <w:rPr>
            <w:rStyle w:val="Hyperlink"/>
            <w:sz w:val="24"/>
          </w:rPr>
          <w:t>http://data.europa.eu/eli/C/2025/1800/oj</w:t>
        </w:r>
      </w:hyperlink>
      <w:r w:rsidR="00B56A34" w:rsidRPr="00567BB6">
        <w:rPr>
          <w:color w:val="000000" w:themeColor="text1"/>
          <w:sz w:val="24"/>
        </w:rPr>
        <w:t>).</w:t>
      </w:r>
    </w:p>
    <w:p w14:paraId="0818FB15" w14:textId="057D02C1" w:rsidR="00B56A34" w:rsidRPr="00567BB6" w:rsidRDefault="00567BB6" w:rsidP="00567BB6">
      <w:pPr>
        <w:pStyle w:val="FootnoteText"/>
        <w:ind w:left="567" w:hanging="567"/>
        <w:rPr>
          <w:color w:val="000000" w:themeColor="text1"/>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en application du règlement (CE) nº 1829/2003 du Parlement européen et du Conseil (JO C, C/2025/1801, 4.4.2025, ELI: </w:t>
      </w:r>
      <w:hyperlink r:id="rId5" w:history="1">
        <w:r w:rsidR="00B56A34" w:rsidRPr="00567BB6">
          <w:rPr>
            <w:rStyle w:val="Hyperlink"/>
            <w:sz w:val="24"/>
          </w:rPr>
          <w:t>http://data.europa.eu/eli/C/2025/1801/oj</w:t>
        </w:r>
      </w:hyperlink>
      <w:r w:rsidR="00B56A34" w:rsidRPr="00567BB6">
        <w:rPr>
          <w:color w:val="000000" w:themeColor="text1"/>
          <w:sz w:val="24"/>
        </w:rPr>
        <w:t>).</w:t>
      </w:r>
    </w:p>
    <w:p w14:paraId="4164FF6A" w14:textId="27DF5F83" w:rsidR="00B56A34" w:rsidRPr="00567BB6" w:rsidRDefault="00567BB6" w:rsidP="00567BB6">
      <w:pPr>
        <w:pStyle w:val="FootnoteText"/>
        <w:ind w:left="567" w:hanging="567"/>
        <w:rPr>
          <w:color w:val="000000" w:themeColor="text1"/>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t xml:space="preserve">résolution du Parlement européen du 26 novembre 2024 sur la décision d’exécution (UE) 2024/1826 de la Commission autorisant la mise sur le marché de produits contenant du maïs génétiquement modifié DP23211, consistant en ce maïs ou produits à partir de celui-ci, en application du règlement (CE) nº 1829/2003 du Parlement européen et du Conseil (JO C, C/2025/1802, 4.4.2025, ELI: </w:t>
      </w:r>
      <w:hyperlink r:id="rId6" w:history="1">
        <w:r w:rsidR="00B56A34" w:rsidRPr="00567BB6">
          <w:rPr>
            <w:rStyle w:val="Hyperlink"/>
            <w:sz w:val="24"/>
          </w:rPr>
          <w:t>http://data.europa.eu/eli/C/2025/1802/oj</w:t>
        </w:r>
      </w:hyperlink>
      <w:r w:rsidR="00B56A34" w:rsidRPr="00567BB6">
        <w:rPr>
          <w:color w:val="000000" w:themeColor="text1"/>
          <w:sz w:val="24"/>
        </w:rPr>
        <w:t>).</w:t>
      </w:r>
    </w:p>
    <w:p w14:paraId="5AA7547B" w14:textId="3F5FF44E" w:rsidR="00B56A34" w:rsidRPr="00567BB6" w:rsidRDefault="00567BB6" w:rsidP="00567BB6">
      <w:pPr>
        <w:pStyle w:val="FootnoteText"/>
        <w:ind w:left="567" w:hanging="567"/>
        <w:rPr>
          <w:color w:val="000000" w:themeColor="text1"/>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7" w:history="1">
        <w:r w:rsidR="00B56A34" w:rsidRPr="00567BB6">
          <w:rPr>
            <w:rStyle w:val="Hyperlink"/>
            <w:sz w:val="24"/>
          </w:rPr>
          <w:t>http://data.europa.eu/eli/C/2025/1803/oj</w:t>
        </w:r>
      </w:hyperlink>
      <w:r w:rsidR="00B56A34" w:rsidRPr="00567BB6">
        <w:rPr>
          <w:color w:val="000000" w:themeColor="text1"/>
          <w:sz w:val="24"/>
        </w:rPr>
        <w:t>).</w:t>
      </w:r>
    </w:p>
    <w:p w14:paraId="6060DDC1" w14:textId="5F2C291E" w:rsidR="00B56A34" w:rsidRPr="00567BB6" w:rsidRDefault="00567BB6" w:rsidP="00567BB6">
      <w:pPr>
        <w:pStyle w:val="FootnoteText"/>
        <w:ind w:left="567" w:hanging="567"/>
        <w:rPr>
          <w:color w:val="000000" w:themeColor="text1"/>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8" w:history="1">
        <w:r w:rsidR="00B56A34" w:rsidRPr="00567BB6">
          <w:rPr>
            <w:rStyle w:val="Hyperlink"/>
            <w:sz w:val="24"/>
          </w:rPr>
          <w:t>http://data.europa.eu/eli/C/2025/1804/oj</w:t>
        </w:r>
      </w:hyperlink>
      <w:r w:rsidR="00B56A34" w:rsidRPr="00567BB6">
        <w:rPr>
          <w:color w:val="000000" w:themeColor="text1"/>
          <w:sz w:val="24"/>
        </w:rPr>
        <w:t>).</w:t>
      </w:r>
    </w:p>
    <w:p w14:paraId="7F28249A" w14:textId="3C323EB6" w:rsidR="00B56A34" w:rsidRPr="00567BB6" w:rsidRDefault="00567BB6" w:rsidP="00567BB6">
      <w:pPr>
        <w:pStyle w:val="FootnoteText"/>
        <w:ind w:left="567" w:hanging="567"/>
        <w:rPr>
          <w:sz w:val="24"/>
          <w:szCs w:val="22"/>
          <w:vertAlign w:val="superscript"/>
        </w:rPr>
      </w:pPr>
      <w:r w:rsidRPr="00567BB6">
        <w:rPr>
          <w:color w:val="000000" w:themeColor="text1"/>
          <w:sz w:val="24"/>
        </w:rPr>
        <w:t xml:space="preserve"> </w:t>
      </w:r>
      <w:r w:rsidRPr="00567BB6">
        <w:rPr>
          <w:color w:val="000000" w:themeColor="text1"/>
          <w:sz w:val="24"/>
        </w:rPr>
        <w:tab/>
      </w:r>
      <w:r w:rsidR="00B56A34" w:rsidRPr="00567BB6">
        <w:rPr>
          <w:color w:val="000000" w:themeColor="text1"/>
          <w:sz w:val="24"/>
        </w:rPr>
        <w:t>–</w:t>
      </w:r>
      <w:r w:rsidR="00B56A34" w:rsidRPr="00567BB6">
        <w:rPr>
          <w:color w:val="000000" w:themeColor="text1"/>
          <w:sz w:val="24"/>
        </w:rPr>
        <w:tab/>
      </w:r>
      <w:r w:rsidR="00B56A34" w:rsidRPr="00567BB6">
        <w:rPr>
          <w:sz w:val="24"/>
        </w:rPr>
        <w:t xml:space="preserve">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9" w:tooltip="Permet d’accéder à ce document par l’intermédiaire de son URI ELI." w:history="1">
        <w:r w:rsidR="00B56A34" w:rsidRPr="00567BB6">
          <w:rPr>
            <w:rStyle w:val="Hyperlink"/>
            <w:sz w:val="24"/>
          </w:rPr>
          <w:t>http://data.europa.eu/eli/C/2025/2246/oj</w:t>
        </w:r>
      </w:hyperlink>
      <w:r w:rsidR="00B56A34" w:rsidRPr="00567BB6">
        <w:rPr>
          <w:sz w:val="24"/>
        </w:rPr>
        <w:t>).</w:t>
      </w:r>
    </w:p>
    <w:p w14:paraId="421132F0" w14:textId="6E9CABA6" w:rsidR="00B56A34" w:rsidRPr="00567BB6" w:rsidRDefault="00567BB6" w:rsidP="00567BB6">
      <w:pPr>
        <w:pStyle w:val="FootnoteText"/>
        <w:ind w:left="567" w:hanging="567"/>
        <w:rPr>
          <w:sz w:val="24"/>
          <w:szCs w:val="22"/>
          <w:vertAlign w:val="superscript"/>
        </w:rPr>
      </w:pPr>
      <w:r w:rsidRPr="00567BB6">
        <w:rPr>
          <w:sz w:val="24"/>
        </w:rPr>
        <w:t xml:space="preserve"> </w:t>
      </w:r>
      <w:r w:rsidRPr="00567BB6">
        <w:rPr>
          <w:sz w:val="24"/>
        </w:rPr>
        <w:tab/>
      </w:r>
      <w:r w:rsidR="00B56A34" w:rsidRPr="00567BB6">
        <w:rPr>
          <w:sz w:val="24"/>
        </w:rPr>
        <w:t>–</w:t>
      </w:r>
      <w:r w:rsidR="00B56A34" w:rsidRPr="00567BB6">
        <w:rPr>
          <w:sz w:val="24"/>
        </w:rPr>
        <w:tab/>
        <w:t xml:space="preserve">résolution du Parlement européen du 12 février 2025 sur le projet de décision d’exécution de la Commission autorisant la mise sur le marché de produits contenant du maïs génétiquement modifié MON 95275, consistant en ce maïs ou produits à partir de celui-ci, en application du règlement (CE) nº 1829/2003 du Parlement européen et du Conseil (JO C, C/2025/2247, 29.4.2025, ELI: </w:t>
      </w:r>
      <w:hyperlink r:id="rId10" w:tooltip="Permet d’accéder à ce document par l’intermédiaire de son URI ELI." w:history="1">
        <w:r w:rsidR="00B56A34" w:rsidRPr="00567BB6">
          <w:rPr>
            <w:rStyle w:val="Hyperlink"/>
            <w:sz w:val="24"/>
          </w:rPr>
          <w:t>http://data.europa.eu/eli/C/2025/2247/oj</w:t>
        </w:r>
      </w:hyperlink>
      <w:r w:rsidR="00B56A34" w:rsidRPr="00567BB6">
        <w:rPr>
          <w:sz w:val="24"/>
        </w:rPr>
        <w:t>).</w:t>
      </w:r>
    </w:p>
    <w:p w14:paraId="28DBF8EE" w14:textId="0B71EFDA" w:rsidR="00B56A34" w:rsidRPr="00567BB6" w:rsidRDefault="00567BB6" w:rsidP="00567BB6">
      <w:pPr>
        <w:pStyle w:val="FootnoteText"/>
        <w:ind w:left="567" w:hanging="567"/>
        <w:rPr>
          <w:sz w:val="24"/>
          <w:szCs w:val="22"/>
          <w:vertAlign w:val="superscript"/>
        </w:rPr>
      </w:pPr>
      <w:r w:rsidRPr="00567BB6">
        <w:rPr>
          <w:sz w:val="24"/>
        </w:rPr>
        <w:t xml:space="preserve"> </w:t>
      </w:r>
      <w:r w:rsidRPr="00567BB6">
        <w:rPr>
          <w:sz w:val="24"/>
        </w:rPr>
        <w:tab/>
      </w:r>
      <w:r w:rsidR="00B56A34" w:rsidRPr="00567BB6">
        <w:rPr>
          <w:sz w:val="24"/>
        </w:rPr>
        <w:t>–</w:t>
      </w:r>
      <w:r w:rsidR="00B56A34" w:rsidRPr="00567BB6">
        <w:rPr>
          <w:sz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(P10_TA(2025)0106).</w:t>
      </w:r>
    </w:p>
    <w:p w14:paraId="19E990D7" w14:textId="2D0B2B14" w:rsidR="00B56A34" w:rsidRPr="00567BB6" w:rsidRDefault="00567BB6" w:rsidP="00567BB6">
      <w:pPr>
        <w:pStyle w:val="FootnoteText"/>
        <w:ind w:left="567" w:hanging="567"/>
        <w:rPr>
          <w:sz w:val="24"/>
          <w:szCs w:val="22"/>
        </w:rPr>
      </w:pPr>
      <w:r w:rsidRPr="00567BB6">
        <w:rPr>
          <w:sz w:val="24"/>
        </w:rPr>
        <w:t xml:space="preserve"> </w:t>
      </w:r>
      <w:r w:rsidRPr="00567BB6">
        <w:rPr>
          <w:sz w:val="24"/>
        </w:rPr>
        <w:tab/>
      </w:r>
      <w:r w:rsidR="00B56A34" w:rsidRPr="00567BB6">
        <w:rPr>
          <w:sz w:val="24"/>
        </w:rPr>
        <w:t>–</w:t>
      </w:r>
      <w:r w:rsidR="00B56A34" w:rsidRPr="00567BB6">
        <w:rPr>
          <w:sz w:val="24"/>
        </w:rPr>
        <w:tab/>
        <w:t>résolution du Parlement européen du 8 octobre 2025 sur la décision d’exécution (UE) 2025/1898 de la Commission du 22 septembre 2025 autorisant la mise sur le marché de produits contenant du maïs génétiquement modifié DP51291, consistant en ce maïs ou produits à partir de celui-ci, conformément au règlement (CE) nº 1829/2003 du Parlement européen et du Conseil (P10_TA(2025)0222).</w:t>
      </w:r>
    </w:p>
  </w:footnote>
  <w:footnote w:id="5">
    <w:p w14:paraId="30663B6F" w14:textId="54BC021D" w:rsidR="00B56A34" w:rsidRPr="00A8348A" w:rsidRDefault="00B56A34" w:rsidP="00567BB6">
      <w:pPr>
        <w:pStyle w:val="FootnoteText"/>
        <w:ind w:left="567" w:hanging="567"/>
        <w:rPr>
          <w:sz w:val="24"/>
          <w:szCs w:val="22"/>
          <w:lang w:val="fi-FI"/>
        </w:rPr>
      </w:pPr>
      <w:r w:rsidRPr="00567BB6">
        <w:rPr>
          <w:rStyle w:val="FootnoteReference"/>
          <w:sz w:val="24"/>
          <w:szCs w:val="22"/>
        </w:rPr>
        <w:footnoteRef/>
      </w:r>
      <w:r w:rsidR="00567BB6" w:rsidRPr="00A8348A">
        <w:rPr>
          <w:sz w:val="24"/>
          <w:lang w:val="fi-FI"/>
        </w:rPr>
        <w:t xml:space="preserve"> </w:t>
      </w:r>
      <w:r w:rsidR="00567BB6" w:rsidRPr="00A8348A">
        <w:rPr>
          <w:sz w:val="24"/>
          <w:lang w:val="fi-FI"/>
        </w:rPr>
        <w:tab/>
      </w:r>
      <w:r w:rsidRPr="00A8348A">
        <w:rPr>
          <w:sz w:val="24"/>
          <w:lang w:val="fi-FI"/>
        </w:rPr>
        <w:t xml:space="preserve">JO L 112 du 30.4.2015, p. 81, ELI: </w:t>
      </w:r>
      <w:r w:rsidR="000438D9">
        <w:fldChar w:fldCharType="begin"/>
      </w:r>
      <w:r w:rsidR="000438D9" w:rsidRPr="000438D9">
        <w:rPr>
          <w:lang w:val="fi-FI"/>
        </w:rPr>
        <w:instrText>HYPERLINK "http://data.europa.eu/eli/dec_impl/2015/700/oj"</w:instrText>
      </w:r>
      <w:r w:rsidR="000438D9">
        <w:fldChar w:fldCharType="separate"/>
      </w:r>
      <w:r w:rsidRPr="00A8348A">
        <w:rPr>
          <w:rStyle w:val="Hyperlink"/>
          <w:sz w:val="24"/>
          <w:lang w:val="fi-FI"/>
        </w:rPr>
        <w:t>http://data.europa.eu/eli/dec_impl/2015/700/oj</w:t>
      </w:r>
      <w:r w:rsidR="000438D9">
        <w:rPr>
          <w:rStyle w:val="Hyperlink"/>
          <w:sz w:val="24"/>
          <w:lang w:val="fi-FI"/>
        </w:rPr>
        <w:fldChar w:fldCharType="end"/>
      </w:r>
      <w:r w:rsidRPr="00A8348A">
        <w:rPr>
          <w:sz w:val="24"/>
          <w:lang w:val="fi-FI"/>
        </w:rPr>
        <w:t>.</w:t>
      </w:r>
    </w:p>
  </w:footnote>
  <w:footnote w:id="6">
    <w:p w14:paraId="5D02D50F" w14:textId="39809473" w:rsidR="00B56A34" w:rsidRPr="00567BB6" w:rsidRDefault="00B56A34" w:rsidP="00567BB6">
      <w:pPr>
        <w:pStyle w:val="FootnoteText"/>
        <w:ind w:left="567" w:hanging="567"/>
        <w:rPr>
          <w:sz w:val="24"/>
          <w:szCs w:val="22"/>
        </w:rPr>
      </w:pPr>
      <w:r w:rsidRPr="00567BB6">
        <w:rPr>
          <w:rStyle w:val="FootnoteReference"/>
          <w:sz w:val="24"/>
          <w:szCs w:val="22"/>
        </w:rPr>
        <w:footnoteRef/>
      </w:r>
      <w:r w:rsidR="00567BB6" w:rsidRPr="00567BB6">
        <w:rPr>
          <w:sz w:val="24"/>
        </w:rPr>
        <w:t xml:space="preserve"> </w:t>
      </w:r>
      <w:r w:rsidR="00567BB6" w:rsidRPr="00567BB6">
        <w:rPr>
          <w:sz w:val="24"/>
        </w:rPr>
        <w:tab/>
      </w:r>
      <w:r w:rsidRPr="00567BB6">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11" w:tgtFrame="Gives%20access%20to%20this%20document%20through%20its%20ELI%20URI." w:history="1">
        <w:r w:rsidRPr="00567BB6">
          <w:rPr>
            <w:rStyle w:val="Hyperlink"/>
            <w:sz w:val="24"/>
          </w:rPr>
          <w:t>http://data.europa.eu/eli/reg/2002/178/oj</w:t>
        </w:r>
      </w:hyperlink>
      <w:r w:rsidRPr="00567BB6">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BB634" w14:textId="77777777" w:rsidR="00064002" w:rsidRPr="00567B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F4C9E" w14:textId="77777777" w:rsidR="00064002" w:rsidRPr="00567B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9249E" w14:textId="77777777" w:rsidR="00064002" w:rsidRPr="00567B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5601454">
    <w:abstractNumId w:val="9"/>
  </w:num>
  <w:num w:numId="2" w16cid:durableId="513230828">
    <w:abstractNumId w:val="9"/>
  </w:num>
  <w:num w:numId="3" w16cid:durableId="633870140">
    <w:abstractNumId w:val="7"/>
  </w:num>
  <w:num w:numId="4" w16cid:durableId="2025672767">
    <w:abstractNumId w:val="7"/>
  </w:num>
  <w:num w:numId="5" w16cid:durableId="1809128751">
    <w:abstractNumId w:val="6"/>
  </w:num>
  <w:num w:numId="6" w16cid:durableId="1613130485">
    <w:abstractNumId w:val="6"/>
  </w:num>
  <w:num w:numId="7" w16cid:durableId="1971394573">
    <w:abstractNumId w:val="5"/>
  </w:num>
  <w:num w:numId="8" w16cid:durableId="416756886">
    <w:abstractNumId w:val="5"/>
  </w:num>
  <w:num w:numId="9" w16cid:durableId="759134415">
    <w:abstractNumId w:val="4"/>
  </w:num>
  <w:num w:numId="10" w16cid:durableId="1986932042">
    <w:abstractNumId w:val="4"/>
  </w:num>
  <w:num w:numId="11" w16cid:durableId="1560903422">
    <w:abstractNumId w:val="8"/>
  </w:num>
  <w:num w:numId="12" w16cid:durableId="57097542">
    <w:abstractNumId w:val="8"/>
  </w:num>
  <w:num w:numId="13" w16cid:durableId="1773237015">
    <w:abstractNumId w:val="3"/>
  </w:num>
  <w:num w:numId="14" w16cid:durableId="1718892960">
    <w:abstractNumId w:val="3"/>
  </w:num>
  <w:num w:numId="15" w16cid:durableId="674067065">
    <w:abstractNumId w:val="2"/>
  </w:num>
  <w:num w:numId="16" w16cid:durableId="68768811">
    <w:abstractNumId w:val="2"/>
  </w:num>
  <w:num w:numId="17" w16cid:durableId="1402096145">
    <w:abstractNumId w:val="1"/>
  </w:num>
  <w:num w:numId="18" w16cid:durableId="145977999">
    <w:abstractNumId w:val="1"/>
  </w:num>
  <w:num w:numId="19" w16cid:durableId="494148539">
    <w:abstractNumId w:val="0"/>
  </w:num>
  <w:num w:numId="20" w16cid:durableId="1825002598">
    <w:abstractNumId w:val="0"/>
  </w:num>
  <w:num w:numId="21" w16cid:durableId="706637385">
    <w:abstractNumId w:val="9"/>
  </w:num>
  <w:num w:numId="22" w16cid:durableId="2020739674">
    <w:abstractNumId w:val="7"/>
  </w:num>
  <w:num w:numId="23" w16cid:durableId="234978013">
    <w:abstractNumId w:val="6"/>
  </w:num>
  <w:num w:numId="24" w16cid:durableId="1436319623">
    <w:abstractNumId w:val="5"/>
  </w:num>
  <w:num w:numId="25" w16cid:durableId="1750418565">
    <w:abstractNumId w:val="4"/>
  </w:num>
  <w:num w:numId="26" w16cid:durableId="1517648798">
    <w:abstractNumId w:val="8"/>
  </w:num>
  <w:num w:numId="27" w16cid:durableId="1966766522">
    <w:abstractNumId w:val="3"/>
  </w:num>
  <w:num w:numId="28" w16cid:durableId="274294505">
    <w:abstractNumId w:val="2"/>
  </w:num>
  <w:num w:numId="29" w16cid:durableId="2052924275">
    <w:abstractNumId w:val="1"/>
  </w:num>
  <w:num w:numId="30" w16cid:durableId="1848666260">
    <w:abstractNumId w:val="0"/>
  </w:num>
  <w:num w:numId="31" w16cid:durableId="1001346554">
    <w:abstractNumId w:val="9"/>
  </w:num>
  <w:num w:numId="32" w16cid:durableId="544295830">
    <w:abstractNumId w:val="7"/>
  </w:num>
  <w:num w:numId="33" w16cid:durableId="1217932586">
    <w:abstractNumId w:val="6"/>
  </w:num>
  <w:num w:numId="34" w16cid:durableId="601492530">
    <w:abstractNumId w:val="5"/>
  </w:num>
  <w:num w:numId="35" w16cid:durableId="2022966924">
    <w:abstractNumId w:val="4"/>
  </w:num>
  <w:num w:numId="36" w16cid:durableId="552355416">
    <w:abstractNumId w:val="8"/>
  </w:num>
  <w:num w:numId="37" w16cid:durableId="2081903649">
    <w:abstractNumId w:val="3"/>
  </w:num>
  <w:num w:numId="38" w16cid:durableId="683213739">
    <w:abstractNumId w:val="2"/>
  </w:num>
  <w:num w:numId="39" w16cid:durableId="1388185820">
    <w:abstractNumId w:val="1"/>
  </w:num>
  <w:num w:numId="40" w16cid:durableId="428745031">
    <w:abstractNumId w:val="0"/>
  </w:num>
  <w:num w:numId="41" w16cid:durableId="3559405">
    <w:abstractNumId w:val="10"/>
  </w:num>
  <w:num w:numId="42" w16cid:durableId="1860700740">
    <w:abstractNumId w:val="10"/>
  </w:num>
  <w:num w:numId="43" w16cid:durableId="417602700">
    <w:abstractNumId w:val="10"/>
  </w:num>
  <w:num w:numId="44" w16cid:durableId="1382366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FR"/>
    <w:docVar w:name="dvnumam" w:val="0"/>
    <w:docVar w:name="dvpe" w:val="778.110"/>
    <w:docVar w:name="dvtitre" w:val="Résolution du Parlement européen du ...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D109633/01 – 2025/2896(RSP))"/>
  </w:docVars>
  <w:rsids>
    <w:rsidRoot w:val="00ED7167"/>
    <w:rsid w:val="00002272"/>
    <w:rsid w:val="000438D9"/>
    <w:rsid w:val="00064002"/>
    <w:rsid w:val="000677B9"/>
    <w:rsid w:val="00080D4B"/>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2031"/>
    <w:rsid w:val="00411CCE"/>
    <w:rsid w:val="0041666E"/>
    <w:rsid w:val="00421060"/>
    <w:rsid w:val="00471C19"/>
    <w:rsid w:val="004867E3"/>
    <w:rsid w:val="00494A28"/>
    <w:rsid w:val="004C0004"/>
    <w:rsid w:val="004C5D52"/>
    <w:rsid w:val="0050519A"/>
    <w:rsid w:val="005072A1"/>
    <w:rsid w:val="00514517"/>
    <w:rsid w:val="00545827"/>
    <w:rsid w:val="00560270"/>
    <w:rsid w:val="00567BB6"/>
    <w:rsid w:val="005C2568"/>
    <w:rsid w:val="005F1B17"/>
    <w:rsid w:val="006037C0"/>
    <w:rsid w:val="006631B6"/>
    <w:rsid w:val="00680577"/>
    <w:rsid w:val="006A1507"/>
    <w:rsid w:val="006C7BE2"/>
    <w:rsid w:val="006F74FA"/>
    <w:rsid w:val="00731ADD"/>
    <w:rsid w:val="00734777"/>
    <w:rsid w:val="00747932"/>
    <w:rsid w:val="00751A4A"/>
    <w:rsid w:val="00756632"/>
    <w:rsid w:val="00762C74"/>
    <w:rsid w:val="00786EC0"/>
    <w:rsid w:val="007D1690"/>
    <w:rsid w:val="007E22AD"/>
    <w:rsid w:val="00817416"/>
    <w:rsid w:val="00842779"/>
    <w:rsid w:val="008527A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48A"/>
    <w:rsid w:val="00AB441E"/>
    <w:rsid w:val="00AB6293"/>
    <w:rsid w:val="00AE0928"/>
    <w:rsid w:val="00AF3B82"/>
    <w:rsid w:val="00B12E95"/>
    <w:rsid w:val="00B22876"/>
    <w:rsid w:val="00B558F0"/>
    <w:rsid w:val="00B56A34"/>
    <w:rsid w:val="00BD48FE"/>
    <w:rsid w:val="00BD7BD8"/>
    <w:rsid w:val="00BE6ADC"/>
    <w:rsid w:val="00C05BFE"/>
    <w:rsid w:val="00C23CD4"/>
    <w:rsid w:val="00C61C0C"/>
    <w:rsid w:val="00C91F1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16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9E7AA"/>
  <w15:chartTrackingRefBased/>
  <w15:docId w15:val="{C8E147C5-6D91-4276-9991-1B6CF0BB0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B56A34"/>
    <w:pPr>
      <w:spacing w:after="240"/>
    </w:pPr>
    <w:rPr>
      <w:b/>
    </w:rPr>
  </w:style>
  <w:style w:type="paragraph" w:customStyle="1" w:styleId="NormalHanging12a">
    <w:name w:val="NormalHanging12a"/>
    <w:basedOn w:val="Normal"/>
    <w:rsid w:val="00B56A34"/>
    <w:pPr>
      <w:spacing w:after="240"/>
      <w:ind w:left="567" w:hanging="567"/>
    </w:pPr>
  </w:style>
  <w:style w:type="character" w:styleId="Hyperlink">
    <w:name w:val="Hyperlink"/>
    <w:basedOn w:val="DefaultParagraphFont"/>
    <w:uiPriority w:val="99"/>
    <w:unhideWhenUsed/>
    <w:rsid w:val="00B56A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4/oj" TargetMode="External"/><Relationship Id="rId3" Type="http://schemas.openxmlformats.org/officeDocument/2006/relationships/hyperlink" Target="http://data.europa.eu/eli/C/2025/1799/oj" TargetMode="External"/><Relationship Id="rId7" Type="http://schemas.openxmlformats.org/officeDocument/2006/relationships/hyperlink" Target="http://data.europa.eu/eli/C/2025/1803/oj" TargetMode="External"/><Relationship Id="rId2" Type="http://schemas.openxmlformats.org/officeDocument/2006/relationships/hyperlink" Target="http://data.europa.eu/eli/C/2025/1798/oj" TargetMode="External"/><Relationship Id="rId1" Type="http://schemas.openxmlformats.org/officeDocument/2006/relationships/hyperlink" Target="http://data.europa.eu/eli/C/2025/1797/oj" TargetMode="External"/><Relationship Id="rId6" Type="http://schemas.openxmlformats.org/officeDocument/2006/relationships/hyperlink" Target="http://data.europa.eu/eli/C/2025/1802/oj" TargetMode="External"/><Relationship Id="rId11" Type="http://schemas.openxmlformats.org/officeDocument/2006/relationships/hyperlink" Target="http://data.europa.eu/eli/reg/2002/178/oj" TargetMode="External"/><Relationship Id="rId5" Type="http://schemas.openxmlformats.org/officeDocument/2006/relationships/hyperlink" Target="http://data.europa.eu/eli/C/2025/1801/oj" TargetMode="External"/><Relationship Id="rId10" Type="http://schemas.openxmlformats.org/officeDocument/2006/relationships/hyperlink" Target="http://data.europa.eu/eli/C/2025/2247/oj" TargetMode="External"/><Relationship Id="rId4" Type="http://schemas.openxmlformats.org/officeDocument/2006/relationships/hyperlink" Target="http://data.europa.eu/eli/C/2025/1800/oj" TargetMode="External"/><Relationship Id="rId9" Type="http://schemas.openxmlformats.org/officeDocument/2006/relationships/hyperlink" Target="http://data.europa.eu/eli/C/2025/2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1147</Words>
  <Characters>6440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2025-11-25T12:24:00Z</dcterms:created>
  <dcterms:modified xsi:type="dcterms:W3CDTF">2025-11-25T12:24:00Z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B10-0493/2025</vt:lpwstr>
  </property>
  <property fmtid="{D5CDD505-2E9C-101B-9397-08002B2CF9AE}" pid="4" name="&lt;Type&gt;">
    <vt:lpwstr>RR</vt:lpwstr>
  </property>
</Properties>
</file>