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67D" w14:paraId="2043222C" w14:textId="77777777" w:rsidTr="0010095E">
        <w:trPr>
          <w:trHeight w:hRule="exact" w:val="1418"/>
        </w:trPr>
        <w:tc>
          <w:tcPr>
            <w:tcW w:w="6804" w:type="dxa"/>
            <w:shd w:val="clear" w:color="auto" w:fill="auto"/>
            <w:vAlign w:val="center"/>
          </w:tcPr>
          <w:p w14:paraId="462D0712" w14:textId="77777777" w:rsidR="00751A4A" w:rsidRPr="0045767D" w:rsidRDefault="003F6872" w:rsidP="0010095E">
            <w:pPr>
              <w:pStyle w:val="EPName"/>
            </w:pPr>
            <w:r w:rsidRPr="0045767D">
              <w:t>Europaparlamentet</w:t>
            </w:r>
          </w:p>
          <w:p w14:paraId="48750A44" w14:textId="77777777" w:rsidR="00751A4A" w:rsidRPr="0045767D" w:rsidRDefault="005F1B17" w:rsidP="005F1B17">
            <w:pPr>
              <w:pStyle w:val="EPTerm"/>
              <w:rPr>
                <w:rStyle w:val="HideTWBExt"/>
                <w:noProof w:val="0"/>
                <w:vanish w:val="0"/>
                <w:color w:val="auto"/>
              </w:rPr>
            </w:pPr>
            <w:r w:rsidRPr="0045767D">
              <w:t>2024</w:t>
            </w:r>
            <w:r w:rsidR="00817416" w:rsidRPr="0045767D">
              <w:t>-202</w:t>
            </w:r>
            <w:r w:rsidRPr="0045767D">
              <w:t>9</w:t>
            </w:r>
          </w:p>
        </w:tc>
        <w:tc>
          <w:tcPr>
            <w:tcW w:w="2268" w:type="dxa"/>
            <w:shd w:val="clear" w:color="auto" w:fill="auto"/>
          </w:tcPr>
          <w:p w14:paraId="4D17AC8B" w14:textId="77777777" w:rsidR="00751A4A" w:rsidRPr="0045767D" w:rsidRDefault="00187494" w:rsidP="0010095E">
            <w:pPr>
              <w:pStyle w:val="EPLogo"/>
            </w:pPr>
            <w:r w:rsidRPr="0045767D">
              <w:rPr>
                <w:noProof/>
                <w:lang w:eastAsia="ja-JP"/>
              </w:rPr>
              <w:drawing>
                <wp:inline distT="0" distB="0" distL="0" distR="0" wp14:anchorId="4C903416" wp14:editId="532B12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82A503" w14:textId="77777777" w:rsidR="00D058B8" w:rsidRPr="0045767D" w:rsidRDefault="00D058B8" w:rsidP="004C5D52">
      <w:pPr>
        <w:pStyle w:val="LineTop"/>
      </w:pPr>
    </w:p>
    <w:p w14:paraId="11013251" w14:textId="77777777" w:rsidR="00680577" w:rsidRPr="0045767D" w:rsidRDefault="003F6872" w:rsidP="00680577">
      <w:pPr>
        <w:pStyle w:val="EPBodyTA1"/>
      </w:pPr>
      <w:r w:rsidRPr="0045767D">
        <w:t>ANTAGNA TEXTER</w:t>
      </w:r>
    </w:p>
    <w:p w14:paraId="75F4192D" w14:textId="77777777" w:rsidR="00D058B8" w:rsidRPr="0045767D" w:rsidRDefault="00D058B8" w:rsidP="00D058B8">
      <w:pPr>
        <w:pStyle w:val="LineBottom"/>
      </w:pPr>
    </w:p>
    <w:p w14:paraId="3076C5B1" w14:textId="009AB193" w:rsidR="003F6872" w:rsidRPr="0045767D" w:rsidRDefault="003F6872" w:rsidP="003F6872">
      <w:pPr>
        <w:pStyle w:val="ATHeading1"/>
      </w:pPr>
      <w:bookmarkStart w:id="0" w:name="TANumber"/>
      <w:r w:rsidRPr="0045767D">
        <w:t>P10_TA(2025)0</w:t>
      </w:r>
      <w:bookmarkEnd w:id="0"/>
      <w:r w:rsidR="00B851F6">
        <w:t>291</w:t>
      </w:r>
    </w:p>
    <w:p w14:paraId="578AD1F8" w14:textId="77777777" w:rsidR="003F6872" w:rsidRPr="0045767D" w:rsidRDefault="003F6872" w:rsidP="003F6872">
      <w:pPr>
        <w:pStyle w:val="ATHeading2"/>
      </w:pPr>
      <w:bookmarkStart w:id="1" w:name="title"/>
      <w:r w:rsidRPr="0045767D">
        <w:t>Genetiskt modifierad sojaböna MON 87708</w:t>
      </w:r>
      <w:bookmarkEnd w:id="1"/>
    </w:p>
    <w:p w14:paraId="03A5F98E" w14:textId="77777777" w:rsidR="003F6872" w:rsidRPr="0045767D" w:rsidRDefault="003F6872" w:rsidP="003F6872">
      <w:pPr>
        <w:rPr>
          <w:i/>
          <w:vanish/>
        </w:rPr>
      </w:pPr>
      <w:r w:rsidRPr="0045767D">
        <w:rPr>
          <w:i/>
        </w:rPr>
        <w:fldChar w:fldCharType="begin"/>
      </w:r>
      <w:r w:rsidRPr="0045767D">
        <w:rPr>
          <w:i/>
        </w:rPr>
        <w:instrText xml:space="preserve"> TC"(</w:instrText>
      </w:r>
      <w:bookmarkStart w:id="2" w:name="DocNumber"/>
      <w:r w:rsidRPr="0045767D">
        <w:rPr>
          <w:i/>
        </w:rPr>
        <w:instrText>B10-0493/2025</w:instrText>
      </w:r>
      <w:bookmarkEnd w:id="2"/>
      <w:r w:rsidRPr="0045767D">
        <w:rPr>
          <w:i/>
        </w:rPr>
        <w:instrText xml:space="preserve">)"\l3 \n&gt; \* MERGEFORMAT </w:instrText>
      </w:r>
      <w:r w:rsidRPr="0045767D">
        <w:rPr>
          <w:i/>
        </w:rPr>
        <w:fldChar w:fldCharType="end"/>
      </w:r>
    </w:p>
    <w:p w14:paraId="116363A0" w14:textId="77777777" w:rsidR="003F6872" w:rsidRPr="0045767D" w:rsidRDefault="003F6872" w:rsidP="003F6872">
      <w:pPr>
        <w:rPr>
          <w:vanish/>
        </w:rPr>
      </w:pPr>
      <w:bookmarkStart w:id="3" w:name="PE"/>
      <w:r w:rsidRPr="0045767D">
        <w:rPr>
          <w:vanish/>
        </w:rPr>
        <w:t>PE778.110</w:t>
      </w:r>
      <w:bookmarkEnd w:id="3"/>
    </w:p>
    <w:p w14:paraId="2CF1BCF4" w14:textId="26B3A13A" w:rsidR="003F6872" w:rsidRPr="0045767D" w:rsidRDefault="003F6872" w:rsidP="003F6872">
      <w:pPr>
        <w:pStyle w:val="ATHeading3"/>
      </w:pPr>
      <w:bookmarkStart w:id="4" w:name="Sujet"/>
      <w:r w:rsidRPr="0045767D">
        <w:t xml:space="preserve">Europaparlamentets resolution av den </w:t>
      </w:r>
      <w:r w:rsidR="00BA182D">
        <w:t>25</w:t>
      </w:r>
      <w:r w:rsidR="00BA182D" w:rsidRPr="0045767D">
        <w:t xml:space="preserve"> </w:t>
      </w:r>
      <w:r w:rsidR="00BA182D">
        <w:t>november</w:t>
      </w:r>
      <w:r w:rsidR="00BA182D" w:rsidRPr="0045767D">
        <w:t xml:space="preserve"> </w:t>
      </w:r>
      <w:r w:rsidRPr="0045767D">
        <w:t>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w:t>
      </w:r>
      <w:bookmarkEnd w:id="4"/>
      <w:r w:rsidRPr="0045767D">
        <w:t xml:space="preserve"> </w:t>
      </w:r>
      <w:bookmarkStart w:id="5" w:name="References"/>
      <w:r w:rsidRPr="0045767D">
        <w:t>(D109633/01 – 2025/2896(RSP))</w:t>
      </w:r>
      <w:bookmarkEnd w:id="5"/>
    </w:p>
    <w:p w14:paraId="50EAAF96" w14:textId="77777777" w:rsidR="003F6872" w:rsidRPr="0045767D" w:rsidRDefault="003F6872" w:rsidP="003F6872"/>
    <w:p w14:paraId="5714DFF5" w14:textId="77777777" w:rsidR="00873FEE" w:rsidRPr="0045767D" w:rsidRDefault="00873FEE" w:rsidP="00873FEE">
      <w:pPr>
        <w:pStyle w:val="NormalBold12a"/>
        <w:rPr>
          <w:b w:val="0"/>
          <w:bCs/>
        </w:rPr>
      </w:pPr>
      <w:bookmarkStart w:id="6" w:name="TextBodyBegin"/>
      <w:bookmarkEnd w:id="6"/>
      <w:r w:rsidRPr="0045767D">
        <w:rPr>
          <w:b w:val="0"/>
          <w:i/>
        </w:rPr>
        <w:t>Europaparlamentet utfärdar denna resolution</w:t>
      </w:r>
    </w:p>
    <w:p w14:paraId="56E0908C" w14:textId="77777777" w:rsidR="00873FEE" w:rsidRPr="0045767D" w:rsidRDefault="00873FEE" w:rsidP="00873FEE">
      <w:pPr>
        <w:pStyle w:val="NormalHanging12a"/>
      </w:pPr>
      <w:r w:rsidRPr="0045767D">
        <w:t>–</w:t>
      </w:r>
      <w:r w:rsidRPr="0045767D">
        <w:tab/>
        <w:t>med beaktande av utkastet till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(D 109633/01),</w:t>
      </w:r>
    </w:p>
    <w:p w14:paraId="00161CD6" w14:textId="77777777" w:rsidR="00873FEE" w:rsidRPr="0045767D" w:rsidRDefault="00873FEE" w:rsidP="00873FEE">
      <w:pPr>
        <w:pStyle w:val="NormalHanging12a"/>
      </w:pPr>
      <w:r w:rsidRPr="0045767D">
        <w:t>–</w:t>
      </w:r>
      <w:r w:rsidRPr="0045767D">
        <w:tab/>
        <w:t>med beaktande av Europaparlamentets och rådets förordning (EG) nr 1829/2003 av den 22 september 2003 om genetiskt modifierade livsmedel och foder</w:t>
      </w:r>
      <w:r w:rsidRPr="0045767D">
        <w:rPr>
          <w:vertAlign w:val="superscript"/>
        </w:rPr>
        <w:footnoteReference w:id="1"/>
      </w:r>
      <w:r w:rsidRPr="0045767D">
        <w:t>, särskilt artiklarna 11.3 och 23.3,</w:t>
      </w:r>
    </w:p>
    <w:p w14:paraId="6B5CE647" w14:textId="7F6AA21B" w:rsidR="00873FEE" w:rsidRPr="0045767D" w:rsidRDefault="00873FEE" w:rsidP="00873FEE">
      <w:pPr>
        <w:pStyle w:val="NormalHanging12a"/>
      </w:pPr>
      <w:r w:rsidRPr="0045767D">
        <w:t>–</w:t>
      </w:r>
      <w:r w:rsidRPr="0045767D">
        <w:tab/>
        <w:t>med beaktande av omröstningen den 15 september 2025 i den ständiga kommitté för växter, djur, livsmedel och foder som avses i artikel 35 i förordning (EG) nr 1829/2003,</w:t>
      </w:r>
      <w:r w:rsidR="00BA182D">
        <w:t xml:space="preserve"> </w:t>
      </w:r>
      <w:r w:rsidR="00BA182D" w:rsidRPr="00BA182D">
        <w:t>där inget yttrande avgavs, samt omröstningen i omprövningskommittén den 21 oktober 2025, där det inte heller avgavs något yttrande,</w:t>
      </w:r>
    </w:p>
    <w:p w14:paraId="65FB15E6" w14:textId="77777777" w:rsidR="00873FEE" w:rsidRPr="0045767D" w:rsidRDefault="00873FEE" w:rsidP="00873FEE">
      <w:pPr>
        <w:pStyle w:val="NormalHanging12a"/>
      </w:pPr>
      <w:r w:rsidRPr="0045767D">
        <w:t>–</w:t>
      </w:r>
      <w:r w:rsidRPr="0045767D">
        <w:tab/>
        <w:t>med beaktande av artikel 11 i Europaparlamentets och rådets förordning (EU) nr 182/2011 av den 16 februari 2011 om fastställande av allmänna regler och principer för medlemsstaternas kontroll av kommissionens utövande av sina genomförandebefogenheter</w:t>
      </w:r>
      <w:bookmarkStart w:id="7" w:name="_Hlk210662860"/>
      <w:r w:rsidRPr="0045767D">
        <w:rPr>
          <w:vertAlign w:val="superscript"/>
        </w:rPr>
        <w:footnoteReference w:id="2"/>
      </w:r>
      <w:bookmarkEnd w:id="7"/>
      <w:r w:rsidRPr="0045767D">
        <w:t>,</w:t>
      </w:r>
    </w:p>
    <w:p w14:paraId="6C83F397" w14:textId="77777777" w:rsidR="00873FEE" w:rsidRPr="0045767D" w:rsidRDefault="00873FEE" w:rsidP="00873FEE">
      <w:pPr>
        <w:pStyle w:val="NormalHanging12a"/>
      </w:pPr>
      <w:bookmarkStart w:id="9" w:name="_Hlk210663128"/>
      <w:r w:rsidRPr="0045767D">
        <w:t>–</w:t>
      </w:r>
      <w:r w:rsidRPr="0045767D">
        <w:tab/>
        <w:t xml:space="preserve">med beaktande av det yttrande som antogs av Europeiska myndigheten för livsmedelssäkerhet (Efsa) den 26 mars 2025, och som offentliggjordes den 13 maj </w:t>
      </w:r>
      <w:r w:rsidRPr="0045767D">
        <w:lastRenderedPageBreak/>
        <w:t>2025</w:t>
      </w:r>
      <w:r w:rsidRPr="0045767D">
        <w:rPr>
          <w:vertAlign w:val="superscript"/>
        </w:rPr>
        <w:footnoteReference w:id="3"/>
      </w:r>
      <w:r w:rsidRPr="0045767D">
        <w:t>,</w:t>
      </w:r>
      <w:bookmarkEnd w:id="9"/>
    </w:p>
    <w:p w14:paraId="1D24DC4C" w14:textId="77777777" w:rsidR="00873FEE" w:rsidRPr="0045767D" w:rsidRDefault="00873FEE" w:rsidP="00873FEE">
      <w:pPr>
        <w:pStyle w:val="NormalHanging12a"/>
      </w:pPr>
      <w:r w:rsidRPr="0045767D">
        <w:t>–</w:t>
      </w:r>
      <w:r w:rsidRPr="0045767D">
        <w:tab/>
        <w:t>med beaktande av sina tidigare resolutioner där parlamentet har invänt mot godkännandet av genetiskt modifierade organismer</w:t>
      </w:r>
      <w:r w:rsidRPr="0045767D">
        <w:rPr>
          <w:vertAlign w:val="superscript"/>
        </w:rPr>
        <w:footnoteReference w:id="4"/>
      </w:r>
      <w:r w:rsidRPr="0045767D">
        <w:t>,</w:t>
      </w:r>
    </w:p>
    <w:p w14:paraId="2A240D94" w14:textId="77777777" w:rsidR="00873FEE" w:rsidRPr="0045767D" w:rsidRDefault="00873FEE" w:rsidP="00873FEE">
      <w:pPr>
        <w:pStyle w:val="NormalHanging12a"/>
      </w:pPr>
      <w:r w:rsidRPr="0045767D">
        <w:lastRenderedPageBreak/>
        <w:t>–</w:t>
      </w:r>
      <w:r w:rsidRPr="0045767D">
        <w:tab/>
        <w:t>med beaktande av artikel 115.2 och 115.3 i arbetsordningen,</w:t>
      </w:r>
    </w:p>
    <w:p w14:paraId="4429A28F" w14:textId="77777777" w:rsidR="00873FEE" w:rsidRPr="0045767D" w:rsidRDefault="00873FEE" w:rsidP="00873FEE">
      <w:pPr>
        <w:pStyle w:val="NormalHanging12a"/>
      </w:pPr>
      <w:r w:rsidRPr="0045767D">
        <w:t>–</w:t>
      </w:r>
      <w:r w:rsidRPr="0045767D">
        <w:tab/>
        <w:t>med beaktande av förslaget till resolution från utskottet för miljö, klimat och livsmedelssäkerhet, och av följande skäl:</w:t>
      </w:r>
    </w:p>
    <w:p w14:paraId="0C4E1FD8" w14:textId="77777777" w:rsidR="00873FEE" w:rsidRPr="0045767D" w:rsidRDefault="00873FEE" w:rsidP="00873FEE">
      <w:pPr>
        <w:pStyle w:val="NormalHanging12a"/>
      </w:pPr>
      <w:r w:rsidRPr="0045767D">
        <w:t>A.</w:t>
      </w:r>
      <w:r w:rsidRPr="0045767D">
        <w:tab/>
        <w:t>Genom kommissionens genomförandebeslut (EU) 2015/700 av den 24 april 2015</w:t>
      </w:r>
      <w:r w:rsidRPr="0045767D">
        <w:rPr>
          <w:vertAlign w:val="superscript"/>
        </w:rPr>
        <w:footnoteReference w:id="5"/>
      </w:r>
      <w:r w:rsidRPr="0045767D">
        <w:t xml:space="preserve"> godkändes utsläppande på marknaden av produkter som innehåller, består av eller har framställts av den genetiskt modifierade sojabönan MON 87708 (</w:t>
      </w:r>
      <w:r w:rsidRPr="0045767D">
        <w:rPr>
          <w:i/>
          <w:iCs/>
        </w:rPr>
        <w:t>den genetiskt modifierade sojabönan</w:t>
      </w:r>
      <w:r w:rsidRPr="0045767D">
        <w:t>).</w:t>
      </w:r>
    </w:p>
    <w:p w14:paraId="2C28576B" w14:textId="77777777" w:rsidR="00873FEE" w:rsidRPr="0045767D" w:rsidRDefault="00873FEE" w:rsidP="00873FEE">
      <w:pPr>
        <w:pStyle w:val="NormalHanging12a"/>
      </w:pPr>
      <w:r w:rsidRPr="0045767D">
        <w:t>B.</w:t>
      </w:r>
      <w:r w:rsidRPr="0045767D">
        <w:tab/>
        <w:t xml:space="preserve">Den 8 mars 2024 lämnade Bayer </w:t>
      </w:r>
      <w:proofErr w:type="spellStart"/>
      <w:r w:rsidRPr="0045767D">
        <w:t>Agriculture</w:t>
      </w:r>
      <w:proofErr w:type="spellEnd"/>
      <w:r w:rsidRPr="0045767D">
        <w:t xml:space="preserve"> BV, baserat i Belgien, på uppdrag av Bayer </w:t>
      </w:r>
      <w:proofErr w:type="spellStart"/>
      <w:r w:rsidRPr="0045767D">
        <w:t>CropScience</w:t>
      </w:r>
      <w:proofErr w:type="spellEnd"/>
      <w:r w:rsidRPr="0045767D">
        <w:t xml:space="preserve"> LP, baserat i Förenta staterna, in en ansökan om förlängning av detta godkännande till kommissionen. Godkännandet gällde också utsläppande på marknaden av andra produkter (än livsmedel och foder) som innehåller eller består av den genetiskt modifierade sojabönan, för samma användningsområden som all annan slags sojaböna, med undantag av odling.</w:t>
      </w:r>
    </w:p>
    <w:p w14:paraId="22AE7552" w14:textId="77777777" w:rsidR="00873FEE" w:rsidRPr="0045767D" w:rsidRDefault="00873FEE" w:rsidP="00873FEE">
      <w:pPr>
        <w:pStyle w:val="NormalHanging12a"/>
      </w:pPr>
      <w:r w:rsidRPr="0045767D">
        <w:t>C.</w:t>
      </w:r>
      <w:r w:rsidRPr="0045767D">
        <w:tab/>
        <w:t xml:space="preserve">Efsa avgav ett positivt yttrande den 26 mars 2025 och drog slutsatsen att det i ansökan </w:t>
      </w:r>
      <w:r w:rsidRPr="0045767D">
        <w:lastRenderedPageBreak/>
        <w:t>om förlängning inte fanns några belägg för några nya faror eller någon modifierad exponering och inte heller för några vetenskapliga osäkerheter som ändrar de slutsatser som antogs vid den ursprungliga riskbedömningen 2013.</w:t>
      </w:r>
    </w:p>
    <w:p w14:paraId="19D78F47" w14:textId="77777777" w:rsidR="00873FEE" w:rsidRPr="0045767D" w:rsidRDefault="00873FEE" w:rsidP="00873FEE">
      <w:pPr>
        <w:pStyle w:val="NormalHanging12a"/>
      </w:pPr>
      <w:r w:rsidRPr="0045767D">
        <w:t>D.</w:t>
      </w:r>
      <w:r w:rsidRPr="0045767D">
        <w:tab/>
        <w:t xml:space="preserve">Efsas yttrande tog inte tillräcklig hänsyn till kumulativa och kombinerade effekter, indirekta hälsorisker eller långsiktiga ekologiska konsekvenser av storskalig användning av </w:t>
      </w:r>
      <w:proofErr w:type="spellStart"/>
      <w:r w:rsidRPr="0045767D">
        <w:t>dikamba</w:t>
      </w:r>
      <w:proofErr w:type="spellEnd"/>
      <w:r w:rsidRPr="0045767D">
        <w:t>.</w:t>
      </w:r>
    </w:p>
    <w:p w14:paraId="7DA04B04" w14:textId="77777777" w:rsidR="00873FEE" w:rsidRPr="0045767D" w:rsidRDefault="00873FEE" w:rsidP="00873FEE">
      <w:pPr>
        <w:pStyle w:val="NormalHanging12a"/>
      </w:pPr>
      <w:r w:rsidRPr="0045767D">
        <w:t>E.</w:t>
      </w:r>
      <w:r w:rsidRPr="0045767D">
        <w:tab/>
        <w:t xml:space="preserve">Den genetiskt modifierade sojabönan är tolerant mot </w:t>
      </w:r>
      <w:proofErr w:type="spellStart"/>
      <w:r w:rsidRPr="0045767D">
        <w:t>dikamba</w:t>
      </w:r>
      <w:proofErr w:type="spellEnd"/>
      <w:r w:rsidRPr="0045767D">
        <w:t>, en herbicid som har förknippats med betydande risker för den biologiska mångfalden, mark- och vattenhälsan samt oönskad spridning som orsakar skador på angränsande grödor och ekosystem.</w:t>
      </w:r>
    </w:p>
    <w:p w14:paraId="096AC973" w14:textId="77777777" w:rsidR="00873FEE" w:rsidRPr="0045767D" w:rsidRDefault="00873FEE" w:rsidP="00873FEE">
      <w:pPr>
        <w:pStyle w:val="NormalHanging12a"/>
      </w:pPr>
      <w:r w:rsidRPr="0045767D">
        <w:t>F.</w:t>
      </w:r>
      <w:r w:rsidRPr="0045767D">
        <w:tab/>
        <w:t xml:space="preserve">Utbredningen av </w:t>
      </w:r>
      <w:proofErr w:type="spellStart"/>
      <w:r w:rsidRPr="0045767D">
        <w:t>dikambaresistenta</w:t>
      </w:r>
      <w:proofErr w:type="spellEnd"/>
      <w:r w:rsidRPr="0045767D">
        <w:t xml:space="preserve"> genetiskt modifierade sojabönor i exportländer har kopplats till utbredd oönskad spridning av herbicider, tvister mellan jordbrukare och effekter på ekosystemen, vilket framhäver de socioekonomiska och miljömässiga problemen.</w:t>
      </w:r>
    </w:p>
    <w:p w14:paraId="60BEF0F4" w14:textId="77777777" w:rsidR="00873FEE" w:rsidRPr="0045767D" w:rsidRDefault="00873FEE" w:rsidP="00873FEE">
      <w:pPr>
        <w:pStyle w:val="NormalHanging12a"/>
      </w:pPr>
      <w:r w:rsidRPr="0045767D">
        <w:t>G.</w:t>
      </w:r>
      <w:r w:rsidRPr="0045767D">
        <w:tab/>
        <w:t>Den övervakning av miljöpåverkan som föreskrivs i utkastet till kommissionens genomförandebeslut bygger på allmän övervakning och omfattar inte riktade studier av pollinerare, markorganismer eller vattenlevande arter.</w:t>
      </w:r>
    </w:p>
    <w:p w14:paraId="182EB8FA" w14:textId="77777777" w:rsidR="00873FEE" w:rsidRPr="0045767D" w:rsidRDefault="00873FEE" w:rsidP="00873FEE">
      <w:pPr>
        <w:pStyle w:val="NormalHanging12a"/>
      </w:pPr>
      <w:r w:rsidRPr="0045767D">
        <w:t>H.</w:t>
      </w:r>
      <w:r w:rsidRPr="0045767D">
        <w:tab/>
        <w:t>Försiktighetsprincipen, som stadfästs i artikel 191 i fördraget om Europeiska unionens funktionssätt, bör tillämpas när det råder vetenskaplig osäkerhet och det finns dokumenterade risker med kompletterande användning av herbicider.</w:t>
      </w:r>
    </w:p>
    <w:p w14:paraId="537B1DB8" w14:textId="77777777" w:rsidR="00873FEE" w:rsidRPr="0045767D" w:rsidRDefault="00873FEE" w:rsidP="00873FEE">
      <w:pPr>
        <w:pStyle w:val="NormalHanging12a"/>
      </w:pPr>
      <w:r w:rsidRPr="0045767D">
        <w:t>I.</w:t>
      </w:r>
      <w:r w:rsidRPr="0045767D">
        <w:tab/>
        <w:t>Enligt förordning (EG) nr 1829/2003 får genetiskt modifierade livsmedel och foder inte ha negativa effekter på människors eller djurs hälsa eller för miljön.</w:t>
      </w:r>
    </w:p>
    <w:p w14:paraId="352FFFF3" w14:textId="77777777" w:rsidR="00873FEE" w:rsidRPr="0045767D" w:rsidRDefault="00873FEE" w:rsidP="00873FEE">
      <w:pPr>
        <w:pStyle w:val="NormalHanging12a"/>
      </w:pPr>
      <w:r w:rsidRPr="0045767D">
        <w:t>J.</w:t>
      </w:r>
      <w:r w:rsidRPr="0045767D">
        <w:tab/>
        <w:t>One Health-modellen förutsätter beaktande av de sammanlänkade konsekvenserna för människors, djurs, växters och miljöns hälsa, vilket inte återspeglas i tillräcklig utsträckning i den nuvarande bedömningen.</w:t>
      </w:r>
    </w:p>
    <w:p w14:paraId="0D7ADA88" w14:textId="77777777" w:rsidR="00873FEE" w:rsidRPr="0045767D" w:rsidRDefault="00873FEE" w:rsidP="00873FEE">
      <w:pPr>
        <w:pStyle w:val="NormalHanging12a"/>
      </w:pPr>
      <w:r w:rsidRPr="0045767D">
        <w:t>K.</w:t>
      </w:r>
      <w:r w:rsidRPr="0045767D">
        <w:tab/>
        <w:t xml:space="preserve">Parlamentet har upprepade gånger motsatt sig godkännande av eller förlängning av godkännandet av genetiskt modifierade organismer i fall där kvalificerad majoritet inte uppnåtts bland medlemsstaterna </w:t>
      </w:r>
      <w:bookmarkStart w:id="10" w:name="_Hlk210672442"/>
      <w:r w:rsidRPr="0045767D">
        <w:t>i ständiga kommittén för växter, djur, livsmedel och foder eller omprövningskommittén</w:t>
      </w:r>
      <w:bookmarkEnd w:id="10"/>
      <w:r w:rsidRPr="0045767D">
        <w:t>, och framhävt det ihållande demokratiska underskottet i processen för godkännande av genetiskt modifierade organismer.</w:t>
      </w:r>
    </w:p>
    <w:p w14:paraId="3D1E514C" w14:textId="28000F3E" w:rsidR="00873FEE" w:rsidRPr="0045767D" w:rsidRDefault="00873FEE" w:rsidP="00873FEE">
      <w:pPr>
        <w:pStyle w:val="NormalHanging12a"/>
      </w:pPr>
      <w:r w:rsidRPr="0045767D">
        <w:t>1.</w:t>
      </w:r>
      <w:r w:rsidRPr="0045767D">
        <w:tab/>
        <w:t>Europaparlamentet anser att utkastet till kommissionens genomförandebeslut överskrider de genomförandebefogenheter som fastställs i förordning (EG) nr 1829/2003.</w:t>
      </w:r>
    </w:p>
    <w:p w14:paraId="4F21ABCC" w14:textId="25558DEC" w:rsidR="00873FEE" w:rsidRPr="0045767D" w:rsidRDefault="00873FEE" w:rsidP="00873FEE">
      <w:pPr>
        <w:pStyle w:val="NormalHanging12a"/>
      </w:pPr>
      <w:r w:rsidRPr="0045767D">
        <w:t>2.</w:t>
      </w:r>
      <w:r w:rsidRPr="0045767D">
        <w:tab/>
        <w:t xml:space="preserve">Europaparlamentet anser att utkastet till kommissionens genomförandebeslut inte överensstämmer med unionsrätten, eftersom det är oförenligt med syftet med förordning (EG) nr 1829/2003, nämligen att, i enlighet med de allmänna principerna </w:t>
      </w:r>
      <w:r w:rsidRPr="0045767D">
        <w:lastRenderedPageBreak/>
        <w:t>i Europaparlamentets och rådets förordning (EG) nr 178/2002</w:t>
      </w:r>
      <w:r w:rsidRPr="0045767D">
        <w:footnoteReference w:id="6"/>
      </w:r>
      <w:r w:rsidRPr="0045767D">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och i enlighet med försiktighetsprincipen.</w:t>
      </w:r>
    </w:p>
    <w:p w14:paraId="59C88D1F" w14:textId="77777777" w:rsidR="00873FEE" w:rsidRPr="0045767D" w:rsidRDefault="00873FEE" w:rsidP="00873FEE">
      <w:pPr>
        <w:pStyle w:val="NormalHanging12a"/>
      </w:pPr>
      <w:r w:rsidRPr="0045767D">
        <w:t>3.</w:t>
      </w:r>
      <w:r w:rsidRPr="0045767D">
        <w:tab/>
        <w:t>Europaparlamentet uppmanar kommissionen att dra tillbaka sitt utkast till genomförandebeslut.</w:t>
      </w:r>
    </w:p>
    <w:p w14:paraId="7DDABA32" w14:textId="77777777" w:rsidR="00873FEE" w:rsidRPr="0045767D" w:rsidRDefault="00873FEE" w:rsidP="00873FEE">
      <w:pPr>
        <w:pStyle w:val="NormalHanging12a"/>
      </w:pPr>
      <w:r w:rsidRPr="0045767D">
        <w:t>4.</w:t>
      </w:r>
      <w:r w:rsidRPr="0045767D">
        <w:tab/>
        <w:t xml:space="preserve">Europaparlamentet uppmanar kommissionen att inte förnya godkännandet av den genetiskt modifierade sojabönan på grund av riskerna i samband med användning av </w:t>
      </w:r>
      <w:proofErr w:type="spellStart"/>
      <w:r w:rsidRPr="0045767D">
        <w:t>dikamba</w:t>
      </w:r>
      <w:proofErr w:type="spellEnd"/>
      <w:r w:rsidRPr="0045767D">
        <w:t>, miljöpåverkan och otillräckliga belägg från en längre tidsperiod, i linje med One Health-modellen.</w:t>
      </w:r>
      <w:bookmarkStart w:id="11" w:name="_Hlk210900300"/>
    </w:p>
    <w:p w14:paraId="4B260B7F" w14:textId="5E326CC0" w:rsidR="00873FEE" w:rsidRPr="0045767D" w:rsidRDefault="00873FEE" w:rsidP="00873FEE">
      <w:pPr>
        <w:pStyle w:val="NormalHanging12a"/>
      </w:pPr>
      <w:r w:rsidRPr="0045767D">
        <w:t>5.</w:t>
      </w:r>
      <w:r w:rsidRPr="0045767D">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11"/>
      <w:r w:rsidRPr="0045767D">
        <w:t>.</w:t>
      </w:r>
      <w:bookmarkStart w:id="12" w:name="_Hlk210900241"/>
    </w:p>
    <w:p w14:paraId="0D93E061" w14:textId="77777777" w:rsidR="00873FEE" w:rsidRPr="0045767D" w:rsidRDefault="00873FEE" w:rsidP="00873FEE">
      <w:pPr>
        <w:pStyle w:val="NormalHanging12a"/>
      </w:pPr>
      <w:r w:rsidRPr="0045767D">
        <w:t>6.</w:t>
      </w:r>
      <w:r w:rsidRPr="0045767D">
        <w:tab/>
        <w:t>Europaparlamentet uppmanar med eftertryck kommissionen att beakta unionens skyldigheter enligt internationella avtal, såsom Parisavtalet om klimatförändringar, FN:s konvention om biologisk mångfald och FN:s mål för hållbar utveckling.</w:t>
      </w:r>
    </w:p>
    <w:bookmarkEnd w:id="12"/>
    <w:p w14:paraId="7D13A986" w14:textId="6A8F67F7" w:rsidR="0045767D" w:rsidRPr="0045767D" w:rsidRDefault="00873FEE" w:rsidP="0045767D">
      <w:pPr>
        <w:pStyle w:val="NormalHanging12a"/>
      </w:pPr>
      <w:r w:rsidRPr="0045767D">
        <w:t>7.</w:t>
      </w:r>
      <w:r w:rsidRPr="0045767D">
        <w:tab/>
        <w:t>Europaparlamentet uppdrar åt talmannen att översända denna resolution till rådet och kommissionen samt till medlemsstaternas regeringar och parlament.</w:t>
      </w:r>
    </w:p>
    <w:p w14:paraId="124D9483" w14:textId="3A2D4F70" w:rsidR="00E365E1" w:rsidRPr="0045767D" w:rsidRDefault="00E365E1" w:rsidP="003F6872"/>
    <w:sectPr w:rsidR="00E365E1" w:rsidRPr="0045767D" w:rsidSect="004576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BE0BC" w14:textId="77777777" w:rsidR="003F6872" w:rsidRPr="0045767D" w:rsidRDefault="003F6872">
      <w:r w:rsidRPr="0045767D">
        <w:separator/>
      </w:r>
    </w:p>
  </w:endnote>
  <w:endnote w:type="continuationSeparator" w:id="0">
    <w:p w14:paraId="466308A9" w14:textId="77777777" w:rsidR="003F6872" w:rsidRPr="0045767D" w:rsidRDefault="003F6872">
      <w:r w:rsidRPr="00457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C611" w14:textId="77777777" w:rsidR="00064002" w:rsidRPr="004576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5CDB" w14:textId="77777777" w:rsidR="00064002" w:rsidRPr="004576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123B" w14:textId="77777777" w:rsidR="00064002" w:rsidRPr="004576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492E3" w14:textId="77777777" w:rsidR="003F6872" w:rsidRPr="0045767D" w:rsidRDefault="003F6872">
      <w:r w:rsidRPr="0045767D">
        <w:separator/>
      </w:r>
    </w:p>
  </w:footnote>
  <w:footnote w:type="continuationSeparator" w:id="0">
    <w:p w14:paraId="1691D43E" w14:textId="77777777" w:rsidR="003F6872" w:rsidRPr="0045767D" w:rsidRDefault="003F6872">
      <w:r w:rsidRPr="0045767D">
        <w:continuationSeparator/>
      </w:r>
    </w:p>
  </w:footnote>
  <w:footnote w:id="1">
    <w:p w14:paraId="2D7F6EF0" w14:textId="4F82EFAB" w:rsidR="00873FEE" w:rsidRPr="002E4990" w:rsidRDefault="00873FEE" w:rsidP="0045767D">
      <w:pPr>
        <w:pStyle w:val="FootnoteText"/>
        <w:ind w:left="567" w:hanging="567"/>
        <w:rPr>
          <w:sz w:val="24"/>
          <w:szCs w:val="22"/>
          <w:lang w:val="fr-BE"/>
        </w:rPr>
      </w:pPr>
      <w:r w:rsidRPr="0045767D">
        <w:rPr>
          <w:sz w:val="24"/>
          <w:szCs w:val="22"/>
          <w:vertAlign w:val="superscript"/>
          <w:lang w:val="sv-SE"/>
        </w:rPr>
        <w:footnoteRef/>
      </w:r>
      <w:r w:rsidR="0045767D" w:rsidRPr="002E4990">
        <w:rPr>
          <w:sz w:val="24"/>
          <w:lang w:val="fr-BE"/>
        </w:rPr>
        <w:t xml:space="preserve"> </w:t>
      </w:r>
      <w:r w:rsidR="0045767D" w:rsidRPr="002E4990">
        <w:rPr>
          <w:sz w:val="24"/>
          <w:lang w:val="fr-BE"/>
        </w:rPr>
        <w:tab/>
      </w:r>
      <w:r w:rsidRPr="002E4990">
        <w:rPr>
          <w:sz w:val="24"/>
          <w:lang w:val="fr-BE"/>
        </w:rPr>
        <w:t xml:space="preserve">EUT L 268, 18.10.2003, s. 1, </w:t>
      </w:r>
      <w:proofErr w:type="gramStart"/>
      <w:r w:rsidRPr="002E4990">
        <w:rPr>
          <w:sz w:val="24"/>
          <w:lang w:val="fr-BE"/>
        </w:rPr>
        <w:t>ELI:</w:t>
      </w:r>
      <w:proofErr w:type="gramEnd"/>
      <w:r w:rsidRPr="002E4990">
        <w:rPr>
          <w:sz w:val="24"/>
          <w:lang w:val="fr-BE"/>
        </w:rPr>
        <w:t> </w:t>
      </w:r>
      <w:hyperlink r:id="rId1" w:tgtFrame="Gives access to this document through its ELI URI." w:history="1">
        <w:r w:rsidRPr="002E4990">
          <w:rPr>
            <w:rStyle w:val="Hyperlink"/>
            <w:sz w:val="24"/>
            <w:lang w:val="fr-BE"/>
          </w:rPr>
          <w:t>http://data.europa.eu/eli/reg/2003/18/oj</w:t>
        </w:r>
      </w:hyperlink>
    </w:p>
  </w:footnote>
  <w:footnote w:id="2">
    <w:p w14:paraId="0CCFB5CC" w14:textId="2FD3D4AE" w:rsidR="00873FEE" w:rsidRPr="002E4990" w:rsidRDefault="00873FEE" w:rsidP="0045767D">
      <w:pPr>
        <w:pStyle w:val="FootnoteText"/>
        <w:ind w:left="567" w:hanging="567"/>
        <w:rPr>
          <w:sz w:val="24"/>
          <w:szCs w:val="22"/>
          <w:lang w:val="fi-FI"/>
        </w:rPr>
      </w:pPr>
      <w:r w:rsidRPr="0045767D">
        <w:rPr>
          <w:rStyle w:val="FootnoteReference"/>
          <w:sz w:val="24"/>
          <w:szCs w:val="22"/>
          <w:lang w:val="sv-SE"/>
        </w:rPr>
        <w:footnoteRef/>
      </w:r>
      <w:bookmarkStart w:id="8" w:name="_Hlk210663104"/>
      <w:r w:rsidR="0045767D" w:rsidRPr="002E4990">
        <w:rPr>
          <w:sz w:val="24"/>
          <w:lang w:val="fi-FI"/>
        </w:rPr>
        <w:t xml:space="preserve"> </w:t>
      </w:r>
      <w:r w:rsidR="0045767D" w:rsidRPr="002E4990">
        <w:rPr>
          <w:sz w:val="24"/>
          <w:lang w:val="fi-FI"/>
        </w:rPr>
        <w:tab/>
      </w:r>
      <w:r w:rsidRPr="002E4990">
        <w:rPr>
          <w:sz w:val="24"/>
          <w:lang w:val="fi-FI"/>
        </w:rPr>
        <w:t xml:space="preserve">EUT L 55, 28.2.2011, s. 13, ELI: </w:t>
      </w:r>
      <w:hyperlink r:id="rId2" w:history="1">
        <w:r w:rsidRPr="002E4990">
          <w:rPr>
            <w:rStyle w:val="Hyperlink"/>
            <w:sz w:val="24"/>
            <w:lang w:val="fi-FI"/>
          </w:rPr>
          <w:t>http://data.europa.eu/eli/reg/2011/182/oj</w:t>
        </w:r>
      </w:hyperlink>
      <w:r w:rsidRPr="002E4990">
        <w:rPr>
          <w:sz w:val="24"/>
          <w:lang w:val="fi-FI"/>
        </w:rPr>
        <w:t>.</w:t>
      </w:r>
      <w:bookmarkEnd w:id="8"/>
    </w:p>
  </w:footnote>
  <w:footnote w:id="3">
    <w:p w14:paraId="177E06F6" w14:textId="66200CBA" w:rsidR="00873FEE" w:rsidRPr="0045767D" w:rsidRDefault="00873FEE" w:rsidP="0045767D">
      <w:pPr>
        <w:pStyle w:val="FootnoteText"/>
        <w:ind w:left="567" w:hanging="567"/>
        <w:rPr>
          <w:sz w:val="24"/>
          <w:szCs w:val="22"/>
          <w:lang w:val="sv-SE"/>
        </w:rPr>
      </w:pPr>
      <w:r w:rsidRPr="0045767D">
        <w:rPr>
          <w:sz w:val="24"/>
          <w:szCs w:val="22"/>
          <w:vertAlign w:val="superscript"/>
          <w:lang w:val="sv-SE"/>
        </w:rPr>
        <w:footnoteRef/>
      </w:r>
      <w:r w:rsidR="0045767D" w:rsidRPr="0045767D">
        <w:rPr>
          <w:sz w:val="24"/>
          <w:lang w:val="sv-SE"/>
        </w:rPr>
        <w:t xml:space="preserve"> </w:t>
      </w:r>
      <w:r w:rsidR="0045767D" w:rsidRPr="0045767D">
        <w:rPr>
          <w:sz w:val="24"/>
          <w:lang w:val="sv-SE"/>
        </w:rPr>
        <w:tab/>
      </w:r>
      <w:r w:rsidRPr="0045767D">
        <w:rPr>
          <w:sz w:val="24"/>
          <w:lang w:val="sv-SE"/>
        </w:rPr>
        <w:t xml:space="preserve">Vetenskapligt yttrande från Efsas panel för genetiskt modifierade organismer över bedömningen av den genetiskt modifierade sojabönan MON 87708 (ansökan GMFF-2023-21237), EFSA Journal 2025; 23(5):9379. </w:t>
      </w:r>
      <w:hyperlink r:id="rId3" w:history="1">
        <w:r w:rsidRPr="002E50F8">
          <w:rPr>
            <w:rStyle w:val="Hyperlink"/>
            <w:sz w:val="24"/>
            <w:lang w:val="sv-SE"/>
          </w:rPr>
          <w:t>https://doi.org/10.2903/j.efsa.2025.9379</w:t>
        </w:r>
      </w:hyperlink>
      <w:r w:rsidRPr="0045767D">
        <w:rPr>
          <w:sz w:val="24"/>
          <w:lang w:val="sv-SE"/>
        </w:rPr>
        <w:t xml:space="preserve">. </w:t>
      </w:r>
    </w:p>
  </w:footnote>
  <w:footnote w:id="4">
    <w:p w14:paraId="58DDD984" w14:textId="77A9666B" w:rsidR="00873FEE" w:rsidRPr="0045767D" w:rsidRDefault="00873FEE" w:rsidP="0045767D">
      <w:pPr>
        <w:pStyle w:val="FootnoteText"/>
        <w:ind w:left="567" w:hanging="567"/>
        <w:rPr>
          <w:color w:val="000000" w:themeColor="text1"/>
          <w:sz w:val="24"/>
          <w:szCs w:val="22"/>
          <w:vertAlign w:val="superscript"/>
          <w:lang w:val="sv-SE"/>
        </w:rPr>
      </w:pPr>
      <w:r w:rsidRPr="0045767D">
        <w:rPr>
          <w:rStyle w:val="FootnoteReference"/>
          <w:sz w:val="24"/>
          <w:szCs w:val="22"/>
          <w:lang w:val="sv-SE"/>
        </w:rPr>
        <w:footnoteRef/>
      </w:r>
      <w:r w:rsidR="0045767D" w:rsidRPr="0045767D">
        <w:rPr>
          <w:color w:val="000000" w:themeColor="text1"/>
          <w:sz w:val="24"/>
          <w:lang w:val="sv-SE"/>
        </w:rPr>
        <w:t xml:space="preserve"> </w:t>
      </w:r>
      <w:r w:rsidR="0045767D" w:rsidRPr="0045767D">
        <w:rPr>
          <w:color w:val="000000" w:themeColor="text1"/>
          <w:sz w:val="24"/>
          <w:lang w:val="sv-SE"/>
        </w:rPr>
        <w:tab/>
      </w:r>
      <w:r w:rsidRPr="0045767D">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51EE881A" w14:textId="38CB1A39"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873FEE" w:rsidRPr="0045767D">
          <w:rPr>
            <w:rStyle w:val="Hyperlink"/>
            <w:sz w:val="24"/>
            <w:lang w:val="sv-SE"/>
          </w:rPr>
          <w:t>http://data.europa.eu/eli/C/2025/1797/oj</w:t>
        </w:r>
      </w:hyperlink>
      <w:r w:rsidR="00873FEE" w:rsidRPr="0045767D">
        <w:rPr>
          <w:color w:val="000000" w:themeColor="text1"/>
          <w:sz w:val="24"/>
          <w:lang w:val="sv-SE"/>
        </w:rPr>
        <w:t>).</w:t>
      </w:r>
    </w:p>
    <w:p w14:paraId="46E81D8B" w14:textId="62B9C037"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873FEE" w:rsidRPr="0045767D">
          <w:rPr>
            <w:rStyle w:val="Hyperlink"/>
            <w:sz w:val="24"/>
            <w:lang w:val="sv-SE"/>
          </w:rPr>
          <w:t>http://data.europa.eu/eli/C/2025/1798/oj</w:t>
        </w:r>
      </w:hyperlink>
      <w:r w:rsidR="00873FEE" w:rsidRPr="0045767D">
        <w:rPr>
          <w:color w:val="000000" w:themeColor="text1"/>
          <w:sz w:val="24"/>
          <w:lang w:val="sv-SE"/>
        </w:rPr>
        <w:t>).</w:t>
      </w:r>
    </w:p>
    <w:p w14:paraId="51C23E01" w14:textId="0B0FF113"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873FEE" w:rsidRPr="0045767D">
          <w:rPr>
            <w:rStyle w:val="Hyperlink"/>
            <w:sz w:val="24"/>
            <w:lang w:val="sv-SE"/>
          </w:rPr>
          <w:t>http://data.europa.eu/eli/C/2025/1799/oj</w:t>
        </w:r>
      </w:hyperlink>
      <w:r w:rsidR="00873FEE" w:rsidRPr="0045767D">
        <w:rPr>
          <w:color w:val="000000" w:themeColor="text1"/>
          <w:sz w:val="24"/>
          <w:lang w:val="sv-SE"/>
        </w:rPr>
        <w:t>).</w:t>
      </w:r>
    </w:p>
    <w:p w14:paraId="23D18468" w14:textId="7DA01960"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873FEE" w:rsidRPr="0045767D">
          <w:rPr>
            <w:rStyle w:val="Hyperlink"/>
            <w:sz w:val="24"/>
            <w:lang w:val="sv-SE"/>
          </w:rPr>
          <w:t>http://data.europa.eu/eli/C/2025/1800/oj</w:t>
        </w:r>
      </w:hyperlink>
      <w:r w:rsidR="00873FEE" w:rsidRPr="0045767D">
        <w:rPr>
          <w:color w:val="000000" w:themeColor="text1"/>
          <w:sz w:val="24"/>
          <w:lang w:val="sv-SE"/>
        </w:rPr>
        <w:t>).</w:t>
      </w:r>
    </w:p>
    <w:p w14:paraId="37D14DAB" w14:textId="01FA6FEA"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873FEE" w:rsidRPr="0045767D">
          <w:rPr>
            <w:rStyle w:val="Hyperlink"/>
            <w:sz w:val="24"/>
            <w:lang w:val="sv-SE"/>
          </w:rPr>
          <w:t>http://data.europa.eu/eli/C/2025/1801/oj</w:t>
        </w:r>
      </w:hyperlink>
      <w:r w:rsidR="00873FEE" w:rsidRPr="0045767D">
        <w:rPr>
          <w:color w:val="000000" w:themeColor="text1"/>
          <w:sz w:val="24"/>
          <w:lang w:val="sv-SE"/>
        </w:rPr>
        <w:t>).</w:t>
      </w:r>
    </w:p>
    <w:p w14:paraId="739D6253" w14:textId="7FA4172E"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873FEE" w:rsidRPr="0045767D">
          <w:rPr>
            <w:rStyle w:val="Hyperlink"/>
            <w:sz w:val="24"/>
            <w:lang w:val="sv-SE"/>
          </w:rPr>
          <w:t>http://data.europa.eu/eli/C/2025/1802/oj</w:t>
        </w:r>
      </w:hyperlink>
      <w:r w:rsidR="00873FEE" w:rsidRPr="0045767D">
        <w:rPr>
          <w:color w:val="000000" w:themeColor="text1"/>
          <w:sz w:val="24"/>
          <w:lang w:val="sv-SE"/>
        </w:rPr>
        <w:t>).</w:t>
      </w:r>
    </w:p>
    <w:p w14:paraId="77D1F5BF" w14:textId="551A423D"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873FEE" w:rsidRPr="0045767D">
          <w:rPr>
            <w:rStyle w:val="Hyperlink"/>
            <w:sz w:val="24"/>
            <w:lang w:val="sv-SE"/>
          </w:rPr>
          <w:t>http://data.europa.eu/eli/C/2025/1803/oj</w:t>
        </w:r>
      </w:hyperlink>
      <w:r w:rsidR="00873FEE" w:rsidRPr="0045767D">
        <w:rPr>
          <w:color w:val="000000" w:themeColor="text1"/>
          <w:sz w:val="24"/>
          <w:lang w:val="sv-SE"/>
        </w:rPr>
        <w:t>).</w:t>
      </w:r>
    </w:p>
    <w:p w14:paraId="4CCD9A4B" w14:textId="6B6BF8BF" w:rsidR="00873FEE" w:rsidRPr="0045767D" w:rsidRDefault="0045767D" w:rsidP="0045767D">
      <w:pPr>
        <w:pStyle w:val="FootnoteText"/>
        <w:ind w:left="567" w:hanging="567"/>
        <w:rPr>
          <w:color w:val="000000" w:themeColor="text1"/>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873FEE" w:rsidRPr="0045767D">
          <w:rPr>
            <w:rStyle w:val="Hyperlink"/>
            <w:sz w:val="24"/>
            <w:lang w:val="sv-SE"/>
          </w:rPr>
          <w:t>http://data.europa.eu/eli/C/2025/1804/oj</w:t>
        </w:r>
      </w:hyperlink>
      <w:r w:rsidR="00873FEE" w:rsidRPr="0045767D">
        <w:rPr>
          <w:color w:val="000000" w:themeColor="text1"/>
          <w:sz w:val="24"/>
          <w:lang w:val="sv-SE"/>
        </w:rPr>
        <w:t>).</w:t>
      </w:r>
    </w:p>
    <w:p w14:paraId="06A51D78" w14:textId="2832A861" w:rsidR="00873FEE" w:rsidRPr="0045767D" w:rsidRDefault="0045767D" w:rsidP="0045767D">
      <w:pPr>
        <w:pStyle w:val="FootnoteText"/>
        <w:ind w:left="567" w:hanging="567"/>
        <w:rPr>
          <w:sz w:val="24"/>
          <w:szCs w:val="22"/>
          <w:vertAlign w:val="superscript"/>
          <w:lang w:val="sv-SE"/>
        </w:rPr>
      </w:pPr>
      <w:r w:rsidRPr="0045767D">
        <w:rPr>
          <w:color w:val="000000" w:themeColor="text1"/>
          <w:sz w:val="24"/>
          <w:lang w:val="sv-SE"/>
        </w:rPr>
        <w:t xml:space="preserve"> </w:t>
      </w:r>
      <w:r w:rsidRPr="0045767D">
        <w:rPr>
          <w:color w:val="000000" w:themeColor="text1"/>
          <w:sz w:val="24"/>
          <w:lang w:val="sv-SE"/>
        </w:rPr>
        <w:tab/>
      </w:r>
      <w:r w:rsidR="00873FEE" w:rsidRPr="0045767D">
        <w:rPr>
          <w:color w:val="000000" w:themeColor="text1"/>
          <w:sz w:val="24"/>
          <w:lang w:val="sv-SE"/>
        </w:rPr>
        <w:t>–</w:t>
      </w:r>
      <w:r w:rsidR="00873FEE" w:rsidRPr="0045767D">
        <w:rPr>
          <w:color w:val="000000" w:themeColor="text1"/>
          <w:sz w:val="24"/>
          <w:lang w:val="sv-SE"/>
        </w:rPr>
        <w:tab/>
      </w:r>
      <w:r w:rsidR="00873FEE" w:rsidRPr="0045767D">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URI." w:history="1">
        <w:r w:rsidR="00873FEE" w:rsidRPr="0045767D">
          <w:rPr>
            <w:rStyle w:val="Hyperlink"/>
            <w:sz w:val="24"/>
            <w:lang w:val="sv-SE"/>
          </w:rPr>
          <w:t>http://data.europa.eu/eli/C/2025/2246/oj</w:t>
        </w:r>
      </w:hyperlink>
      <w:r w:rsidR="00873FEE" w:rsidRPr="0045767D">
        <w:rPr>
          <w:sz w:val="24"/>
          <w:lang w:val="sv-SE"/>
        </w:rPr>
        <w:t>).</w:t>
      </w:r>
    </w:p>
    <w:p w14:paraId="07683F7E" w14:textId="3A7267C8" w:rsidR="00873FEE" w:rsidRPr="0045767D" w:rsidRDefault="0045767D" w:rsidP="0045767D">
      <w:pPr>
        <w:pStyle w:val="FootnoteText"/>
        <w:ind w:left="567" w:hanging="567"/>
        <w:rPr>
          <w:sz w:val="24"/>
          <w:szCs w:val="22"/>
          <w:vertAlign w:val="superscript"/>
          <w:lang w:val="sv-SE"/>
        </w:rPr>
      </w:pPr>
      <w:r w:rsidRPr="0045767D">
        <w:rPr>
          <w:sz w:val="24"/>
          <w:lang w:val="sv-SE"/>
        </w:rPr>
        <w:t xml:space="preserve"> </w:t>
      </w:r>
      <w:r w:rsidRPr="0045767D">
        <w:rPr>
          <w:sz w:val="24"/>
          <w:lang w:val="sv-SE"/>
        </w:rPr>
        <w:tab/>
      </w:r>
      <w:r w:rsidR="00873FEE" w:rsidRPr="0045767D">
        <w:rPr>
          <w:sz w:val="24"/>
          <w:lang w:val="sv-SE"/>
        </w:rPr>
        <w:t>–</w:t>
      </w:r>
      <w:r w:rsidR="00873FEE" w:rsidRPr="0045767D">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tillgång till detta dokument via dess ELI-URI." w:history="1">
        <w:r w:rsidR="00873FEE" w:rsidRPr="0045767D">
          <w:rPr>
            <w:rStyle w:val="Hyperlink"/>
            <w:sz w:val="24"/>
            <w:lang w:val="sv-SE"/>
          </w:rPr>
          <w:t>http://data.europa.eu/eli/C/2025/2247/oj</w:t>
        </w:r>
      </w:hyperlink>
      <w:r w:rsidR="00873FEE" w:rsidRPr="0045767D">
        <w:rPr>
          <w:sz w:val="24"/>
          <w:lang w:val="sv-SE"/>
        </w:rPr>
        <w:t>).</w:t>
      </w:r>
    </w:p>
    <w:p w14:paraId="45586F68" w14:textId="520435A1" w:rsidR="00873FEE" w:rsidRPr="0045767D" w:rsidRDefault="0045767D" w:rsidP="0045767D">
      <w:pPr>
        <w:pStyle w:val="FootnoteText"/>
        <w:ind w:left="567" w:hanging="567"/>
        <w:rPr>
          <w:sz w:val="24"/>
          <w:szCs w:val="22"/>
          <w:vertAlign w:val="superscript"/>
          <w:lang w:val="sv-SE"/>
        </w:rPr>
      </w:pPr>
      <w:r w:rsidRPr="0045767D">
        <w:rPr>
          <w:sz w:val="24"/>
          <w:lang w:val="sv-SE"/>
        </w:rPr>
        <w:t xml:space="preserve"> </w:t>
      </w:r>
      <w:r w:rsidRPr="0045767D">
        <w:rPr>
          <w:sz w:val="24"/>
          <w:lang w:val="sv-SE"/>
        </w:rPr>
        <w:tab/>
      </w:r>
      <w:r w:rsidR="00873FEE" w:rsidRPr="0045767D">
        <w:rPr>
          <w:sz w:val="24"/>
          <w:lang w:val="sv-SE"/>
        </w:rPr>
        <w:t>–</w:t>
      </w:r>
      <w:r w:rsidR="00873FEE" w:rsidRPr="0045767D">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6CB6D02E" w14:textId="068A3064" w:rsidR="00873FEE" w:rsidRPr="0045767D" w:rsidRDefault="0045767D" w:rsidP="0045767D">
      <w:pPr>
        <w:pStyle w:val="FootnoteText"/>
        <w:ind w:left="567" w:hanging="567"/>
        <w:rPr>
          <w:sz w:val="24"/>
          <w:szCs w:val="22"/>
          <w:lang w:val="sv-SE"/>
        </w:rPr>
      </w:pPr>
      <w:r w:rsidRPr="0045767D">
        <w:rPr>
          <w:sz w:val="24"/>
          <w:lang w:val="sv-SE"/>
        </w:rPr>
        <w:t xml:space="preserve"> </w:t>
      </w:r>
      <w:r w:rsidRPr="0045767D">
        <w:rPr>
          <w:sz w:val="24"/>
          <w:lang w:val="sv-SE"/>
        </w:rPr>
        <w:tab/>
      </w:r>
      <w:r w:rsidR="00873FEE" w:rsidRPr="0045767D">
        <w:rPr>
          <w:sz w:val="24"/>
          <w:lang w:val="sv-SE"/>
        </w:rPr>
        <w:t>–</w:t>
      </w:r>
      <w:r w:rsidR="00873FEE" w:rsidRPr="0045767D">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footnote>
  <w:footnote w:id="5">
    <w:p w14:paraId="3C5D6807" w14:textId="69F046B6" w:rsidR="00873FEE" w:rsidRPr="002E4990" w:rsidRDefault="00873FEE" w:rsidP="0045767D">
      <w:pPr>
        <w:pStyle w:val="FootnoteText"/>
        <w:ind w:left="567" w:hanging="567"/>
        <w:rPr>
          <w:sz w:val="24"/>
          <w:szCs w:val="22"/>
          <w:lang w:val="fi-FI"/>
        </w:rPr>
      </w:pPr>
      <w:r w:rsidRPr="0045767D">
        <w:rPr>
          <w:rStyle w:val="FootnoteReference"/>
          <w:sz w:val="24"/>
          <w:szCs w:val="22"/>
          <w:lang w:val="sv-SE"/>
        </w:rPr>
        <w:footnoteRef/>
      </w:r>
      <w:r w:rsidR="0045767D" w:rsidRPr="002E4990">
        <w:rPr>
          <w:sz w:val="24"/>
          <w:lang w:val="fi-FI"/>
        </w:rPr>
        <w:t xml:space="preserve"> </w:t>
      </w:r>
      <w:r w:rsidR="0045767D" w:rsidRPr="002E4990">
        <w:rPr>
          <w:sz w:val="24"/>
          <w:lang w:val="fi-FI"/>
        </w:rPr>
        <w:tab/>
      </w:r>
      <w:r w:rsidRPr="002E4990">
        <w:rPr>
          <w:sz w:val="24"/>
          <w:lang w:val="fi-FI"/>
        </w:rPr>
        <w:t xml:space="preserve">EUT L 112, 30.4.2015, s. 81, ELI: </w:t>
      </w:r>
      <w:hyperlink r:id="rId14" w:history="1">
        <w:r w:rsidRPr="002E4990">
          <w:rPr>
            <w:rStyle w:val="Hyperlink"/>
            <w:sz w:val="24"/>
            <w:lang w:val="fi-FI"/>
          </w:rPr>
          <w:t>http://data.europa.eu/eli/dec_impl/2015/700/oj</w:t>
        </w:r>
      </w:hyperlink>
      <w:r w:rsidRPr="002E4990">
        <w:rPr>
          <w:sz w:val="24"/>
          <w:lang w:val="fi-FI"/>
        </w:rPr>
        <w:t>.</w:t>
      </w:r>
    </w:p>
  </w:footnote>
  <w:footnote w:id="6">
    <w:p w14:paraId="666C9CFF" w14:textId="33A1CD1A" w:rsidR="00873FEE" w:rsidRPr="0045767D" w:rsidRDefault="00873FEE" w:rsidP="0045767D">
      <w:pPr>
        <w:pStyle w:val="FootnoteText"/>
        <w:ind w:left="567" w:hanging="567"/>
        <w:rPr>
          <w:sz w:val="24"/>
          <w:szCs w:val="22"/>
          <w:lang w:val="sv-SE"/>
        </w:rPr>
      </w:pPr>
      <w:r w:rsidRPr="0045767D">
        <w:rPr>
          <w:rStyle w:val="FootnoteReference"/>
          <w:sz w:val="24"/>
          <w:szCs w:val="22"/>
          <w:lang w:val="sv-SE"/>
        </w:rPr>
        <w:footnoteRef/>
      </w:r>
      <w:r w:rsidR="0045767D" w:rsidRPr="0045767D">
        <w:rPr>
          <w:sz w:val="24"/>
          <w:lang w:val="sv-SE"/>
        </w:rPr>
        <w:t xml:space="preserve"> </w:t>
      </w:r>
      <w:r w:rsidR="0045767D" w:rsidRPr="0045767D">
        <w:rPr>
          <w:sz w:val="24"/>
          <w:lang w:val="sv-SE"/>
        </w:rPr>
        <w:tab/>
      </w:r>
      <w:r w:rsidRPr="0045767D">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5" w:tgtFrame="Gives%20access%20to%20this%20document%20through%20its%20ELI%20URI." w:history="1">
        <w:r w:rsidRPr="0045767D">
          <w:rPr>
            <w:rStyle w:val="Hyperlink"/>
            <w:sz w:val="24"/>
            <w:lang w:val="sv-SE"/>
          </w:rPr>
          <w:t>http://data.europa.eu/</w:t>
        </w:r>
        <w:proofErr w:type="spellStart"/>
        <w:r w:rsidRPr="0045767D">
          <w:rPr>
            <w:rStyle w:val="Hyperlink"/>
            <w:sz w:val="24"/>
            <w:lang w:val="sv-SE"/>
          </w:rPr>
          <w:t>eli</w:t>
        </w:r>
        <w:proofErr w:type="spellEnd"/>
        <w:r w:rsidRPr="0045767D">
          <w:rPr>
            <w:rStyle w:val="Hyperlink"/>
            <w:sz w:val="24"/>
            <w:lang w:val="sv-SE"/>
          </w:rPr>
          <w:t>/</w:t>
        </w:r>
        <w:proofErr w:type="spellStart"/>
        <w:r w:rsidRPr="0045767D">
          <w:rPr>
            <w:rStyle w:val="Hyperlink"/>
            <w:sz w:val="24"/>
            <w:lang w:val="sv-SE"/>
          </w:rPr>
          <w:t>reg</w:t>
        </w:r>
        <w:proofErr w:type="spellEnd"/>
        <w:r w:rsidRPr="0045767D">
          <w:rPr>
            <w:rStyle w:val="Hyperlink"/>
            <w:sz w:val="24"/>
            <w:lang w:val="sv-SE"/>
          </w:rPr>
          <w:t>/2002/178/oj</w:t>
        </w:r>
      </w:hyperlink>
      <w:r w:rsidRPr="0045767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F416" w14:textId="77777777" w:rsidR="00064002" w:rsidRPr="004576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C02C" w14:textId="77777777" w:rsidR="00064002" w:rsidRPr="004576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B5D2" w14:textId="77777777" w:rsidR="00064002" w:rsidRPr="004576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3640317">
    <w:abstractNumId w:val="9"/>
  </w:num>
  <w:num w:numId="2" w16cid:durableId="978071695">
    <w:abstractNumId w:val="9"/>
  </w:num>
  <w:num w:numId="3" w16cid:durableId="1718818763">
    <w:abstractNumId w:val="7"/>
  </w:num>
  <w:num w:numId="4" w16cid:durableId="1350251895">
    <w:abstractNumId w:val="7"/>
  </w:num>
  <w:num w:numId="5" w16cid:durableId="1630357940">
    <w:abstractNumId w:val="6"/>
  </w:num>
  <w:num w:numId="6" w16cid:durableId="252445440">
    <w:abstractNumId w:val="6"/>
  </w:num>
  <w:num w:numId="7" w16cid:durableId="584069110">
    <w:abstractNumId w:val="5"/>
  </w:num>
  <w:num w:numId="8" w16cid:durableId="603802791">
    <w:abstractNumId w:val="5"/>
  </w:num>
  <w:num w:numId="9" w16cid:durableId="2089838179">
    <w:abstractNumId w:val="4"/>
  </w:num>
  <w:num w:numId="10" w16cid:durableId="2107069973">
    <w:abstractNumId w:val="4"/>
  </w:num>
  <w:num w:numId="11" w16cid:durableId="484854742">
    <w:abstractNumId w:val="8"/>
  </w:num>
  <w:num w:numId="12" w16cid:durableId="345059650">
    <w:abstractNumId w:val="8"/>
  </w:num>
  <w:num w:numId="13" w16cid:durableId="85155294">
    <w:abstractNumId w:val="3"/>
  </w:num>
  <w:num w:numId="14" w16cid:durableId="738140905">
    <w:abstractNumId w:val="3"/>
  </w:num>
  <w:num w:numId="15" w16cid:durableId="229507315">
    <w:abstractNumId w:val="2"/>
  </w:num>
  <w:num w:numId="16" w16cid:durableId="980572440">
    <w:abstractNumId w:val="2"/>
  </w:num>
  <w:num w:numId="17" w16cid:durableId="1442459194">
    <w:abstractNumId w:val="1"/>
  </w:num>
  <w:num w:numId="18" w16cid:durableId="1473405278">
    <w:abstractNumId w:val="1"/>
  </w:num>
  <w:num w:numId="19" w16cid:durableId="1661500544">
    <w:abstractNumId w:val="0"/>
  </w:num>
  <w:num w:numId="20" w16cid:durableId="1845440193">
    <w:abstractNumId w:val="0"/>
  </w:num>
  <w:num w:numId="21" w16cid:durableId="871769804">
    <w:abstractNumId w:val="9"/>
  </w:num>
  <w:num w:numId="22" w16cid:durableId="1941444862">
    <w:abstractNumId w:val="7"/>
  </w:num>
  <w:num w:numId="23" w16cid:durableId="1944997276">
    <w:abstractNumId w:val="6"/>
  </w:num>
  <w:num w:numId="24" w16cid:durableId="166411476">
    <w:abstractNumId w:val="5"/>
  </w:num>
  <w:num w:numId="25" w16cid:durableId="981933594">
    <w:abstractNumId w:val="4"/>
  </w:num>
  <w:num w:numId="26" w16cid:durableId="677655146">
    <w:abstractNumId w:val="8"/>
  </w:num>
  <w:num w:numId="27" w16cid:durableId="12418314">
    <w:abstractNumId w:val="3"/>
  </w:num>
  <w:num w:numId="28" w16cid:durableId="1947536481">
    <w:abstractNumId w:val="2"/>
  </w:num>
  <w:num w:numId="29" w16cid:durableId="1825392609">
    <w:abstractNumId w:val="1"/>
  </w:num>
  <w:num w:numId="30" w16cid:durableId="7104856">
    <w:abstractNumId w:val="0"/>
  </w:num>
  <w:num w:numId="31" w16cid:durableId="840311086">
    <w:abstractNumId w:val="9"/>
  </w:num>
  <w:num w:numId="32" w16cid:durableId="1110514086">
    <w:abstractNumId w:val="7"/>
  </w:num>
  <w:num w:numId="33" w16cid:durableId="2098167726">
    <w:abstractNumId w:val="6"/>
  </w:num>
  <w:num w:numId="34" w16cid:durableId="2905942">
    <w:abstractNumId w:val="5"/>
  </w:num>
  <w:num w:numId="35" w16cid:durableId="1958950836">
    <w:abstractNumId w:val="4"/>
  </w:num>
  <w:num w:numId="36" w16cid:durableId="518012965">
    <w:abstractNumId w:val="8"/>
  </w:num>
  <w:num w:numId="37" w16cid:durableId="1797525843">
    <w:abstractNumId w:val="3"/>
  </w:num>
  <w:num w:numId="38" w16cid:durableId="411397649">
    <w:abstractNumId w:val="2"/>
  </w:num>
  <w:num w:numId="39" w16cid:durableId="19741545">
    <w:abstractNumId w:val="1"/>
  </w:num>
  <w:num w:numId="40" w16cid:durableId="1791779865">
    <w:abstractNumId w:val="0"/>
  </w:num>
  <w:num w:numId="41" w16cid:durableId="903375084">
    <w:abstractNumId w:val="10"/>
  </w:num>
  <w:num w:numId="42" w16cid:durableId="834338956">
    <w:abstractNumId w:val="10"/>
  </w:num>
  <w:num w:numId="43" w16cid:durableId="798063090">
    <w:abstractNumId w:val="10"/>
  </w:num>
  <w:num w:numId="44" w16cid:durableId="495651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SV"/>
    <w:docVar w:name="dvnumam" w:val="0"/>
    <w:docVar w:name="dvpe" w:val="778.110"/>
    <w:docVar w:name="dvtitre" w:val="Europaparlamentets resolution av den xx xx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D109633/01 – 2025/2896(RSP))"/>
  </w:docVars>
  <w:rsids>
    <w:rsidRoot w:val="003F6872"/>
    <w:rsid w:val="00002272"/>
    <w:rsid w:val="00064002"/>
    <w:rsid w:val="000677B9"/>
    <w:rsid w:val="000831BA"/>
    <w:rsid w:val="000A42CC"/>
    <w:rsid w:val="000E7DD9"/>
    <w:rsid w:val="0010095E"/>
    <w:rsid w:val="00125B37"/>
    <w:rsid w:val="00144F34"/>
    <w:rsid w:val="00187494"/>
    <w:rsid w:val="001F32AE"/>
    <w:rsid w:val="002306BE"/>
    <w:rsid w:val="002767FF"/>
    <w:rsid w:val="002B18FE"/>
    <w:rsid w:val="002B5493"/>
    <w:rsid w:val="002E4990"/>
    <w:rsid w:val="002E50F8"/>
    <w:rsid w:val="00343214"/>
    <w:rsid w:val="00361C00"/>
    <w:rsid w:val="00395FA1"/>
    <w:rsid w:val="003E15D4"/>
    <w:rsid w:val="003F6872"/>
    <w:rsid w:val="00411CCE"/>
    <w:rsid w:val="0041666E"/>
    <w:rsid w:val="00421060"/>
    <w:rsid w:val="0045767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FE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1F6"/>
    <w:rsid w:val="00BA182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03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95768"/>
  <w15:chartTrackingRefBased/>
  <w15:docId w15:val="{BE9DCC86-B022-4DA5-92B6-9D7451C4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873FEE"/>
    <w:pPr>
      <w:spacing w:after="240"/>
    </w:pPr>
    <w:rPr>
      <w:b/>
    </w:rPr>
  </w:style>
  <w:style w:type="paragraph" w:customStyle="1" w:styleId="NormalHanging12a">
    <w:name w:val="NormalHanging12a"/>
    <w:basedOn w:val="Normal"/>
    <w:rsid w:val="00873FEE"/>
    <w:pPr>
      <w:spacing w:after="240"/>
      <w:ind w:left="567" w:hanging="567"/>
    </w:pPr>
  </w:style>
  <w:style w:type="character" w:styleId="Hyperlink">
    <w:name w:val="Hyperlink"/>
    <w:basedOn w:val="DefaultParagraphFont"/>
    <w:uiPriority w:val="99"/>
    <w:unhideWhenUsed/>
    <w:rsid w:val="00873FEE"/>
    <w:rPr>
      <w:color w:val="0563C1" w:themeColor="hyperlink"/>
      <w:u w:val="single"/>
    </w:rPr>
  </w:style>
  <w:style w:type="paragraph" w:styleId="Revision">
    <w:name w:val="Revision"/>
    <w:hidden/>
    <w:uiPriority w:val="99"/>
    <w:semiHidden/>
    <w:rsid w:val="00BA182D"/>
    <w:rPr>
      <w:sz w:val="24"/>
      <w:lang w:val="sv-SE"/>
    </w:rPr>
  </w:style>
  <w:style w:type="character" w:styleId="UnresolvedMention">
    <w:name w:val="Unresolved Mention"/>
    <w:basedOn w:val="DefaultParagraphFont"/>
    <w:uiPriority w:val="99"/>
    <w:semiHidden/>
    <w:unhideWhenUsed/>
    <w:rsid w:val="002E5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914</Words>
  <Characters>6016</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2025-11-25T12:46:00Z</dcterms:created>
  <dcterms:modified xsi:type="dcterms:W3CDTF">2025-11-25T12:46:00Z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B10-0493/2025</vt:lpwstr>
  </property>
  <property fmtid="{D5CDD505-2E9C-101B-9397-08002B2CF9AE}" pid="4" name="&lt;Type&gt;">
    <vt:lpwstr>RR</vt:lpwstr>
  </property>
</Properties>
</file>