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2D79" w14:paraId="1CD9F60F" w14:textId="77777777" w:rsidTr="0010095E">
        <w:trPr>
          <w:trHeight w:hRule="exact" w:val="1418"/>
        </w:trPr>
        <w:tc>
          <w:tcPr>
            <w:tcW w:w="6804" w:type="dxa"/>
            <w:shd w:val="clear" w:color="auto" w:fill="auto"/>
            <w:vAlign w:val="center"/>
          </w:tcPr>
          <w:p w14:paraId="15322A72" w14:textId="5782FC0B" w:rsidR="00751A4A" w:rsidRPr="005F2D79" w:rsidRDefault="003031F1" w:rsidP="0010095E">
            <w:pPr>
              <w:pStyle w:val="EPName"/>
            </w:pPr>
            <w:r w:rsidRPr="005F2D79">
              <w:t>Ευρωπαϊκό Κοινοβούλιο</w:t>
            </w:r>
          </w:p>
          <w:p w14:paraId="409303EC" w14:textId="77777777" w:rsidR="00751A4A" w:rsidRPr="005F2D79" w:rsidRDefault="005F1B17" w:rsidP="005F1B17">
            <w:pPr>
              <w:pStyle w:val="EPTerm"/>
              <w:rPr>
                <w:rStyle w:val="HideTWBExt"/>
                <w:noProof w:val="0"/>
                <w:vanish w:val="0"/>
                <w:color w:val="auto"/>
              </w:rPr>
            </w:pPr>
            <w:r w:rsidRPr="005F2D79">
              <w:t>2024</w:t>
            </w:r>
            <w:r w:rsidR="00817416" w:rsidRPr="005F2D79">
              <w:t>-202</w:t>
            </w:r>
            <w:r w:rsidRPr="005F2D79">
              <w:t>9</w:t>
            </w:r>
          </w:p>
        </w:tc>
        <w:tc>
          <w:tcPr>
            <w:tcW w:w="2268" w:type="dxa"/>
            <w:shd w:val="clear" w:color="auto" w:fill="auto"/>
          </w:tcPr>
          <w:p w14:paraId="630A4A87" w14:textId="77777777" w:rsidR="00751A4A" w:rsidRPr="005F2D79" w:rsidRDefault="00187494" w:rsidP="0010095E">
            <w:pPr>
              <w:pStyle w:val="EPLogo"/>
            </w:pPr>
            <w:r w:rsidRPr="005F2D79">
              <w:rPr>
                <w:noProof/>
                <w:lang w:eastAsia="ja-JP"/>
              </w:rPr>
              <w:drawing>
                <wp:inline distT="0" distB="0" distL="0" distR="0" wp14:anchorId="733D7EC7" wp14:editId="19357A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C16F31" w14:textId="77777777" w:rsidR="00D058B8" w:rsidRPr="005F2D79" w:rsidRDefault="00D058B8" w:rsidP="004C5D52">
      <w:pPr>
        <w:pStyle w:val="LineTop"/>
      </w:pPr>
    </w:p>
    <w:p w14:paraId="47D3B186" w14:textId="07621D8F" w:rsidR="00680577" w:rsidRPr="005F2D79" w:rsidRDefault="003031F1" w:rsidP="00680577">
      <w:pPr>
        <w:pStyle w:val="EPBodyTA1"/>
      </w:pPr>
      <w:r w:rsidRPr="005F2D79">
        <w:t>ΚΕΙΜΕΝΑ ΠΟΥ ΕΓΚΡΙΘΗΚΑΝ</w:t>
      </w:r>
    </w:p>
    <w:p w14:paraId="1F4E2BF0" w14:textId="77777777" w:rsidR="00D058B8" w:rsidRPr="005F2D79" w:rsidRDefault="00D058B8" w:rsidP="00D058B8">
      <w:pPr>
        <w:pStyle w:val="LineBottom"/>
      </w:pPr>
    </w:p>
    <w:p w14:paraId="3BB5A5A0" w14:textId="19F62C5E" w:rsidR="003031F1" w:rsidRPr="005F2D79" w:rsidRDefault="003031F1" w:rsidP="003031F1">
      <w:pPr>
        <w:pStyle w:val="ATHeading1"/>
      </w:pPr>
      <w:bookmarkStart w:id="0" w:name="TANumber"/>
      <w:r w:rsidRPr="005F2D79">
        <w:t>P10_TA(2025)0</w:t>
      </w:r>
      <w:r w:rsidR="005F2D79" w:rsidRPr="005F2D79">
        <w:t>292</w:t>
      </w:r>
      <w:bookmarkEnd w:id="0"/>
    </w:p>
    <w:p w14:paraId="4DD58810" w14:textId="73096052" w:rsidR="003031F1" w:rsidRPr="005F2D79" w:rsidRDefault="00486802" w:rsidP="003031F1">
      <w:pPr>
        <w:pStyle w:val="ATHeading2"/>
      </w:pPr>
      <w:bookmarkStart w:id="1" w:name="title"/>
      <w:r w:rsidRPr="005F2D79">
        <w:t>Γενετικώς τροποποιημένος αραβόσιτος MON 87427</w:t>
      </w:r>
      <w:bookmarkEnd w:id="1"/>
    </w:p>
    <w:p w14:paraId="41F75778" w14:textId="77777777" w:rsidR="003031F1" w:rsidRPr="005F2D79" w:rsidRDefault="003031F1" w:rsidP="003031F1">
      <w:pPr>
        <w:rPr>
          <w:i/>
          <w:vanish/>
        </w:rPr>
      </w:pPr>
      <w:r w:rsidRPr="005F2D79">
        <w:rPr>
          <w:i/>
        </w:rPr>
        <w:fldChar w:fldCharType="begin"/>
      </w:r>
      <w:r w:rsidRPr="005F2D79">
        <w:rPr>
          <w:i/>
        </w:rPr>
        <w:instrText xml:space="preserve"> TC"(</w:instrText>
      </w:r>
      <w:bookmarkStart w:id="2" w:name="DocNumber"/>
      <w:r w:rsidRPr="005F2D79">
        <w:rPr>
          <w:i/>
        </w:rPr>
        <w:instrText>B10-0491/2025</w:instrText>
      </w:r>
      <w:bookmarkEnd w:id="2"/>
      <w:r w:rsidRPr="005F2D79">
        <w:rPr>
          <w:i/>
        </w:rPr>
        <w:instrText xml:space="preserve">)"\l3 \n&gt; \* MERGEFORMAT </w:instrText>
      </w:r>
      <w:r w:rsidRPr="005F2D79">
        <w:rPr>
          <w:i/>
        </w:rPr>
        <w:fldChar w:fldCharType="end"/>
      </w:r>
    </w:p>
    <w:p w14:paraId="6EE5A0A9" w14:textId="77777777" w:rsidR="003031F1" w:rsidRPr="005F2D79" w:rsidRDefault="003031F1" w:rsidP="003031F1">
      <w:pPr>
        <w:rPr>
          <w:vanish/>
        </w:rPr>
      </w:pPr>
      <w:bookmarkStart w:id="3" w:name="PE"/>
      <w:r w:rsidRPr="005F2D79">
        <w:rPr>
          <w:vanish/>
        </w:rPr>
        <w:t>PE778.113</w:t>
      </w:r>
      <w:bookmarkEnd w:id="3"/>
    </w:p>
    <w:p w14:paraId="2191ECB8" w14:textId="5325BA1F" w:rsidR="003031F1" w:rsidRPr="005F2D79" w:rsidRDefault="001B0FF0" w:rsidP="003031F1">
      <w:pPr>
        <w:pStyle w:val="ATHeading3"/>
      </w:pPr>
      <w:bookmarkStart w:id="4" w:name="Sujet"/>
      <w:r w:rsidRPr="005F2D79">
        <w:t xml:space="preserve">Ψήφισμα </w:t>
      </w:r>
      <w:r w:rsidR="003031F1" w:rsidRPr="005F2D79">
        <w:t xml:space="preserve">του Ευρωπαϊκού Κοινοβουλίου </w:t>
      </w:r>
      <w:r w:rsidR="00486802" w:rsidRPr="005F2D79">
        <w:t xml:space="preserve">της </w:t>
      </w:r>
      <w:r w:rsidR="009D7D1F" w:rsidRPr="005F2D79">
        <w:t>25</w:t>
      </w:r>
      <w:r w:rsidR="00486802" w:rsidRPr="005F2D79">
        <w:t xml:space="preserve">ης Νοεμβρίου 2025 </w:t>
      </w:r>
      <w:r w:rsidR="003031F1" w:rsidRPr="005F2D79">
        <w:t xml:space="preserve">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87427, σύμφωνα με τον κανονισμό </w:t>
      </w:r>
      <w:r w:rsidR="003C50AC">
        <w:t>(ΕΚ) </w:t>
      </w:r>
      <w:r w:rsidR="003031F1" w:rsidRPr="005F2D79">
        <w:t>αριθ. 1829/2003 του Ευρωπαϊκού Κοινοβουλίου και του Συμβουλίου</w:t>
      </w:r>
      <w:bookmarkEnd w:id="4"/>
      <w:r w:rsidR="003031F1" w:rsidRPr="005F2D79">
        <w:t xml:space="preserve"> </w:t>
      </w:r>
      <w:bookmarkStart w:id="5" w:name="References"/>
      <w:r w:rsidR="003031F1" w:rsidRPr="005F2D79">
        <w:t>(D109634/01 – 2025/2897(RSP))</w:t>
      </w:r>
      <w:bookmarkEnd w:id="5"/>
    </w:p>
    <w:p w14:paraId="2FF0B342" w14:textId="77777777" w:rsidR="00F8219C" w:rsidRPr="005F2D79" w:rsidRDefault="00F8219C" w:rsidP="00F8219C">
      <w:pPr>
        <w:pStyle w:val="EPComma"/>
      </w:pPr>
      <w:bookmarkStart w:id="6" w:name="TextBodyBegin"/>
      <w:bookmarkEnd w:id="6"/>
      <w:r w:rsidRPr="005F2D79">
        <w:rPr>
          <w:i/>
        </w:rPr>
        <w:t>Το Ευρωπαϊκό Κοινοβούλιο</w:t>
      </w:r>
      <w:r w:rsidRPr="005F2D79">
        <w:t>,</w:t>
      </w:r>
    </w:p>
    <w:p w14:paraId="4019B3BB" w14:textId="77777777" w:rsidR="00F8219C" w:rsidRPr="005F2D79" w:rsidRDefault="00F8219C" w:rsidP="001B0FF0">
      <w:pPr>
        <w:pStyle w:val="NormalHanging12a"/>
        <w:widowControl/>
      </w:pPr>
      <w:r w:rsidRPr="005F2D79">
        <w:t>–</w:t>
      </w:r>
      <w:r w:rsidRPr="005F2D79">
        <w:tab/>
        <w:t>έχοντας υπόψη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87427, σύμφωνα με τον κανονισμό (ΕΚ) αριθ. 1829/2003 του Ευρωπαϊκού Κοινοβουλίου και του Συμβουλίου (D109634/01),</w:t>
      </w:r>
    </w:p>
    <w:p w14:paraId="3510F516" w14:textId="698EC6CE" w:rsidR="00F8219C" w:rsidRPr="005F2D79" w:rsidRDefault="00F8219C" w:rsidP="001B0FF0">
      <w:pPr>
        <w:pStyle w:val="NormalHanging12a"/>
        <w:widowControl/>
      </w:pPr>
      <w:r w:rsidRPr="005F2D79">
        <w:t>–</w:t>
      </w:r>
      <w:r w:rsidRPr="005F2D79">
        <w:tab/>
        <w:t>έχοντας υπόψη τον κανονισμό (ΕΚ) αριθ. 1829/2003 του Ευρωπαϊκού Κοινοβουλίου και του Συμβουλίου, της 22ας Σεπτεμβρίου 2003, για τα γενετικώς τροποποιημένα τρόφιμα και ζωοτροφές</w:t>
      </w:r>
      <w:r w:rsidRPr="005F2D79">
        <w:rPr>
          <w:rStyle w:val="FootnoteReference"/>
        </w:rPr>
        <w:footnoteReference w:id="1"/>
      </w:r>
      <w:r w:rsidRPr="005F2D79">
        <w:t xml:space="preserve">, και </w:t>
      </w:r>
      <w:r w:rsidR="00486802" w:rsidRPr="005F2D79">
        <w:t xml:space="preserve">ιδίως </w:t>
      </w:r>
      <w:r w:rsidRPr="005F2D79">
        <w:t>το άρθρο 11 παράγραφος 3 και το άρθρο 23 παράγραφος 3,</w:t>
      </w:r>
    </w:p>
    <w:p w14:paraId="669712E6" w14:textId="59EC9192" w:rsidR="00F8219C" w:rsidRPr="005F2D79" w:rsidRDefault="00F8219C" w:rsidP="001B0FF0">
      <w:pPr>
        <w:pStyle w:val="NormalHanging12a"/>
        <w:widowControl/>
      </w:pPr>
      <w:bookmarkStart w:id="7" w:name="_Hlk210666078"/>
      <w:r w:rsidRPr="005F2D79">
        <w:t>–</w:t>
      </w:r>
      <w:r w:rsidRPr="005F2D79">
        <w:tab/>
        <w:t xml:space="preserve">έχοντας υπόψη την ψηφοφορία στη </w:t>
      </w:r>
      <w:bookmarkStart w:id="8" w:name="_Hlk210664905"/>
      <w:r w:rsidRPr="005F2D79">
        <w:t>μόνιμη επιτροπή φυτών, ζώων, τροφίμων και ζωοτροφών</w:t>
      </w:r>
      <w:bookmarkEnd w:id="8"/>
      <w:r w:rsidRPr="005F2D79">
        <w:t xml:space="preserve"> κατά το άρθρο 35 του κανονισμού (ΕΚ) αριθ. 1829/2003, της 15ης Σεπτεμβρίου 2025,</w:t>
      </w:r>
      <w:bookmarkEnd w:id="7"/>
      <w:r w:rsidRPr="005F2D79">
        <w:t xml:space="preserve"> κατά την οποία δεν εκδόθηκε γνωμοδότηση,</w:t>
      </w:r>
      <w:r w:rsidR="009D7D1F" w:rsidRPr="005F2D79">
        <w:t xml:space="preserve"> και την ψηφοφορία στην επιτροπή προσφυγών στις 21 Οκτωβρίου 2025, που κατέληξε επίσης σε μη έκδοση γνωμοδότησης,</w:t>
      </w:r>
    </w:p>
    <w:p w14:paraId="4CBCED73" w14:textId="256DCF5D" w:rsidR="00F8219C" w:rsidRPr="005F2D79" w:rsidRDefault="00F8219C" w:rsidP="001B0FF0">
      <w:pPr>
        <w:pStyle w:val="NormalHanging12a"/>
        <w:widowControl/>
      </w:pPr>
      <w:r w:rsidRPr="005F2D79">
        <w:t>–</w:t>
      </w:r>
      <w:r w:rsidRPr="005F2D79">
        <w:tab/>
        <w:t>έχοντας υπόψη το άρθρο 11 του κανονισμού (ΕE) αριθ.</w:t>
      </w:r>
      <w:r w:rsidR="00A37923" w:rsidRPr="005F2D79">
        <w:t xml:space="preserve"> </w:t>
      </w:r>
      <w:r w:rsidRPr="005F2D79">
        <w:t>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r w:rsidRPr="005F2D79">
        <w:rPr>
          <w:rStyle w:val="FootnoteReference"/>
        </w:rPr>
        <w:footnoteReference w:id="2"/>
      </w:r>
      <w:r w:rsidRPr="005F2D79">
        <w:t>,</w:t>
      </w:r>
    </w:p>
    <w:p w14:paraId="06EE4433" w14:textId="77777777" w:rsidR="00F8219C" w:rsidRPr="005F2D79" w:rsidRDefault="00F8219C" w:rsidP="001B0FF0">
      <w:pPr>
        <w:pStyle w:val="NormalHanging12a"/>
        <w:widowControl/>
      </w:pPr>
      <w:r w:rsidRPr="005F2D79">
        <w:lastRenderedPageBreak/>
        <w:t>–</w:t>
      </w:r>
      <w:r w:rsidRPr="005F2D79">
        <w:tab/>
        <w:t>έχοντας υπόψη τη γνώμη που εκδόθηκε από την Ευρωπαϊκή Αρχή για την Ασφάλεια των Τροφίμων (EFSA) στις 27 Μαρτίου 2025 και δημοσιεύθηκε στις 13 Μαΐου 2025</w:t>
      </w:r>
      <w:r w:rsidRPr="005F2D79">
        <w:rPr>
          <w:rStyle w:val="FootnoteReference"/>
          <w:szCs w:val="24"/>
        </w:rPr>
        <w:footnoteReference w:id="3"/>
      </w:r>
      <w:r w:rsidRPr="005F2D79">
        <w:t>,</w:t>
      </w:r>
    </w:p>
    <w:p w14:paraId="7DBB0FD2" w14:textId="00B8E64D" w:rsidR="00F8219C" w:rsidRPr="005F2D79" w:rsidRDefault="00F8219C" w:rsidP="001B0FF0">
      <w:pPr>
        <w:pStyle w:val="NormalHanging12a"/>
        <w:widowControl/>
      </w:pPr>
      <w:r w:rsidRPr="005F2D79">
        <w:t xml:space="preserve">– </w:t>
      </w:r>
      <w:r w:rsidRPr="005F2D79">
        <w:tab/>
        <w:t>έχοντας υπόψη τα προηγούμενα ψηφίσματά του που διατύπωναν αντίρρηση στην έγκριση γενετικώς τροποποιημένων οργανισμών (</w:t>
      </w:r>
      <w:r w:rsidR="00A37923" w:rsidRPr="005F2D79">
        <w:t>«</w:t>
      </w:r>
      <w:r w:rsidRPr="005F2D79">
        <w:t>ΓΤΟ</w:t>
      </w:r>
      <w:r w:rsidR="00A37923" w:rsidRPr="005F2D79">
        <w:t>»</w:t>
      </w:r>
      <w:r w:rsidRPr="005F2D79">
        <w:t>)</w:t>
      </w:r>
      <w:bookmarkStart w:id="9" w:name="_Hlk210666451"/>
      <w:r w:rsidRPr="005F2D79">
        <w:rPr>
          <w:rStyle w:val="FootnoteReference"/>
        </w:rPr>
        <w:footnoteReference w:id="4"/>
      </w:r>
      <w:bookmarkEnd w:id="9"/>
      <w:r w:rsidRPr="005F2D79">
        <w:t>,</w:t>
      </w:r>
    </w:p>
    <w:p w14:paraId="0C5AED71" w14:textId="77777777" w:rsidR="00F8219C" w:rsidRPr="005F2D79" w:rsidRDefault="00F8219C" w:rsidP="001B0FF0">
      <w:pPr>
        <w:pStyle w:val="NormalHanging12a"/>
        <w:widowControl/>
      </w:pPr>
      <w:r w:rsidRPr="005F2D79">
        <w:lastRenderedPageBreak/>
        <w:t>–</w:t>
      </w:r>
      <w:r w:rsidRPr="005F2D79">
        <w:tab/>
      </w:r>
      <w:bookmarkStart w:id="10" w:name="_Hlk210059365"/>
      <w:r w:rsidRPr="005F2D79">
        <w:t>έχοντας υπόψη το άρθρο 115 παράγραφοι 2 και 3 του Κανονισμού του,</w:t>
      </w:r>
    </w:p>
    <w:bookmarkEnd w:id="10"/>
    <w:p w14:paraId="1753CF29" w14:textId="77777777" w:rsidR="00F8219C" w:rsidRPr="005F2D79" w:rsidRDefault="00F8219C" w:rsidP="001B0FF0">
      <w:pPr>
        <w:pStyle w:val="NormalHanging12a"/>
        <w:widowControl/>
      </w:pPr>
      <w:r w:rsidRPr="005F2D79">
        <w:t>–</w:t>
      </w:r>
      <w:r w:rsidRPr="005F2D79">
        <w:tab/>
        <w:t xml:space="preserve">έχοντας υπόψη την πρόταση ψηφίσματος της Επιτροπής Περιβάλλοντος, Κλίματος και Ασφάλειας των Τροφίμων, </w:t>
      </w:r>
    </w:p>
    <w:p w14:paraId="053F19D6" w14:textId="36FDC315" w:rsidR="00F8219C" w:rsidRPr="005F2D79" w:rsidRDefault="00F8219C" w:rsidP="001B0FF0">
      <w:pPr>
        <w:widowControl/>
        <w:spacing w:after="240"/>
        <w:ind w:left="567" w:hanging="567"/>
      </w:pPr>
      <w:r w:rsidRPr="005F2D79">
        <w:lastRenderedPageBreak/>
        <w:t>Α.</w:t>
      </w:r>
      <w:r w:rsidRPr="005F2D79">
        <w:tab/>
        <w:t>λαμβάνοντας υπόψη την εκτελεστική απόφαση (ΕΕ) 2015/2281 της Επιτροπής, της 4ης</w:t>
      </w:r>
      <w:r w:rsidR="00486802" w:rsidRPr="005F2D79">
        <w:t> </w:t>
      </w:r>
      <w:r w:rsidRPr="005F2D79">
        <w:t>Δεκεμβρίου 2015</w:t>
      </w:r>
      <w:r w:rsidRPr="005F2D79">
        <w:rPr>
          <w:rStyle w:val="FootnoteReference"/>
        </w:rPr>
        <w:footnoteReference w:id="5"/>
      </w:r>
      <w:r w:rsidRPr="005F2D79">
        <w:t>, για την έγκριση της διάθεσης στην αγορά προϊόντων που περιέχουν, αποτελούνται ή παράγονται από γενετικώς τροποποιημένο αραβόσιτο της σειράς MON 87427 (</w:t>
      </w:r>
      <w:r w:rsidR="009D7D1F" w:rsidRPr="005F2D79">
        <w:t>«</w:t>
      </w:r>
      <w:r w:rsidRPr="005F2D79">
        <w:t>ΓΤ αραβόσιτος</w:t>
      </w:r>
      <w:r w:rsidR="009D7D1F" w:rsidRPr="005F2D79">
        <w:t>»</w:t>
      </w:r>
      <w:r w:rsidRPr="005F2D79">
        <w:t>)·</w:t>
      </w:r>
    </w:p>
    <w:p w14:paraId="60CED439" w14:textId="77777777" w:rsidR="00F8219C" w:rsidRPr="005F2D79" w:rsidRDefault="00F8219C" w:rsidP="001B0FF0">
      <w:pPr>
        <w:widowControl/>
        <w:spacing w:after="240"/>
        <w:ind w:left="567" w:hanging="567"/>
      </w:pPr>
      <w:r w:rsidRPr="005F2D79">
        <w:t>Β.</w:t>
      </w:r>
      <w:r w:rsidRPr="005F2D79">
        <w:tab/>
        <w:t xml:space="preserve">λαμβάνοντας υπόψη ότι στις 19 Μαρτίου 2024 η Bayer </w:t>
      </w:r>
      <w:proofErr w:type="spellStart"/>
      <w:r w:rsidRPr="005F2D79">
        <w:t>Agriculture</w:t>
      </w:r>
      <w:proofErr w:type="spellEnd"/>
      <w:r w:rsidRPr="005F2D79">
        <w:t xml:space="preserve"> B.V., με έδρα στο Βέλγιο, για λογαριασμό της Bayer CropScience LP, με έδρα στις Ηνωμένες Πολιτείες, υπέβαλε στην Επιτροπή αίτηση για την ανανέωση της εν λόγω έγκρισης, σύμφωνα με τα άρθρα 11 και 23 του κανονισμού (ΕΚ) αριθ. 1829/2003·</w:t>
      </w:r>
    </w:p>
    <w:p w14:paraId="79B0725C" w14:textId="77777777" w:rsidR="00F8219C" w:rsidRPr="005F2D79" w:rsidRDefault="00F8219C" w:rsidP="001B0FF0">
      <w:pPr>
        <w:widowControl/>
        <w:spacing w:after="240"/>
        <w:ind w:left="567" w:hanging="567"/>
      </w:pPr>
      <w:r w:rsidRPr="005F2D79">
        <w:t>Γ.</w:t>
      </w:r>
      <w:r w:rsidRPr="005F2D79">
        <w:tab/>
        <w:t>λαμβάνοντας υπόψη ότι το πεδίο εφαρμογής της αίτησης ανανέωσης καλύπτει τρόφιμα και ζωοτροφές που περιέχουν, αποτελούνται ή παράγονται από ΓΤ αραβόσιτο, καθώς και προϊόντα που περιέχουν ή αποτελούνται από ΓΤ αραβόσιτο για άλλες χρήσεις εκτός από τα τρόφιμα και τις ζωοτροφές, με εξαίρεση την καλλιέργεια· λαμβάνοντας υπόψη ότι το πεδίο εφαρμογής της έγκρισης αυτής καλύπτει επίσης τη διάθεση στην αγορά άλλων προϊόντων, εκτός των τροφίμων και των ζωοτροφών, που περιέχουν ή αποτελούνται από ΓΤ αραβόσιτο, για τις ίδιες χρήσεις με οποιονδήποτε άλλο αραβόσιτο, με εξαίρεση την καλλιέργεια·</w:t>
      </w:r>
    </w:p>
    <w:p w14:paraId="01202398" w14:textId="77777777" w:rsidR="00F8219C" w:rsidRPr="005F2D79" w:rsidRDefault="00F8219C" w:rsidP="001B0FF0">
      <w:pPr>
        <w:widowControl/>
        <w:spacing w:after="240"/>
        <w:ind w:left="567" w:hanging="567"/>
      </w:pPr>
      <w:r w:rsidRPr="005F2D79">
        <w:t>Δ.</w:t>
      </w:r>
      <w:r w:rsidRPr="005F2D79">
        <w:tab/>
        <w:t>λαμβάνοντας υπόψη ότι η Ευρωπαϊκή Αρχή για την Ασφάλεια των Τροφίμων εξέδωσε θετική γνώμη στις 27 Μαρτίου 2025, καταλήγοντας στο συμπέρασμα ότι η αίτηση ανανέωσης δεν περιείχε στοιχεία που σχετίζονται με νέους κινδύνους, τροποποιημένη έκθεση ή επιστημονικές αβεβαιότητες που θα μπορούσαν να αλλάξουν τα συμπεράσματα της αρχικής της εκτίμησης επικινδυνότητας που εκδόθηκε το 2015·</w:t>
      </w:r>
    </w:p>
    <w:p w14:paraId="49022E8C" w14:textId="77777777" w:rsidR="00F8219C" w:rsidRPr="005F2D79" w:rsidRDefault="00F8219C" w:rsidP="001B0FF0">
      <w:pPr>
        <w:widowControl/>
        <w:spacing w:after="240"/>
        <w:ind w:left="567" w:hanging="567"/>
      </w:pPr>
      <w:r w:rsidRPr="005F2D79">
        <w:t>Ε.</w:t>
      </w:r>
      <w:r w:rsidRPr="005F2D79">
        <w:tab/>
        <w:t>λαμβάνοντας υπόψη ότι η αξιολόγηση της EFSA δεν εξέτασε επαρκώς τις σωρευτικές και συνδυαστικές επιπτώσεις, τις μακροπρόθεσμες τοξικολογικές μελέτες ή τις έμμεσες οικολογικές συνέπειες της αυξημένης χρήσης γλυφοσάτης·</w:t>
      </w:r>
    </w:p>
    <w:p w14:paraId="73C090C4" w14:textId="77777777" w:rsidR="00F8219C" w:rsidRPr="005F2D79" w:rsidRDefault="00F8219C" w:rsidP="001B0FF0">
      <w:pPr>
        <w:widowControl/>
        <w:spacing w:after="240"/>
        <w:ind w:left="567" w:hanging="567"/>
      </w:pPr>
      <w:r w:rsidRPr="005F2D79">
        <w:t>ΣΤ.</w:t>
      </w:r>
      <w:r w:rsidRPr="005F2D79">
        <w:tab/>
        <w:t>λαμβάνοντας υπόψη ότι ο ΓΤ αραβόσιτος είναι ανθεκτικός στη γλυφοσάτη· λαμβάνοντας υπόψη ότι η γλυφοσάτη έχει συνδεθεί με κινδύνους για τη βιοποικιλότητα, την υγεία του εδάφους και των υδάτων, καθώς και με πιθανές επιπτώσεις στην ανθρώπινη υγεία·</w:t>
      </w:r>
    </w:p>
    <w:p w14:paraId="3D7EA7B0" w14:textId="77777777" w:rsidR="00F8219C" w:rsidRPr="005F2D79" w:rsidRDefault="00F8219C" w:rsidP="001B0FF0">
      <w:pPr>
        <w:widowControl/>
        <w:spacing w:after="240"/>
        <w:ind w:left="567" w:hanging="567"/>
      </w:pPr>
      <w:r w:rsidRPr="005F2D79">
        <w:t>Ζ.</w:t>
      </w:r>
      <w:r w:rsidRPr="005F2D79">
        <w:tab/>
        <w:t>λαμβάνοντας υπόψη ότι η μεγάλης κλίμακας καλλιέργεια γενετικώς τροποποιημένων καλλιεργειών ανθεκτικών στη γλυφοσάτη στις χώρες εξαγωγής έχει οδηγήσει σε μεγαλύτερη χρήση ζιζανιοκτόνων, στην εμφάνιση ανθεκτικών ζιζανίων και σε αρνητικές συνέπειες για τα γεωργικά συστήματα, τα οικοσυστήματα και τις αγροτικές κοινότητες·</w:t>
      </w:r>
    </w:p>
    <w:p w14:paraId="3EF3E7C6" w14:textId="77777777" w:rsidR="00F8219C" w:rsidRPr="005F2D79" w:rsidRDefault="00F8219C" w:rsidP="001B0FF0">
      <w:pPr>
        <w:widowControl/>
        <w:spacing w:after="240"/>
        <w:ind w:left="567" w:hanging="567"/>
      </w:pPr>
      <w:r w:rsidRPr="005F2D79">
        <w:t>Η.</w:t>
      </w:r>
      <w:r w:rsidRPr="005F2D79">
        <w:tab/>
        <w:t>λαμβάνοντας υπόψη ότι το σχέδιο παρακολούθησης των περιβαλλοντικών επιπτώσεων που προβλέπεται στο σχέδιο εκτελεστικής απόφασης της Επιτροπής βασίζεται σε μεγάλο βαθμό στη γενική επιτήρηση χωρίς να προβλέπει στοχευμένες, ανεξάρτητες και μακροπρόθεσμες μελέτες για τους επικονιαστές, τους οργανισμούς του εδάφους, τους υδρόβιους οργανισμούς και τα μη στοχευόμενα είδη·</w:t>
      </w:r>
    </w:p>
    <w:p w14:paraId="2E0F72CB" w14:textId="77777777" w:rsidR="00F8219C" w:rsidRPr="005F2D79" w:rsidRDefault="00F8219C" w:rsidP="001B0FF0">
      <w:pPr>
        <w:widowControl/>
        <w:spacing w:after="240"/>
        <w:ind w:left="567" w:hanging="567"/>
      </w:pPr>
      <w:r w:rsidRPr="005F2D79">
        <w:t>Θ.</w:t>
      </w:r>
      <w:r w:rsidRPr="005F2D79">
        <w:tab/>
        <w:t xml:space="preserve">λαμβάνοντας υπόψη ότι η αρχή της προφύλαξης, η οποία κατοχυρώνεται στο άρθρο 191 της Συνθήκης για τη λειτουργία της Ευρωπαϊκής Ένωσης, θα πρέπει να </w:t>
      </w:r>
      <w:r w:rsidRPr="005F2D79">
        <w:lastRenderedPageBreak/>
        <w:t>εφαρμόζεται σε περιπτώσεις επιστημονικής αβεβαιότητας και αποδεικτικών στοιχείων δυνητικής βλάβης·</w:t>
      </w:r>
    </w:p>
    <w:p w14:paraId="21B3A3C0" w14:textId="77777777" w:rsidR="00F8219C" w:rsidRPr="005F2D79" w:rsidRDefault="00F8219C" w:rsidP="001B0FF0">
      <w:pPr>
        <w:widowControl/>
        <w:spacing w:after="240"/>
        <w:ind w:left="567" w:hanging="567"/>
      </w:pPr>
      <w:r w:rsidRPr="005F2D79">
        <w:t>Ι.</w:t>
      </w:r>
      <w:r w:rsidRPr="005F2D79">
        <w:tab/>
        <w:t>λαμβάνοντας υπόψη ότι ο κανονισμός (ΕΚ) αριθ. 1829/2003 ορίζει ότι τα γενετικώς τροποποιημένα τρόφιμα και ζωοτροφές δεν πρέπει να έχουν δυσμενείς επιπτώσεις στην υγεία του ανθρώπου, στην υγεία των ζώων ή στο περιβάλλον·</w:t>
      </w:r>
    </w:p>
    <w:p w14:paraId="039DB39A" w14:textId="77777777" w:rsidR="00F8219C" w:rsidRPr="005F2D79" w:rsidRDefault="00F8219C" w:rsidP="001B0FF0">
      <w:pPr>
        <w:widowControl/>
        <w:spacing w:after="240"/>
        <w:ind w:left="567" w:hanging="567"/>
      </w:pPr>
      <w:r w:rsidRPr="005F2D79">
        <w:t>ΙΑ.</w:t>
      </w:r>
      <w:r w:rsidRPr="005F2D79">
        <w:tab/>
        <w:t>λαμβάνοντας υπόψη ότι η προσέγγιση «Μία υγεία» απαιτεί να λαμβάνεται υπόψη η αλληλεξάρτηση μεταξύ της υγείας των ανθρώπων, των ζώων, των φυτών και του περιβάλλοντος κατά την αξιολόγηση της μακροπρόθεσμης βιωσιμότητας και ασφάλειας των ΓΤΟ·</w:t>
      </w:r>
    </w:p>
    <w:p w14:paraId="53FFCCEC" w14:textId="77777777" w:rsidR="00F8219C" w:rsidRPr="005F2D79" w:rsidRDefault="00F8219C" w:rsidP="001B0FF0">
      <w:pPr>
        <w:widowControl/>
        <w:spacing w:after="240"/>
        <w:ind w:left="567" w:hanging="567"/>
      </w:pPr>
      <w:r w:rsidRPr="005F2D79">
        <w:t>ΙΒ.</w:t>
      </w:r>
      <w:r w:rsidRPr="005F2D79">
        <w:tab/>
        <w:t>λαμβάνοντας υπόψη ότι το Κοινοβούλιο έχει επανειλημμένα αντιταχθεί στην έγκριση και την ανανέωση ΓΤΟ σε περιπτώσεις όπου δεν επιτυγχάνεται ειδική πλειοψηφία των κρατών μελών στη μόνιμη επιτροπή φυτών, ζώων, τροφίμων και ζωοτροφών ή στην επιτροπή προσφυγών, υπογραμμίζοντας το συνεχιζόμενο δημοκρατικό έλλειμμα στη διαδικασία λήψης αποφάσεων·</w:t>
      </w:r>
    </w:p>
    <w:p w14:paraId="1765597F" w14:textId="77777777" w:rsidR="00F8219C" w:rsidRPr="005F2D79" w:rsidRDefault="00F8219C" w:rsidP="001B0FF0">
      <w:pPr>
        <w:widowControl/>
        <w:spacing w:after="240"/>
        <w:ind w:left="567" w:hanging="567"/>
      </w:pPr>
      <w:r w:rsidRPr="005F2D79">
        <w:t>1.</w:t>
      </w:r>
      <w:r w:rsidRPr="005F2D79">
        <w:tab/>
        <w:t>κρίνει ότι το σχέδιο εκτελεστικής απόφασης της Επιτροπής υπερβαίνει τις εκτελεστικές αρμοδιότητες που προβλέπει ο κανονισμός (ΕΚ) αριθ. 1829/2003·</w:t>
      </w:r>
    </w:p>
    <w:p w14:paraId="262715DC" w14:textId="77777777" w:rsidR="00F8219C" w:rsidRPr="005F2D79" w:rsidRDefault="00F8219C" w:rsidP="001B0FF0">
      <w:pPr>
        <w:widowControl/>
        <w:spacing w:after="240"/>
        <w:ind w:left="567" w:hanging="567"/>
      </w:pPr>
      <w:r w:rsidRPr="005F2D79">
        <w:t>2.</w:t>
      </w:r>
      <w:r w:rsidRPr="005F2D79">
        <w:tab/>
        <w:t>θεωρεί ότι το σχέδιο εκτελεστικής απόφασης της Επιτροπής δεν συνάδει με το δίκαιο της Ένωσης, υπό την έννοια ότι είναι ασύμβατο με τον σκοπό του κανονισμού (ΕΚ) αριθ. 1829/2003, ο οποίος είναι, σύμφωνα με τις γενικές αρχές που καθορίζονται στον κανονισμό (ΕΚ) αριθ. 178/2002 του Ευρωπαϊκού Κοινοβουλίου και του Συμβουλίου</w:t>
      </w:r>
      <w:r w:rsidRPr="005F2D79">
        <w:rPr>
          <w:rStyle w:val="FootnoteReference"/>
        </w:rPr>
        <w:footnoteReference w:id="6"/>
      </w:r>
      <w:r w:rsidRPr="005F2D79">
        <w:t>, να προσφέρει τη βάση για τη διασφάλιση υψηλού επιπέδου προστασίας της ζωής και της υγείας του ανθρώπου, της υγείας και της καλής διαβίωσης των ζώων, του περιβάλλοντος και των συμφερόντων των καταναλωτών σε σχέση με τα γενετικώς τροποποιημένα τρόφιμα και ζωοτροφές, εξασφαλίζοντας παράλληλα την αποτελεσματική λειτουργία της εσωτερικής αγοράς και σύμφωνα με την αρχή της προφύλαξης·</w:t>
      </w:r>
    </w:p>
    <w:p w14:paraId="447E5FA7" w14:textId="77777777" w:rsidR="00F8219C" w:rsidRPr="005F2D79" w:rsidRDefault="00F8219C" w:rsidP="001B0FF0">
      <w:pPr>
        <w:widowControl/>
        <w:spacing w:after="240"/>
        <w:ind w:left="567" w:hanging="567"/>
      </w:pPr>
      <w:r w:rsidRPr="005F2D79">
        <w:t>3.</w:t>
      </w:r>
      <w:r w:rsidRPr="005F2D79">
        <w:tab/>
        <w:t>ζητεί από την Επιτροπή να αποσύρει την εκτελεστική απόφασή της·</w:t>
      </w:r>
    </w:p>
    <w:p w14:paraId="3F28757D" w14:textId="77777777" w:rsidR="00F8219C" w:rsidRPr="005F2D79" w:rsidRDefault="00F8219C" w:rsidP="001B0FF0">
      <w:pPr>
        <w:widowControl/>
        <w:spacing w:after="240"/>
        <w:ind w:left="567" w:hanging="567"/>
      </w:pPr>
      <w:r w:rsidRPr="005F2D79">
        <w:t>4.</w:t>
      </w:r>
      <w:r w:rsidRPr="005F2D79">
        <w:tab/>
        <w:t>καλεί την Επιτροπή να μην ανανεώσει την έγκριση του ΓΤ αραβοσίτου λόγω κινδύνων που συνδέονται με τη χρήση γλυφοσάτης, ανθεκτικά ζιζάνια, την απώλεια βιοποικιλότητας και ανεπαρκή αποδεικτικά στοιχεία σχετικά με τη μακροπρόθεσμη ασφάλεια, σύμφωνα με την προσέγγιση «Μία υγεία»·</w:t>
      </w:r>
      <w:bookmarkStart w:id="11" w:name="_Hlk210900300"/>
    </w:p>
    <w:p w14:paraId="0E3024DD" w14:textId="77777777" w:rsidR="00F8219C" w:rsidRPr="005F2D79" w:rsidRDefault="00F8219C" w:rsidP="001B0FF0">
      <w:pPr>
        <w:widowControl/>
        <w:spacing w:after="240"/>
        <w:ind w:left="567" w:hanging="567"/>
      </w:pPr>
      <w:r w:rsidRPr="005F2D79">
        <w:t>5.</w:t>
      </w:r>
      <w:r w:rsidRPr="005F2D79">
        <w:tab/>
        <w:t>καλεί την Επιτροπή να υποβάλει, χωρίς καθυστέρηση, νομοθετική πρόταση για τη μεταρρύθμιση της διαδικασίας λήψης αποφάσεων σχετικά με τους ΓΤΟ, προκειμένου να ανταποκριθεί στις συνεχείς αντιρρήσεις του Κοινοβουλίου και στην έλλειψη στήριξης από ειδική πλειοψηφία των κρατών μελών</w:t>
      </w:r>
      <w:bookmarkEnd w:id="11"/>
      <w:r w:rsidRPr="005F2D79">
        <w:t>·</w:t>
      </w:r>
      <w:bookmarkStart w:id="12" w:name="_Hlk210900241"/>
    </w:p>
    <w:p w14:paraId="6802EDB4" w14:textId="77777777" w:rsidR="00F8219C" w:rsidRPr="005F2D79" w:rsidRDefault="00F8219C" w:rsidP="001B0FF0">
      <w:pPr>
        <w:widowControl/>
        <w:spacing w:after="240"/>
        <w:ind w:left="567" w:hanging="567"/>
      </w:pPr>
      <w:r w:rsidRPr="005F2D79">
        <w:lastRenderedPageBreak/>
        <w:t>6.</w:t>
      </w:r>
      <w:r w:rsidRPr="005F2D79">
        <w:tab/>
        <w:t>παροτρύνει την Επιτροπή να λάβει υπόψη τις υποχρεώσεις της Ένωσης στο πλαίσιο διεθνών συμφωνιών, όπως η Συμφωνία του Παρισιού για το κλίμα, η Σύμβαση των Ηνωμένων Εθνών για τη βιολογική ποικιλότητα και οι Στόχοι Βιώσιμης Ανάπτυξης των Ηνωμένων Εθνών·</w:t>
      </w:r>
    </w:p>
    <w:bookmarkEnd w:id="12"/>
    <w:p w14:paraId="5365EDCD" w14:textId="1CDD528B" w:rsidR="00B361A2" w:rsidRPr="005F2D79" w:rsidRDefault="00F8219C" w:rsidP="001B0FF0">
      <w:pPr>
        <w:widowControl/>
        <w:spacing w:after="240"/>
        <w:ind w:left="567" w:hanging="567"/>
      </w:pPr>
      <w:r w:rsidRPr="005F2D79">
        <w:t>7.</w:t>
      </w:r>
      <w:r w:rsidRPr="005F2D79">
        <w:tab/>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p w14:paraId="3DE63EE8" w14:textId="3ABD8D01" w:rsidR="00E365E1" w:rsidRPr="005F2D79" w:rsidRDefault="00E365E1" w:rsidP="001B0FF0">
      <w:pPr>
        <w:widowControl/>
        <w:spacing w:after="240"/>
        <w:ind w:left="567" w:hanging="567"/>
      </w:pPr>
    </w:p>
    <w:sectPr w:rsidR="00E365E1" w:rsidRPr="005F2D79" w:rsidSect="00B361A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7A2B2" w14:textId="77777777" w:rsidR="003031F1" w:rsidRPr="00B361A2" w:rsidRDefault="003031F1">
      <w:r w:rsidRPr="00B361A2">
        <w:separator/>
      </w:r>
    </w:p>
  </w:endnote>
  <w:endnote w:type="continuationSeparator" w:id="0">
    <w:p w14:paraId="32A7D4F3" w14:textId="77777777" w:rsidR="003031F1" w:rsidRPr="00B361A2" w:rsidRDefault="003031F1">
      <w:r w:rsidRPr="00B361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8A50F" w14:textId="77777777" w:rsidR="00064002" w:rsidRPr="00B361A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44418" w14:textId="77777777" w:rsidR="00064002" w:rsidRPr="00B361A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BA494" w14:textId="77777777" w:rsidR="00064002" w:rsidRPr="00B361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3F28A" w14:textId="77777777" w:rsidR="003031F1" w:rsidRPr="00B361A2" w:rsidRDefault="003031F1">
      <w:r w:rsidRPr="00B361A2">
        <w:separator/>
      </w:r>
    </w:p>
  </w:footnote>
  <w:footnote w:type="continuationSeparator" w:id="0">
    <w:p w14:paraId="4C91C033" w14:textId="77777777" w:rsidR="003031F1" w:rsidRPr="00B361A2" w:rsidRDefault="003031F1">
      <w:r w:rsidRPr="00B361A2">
        <w:continuationSeparator/>
      </w:r>
    </w:p>
  </w:footnote>
  <w:footnote w:id="1">
    <w:p w14:paraId="030E45E8" w14:textId="4031D9C4" w:rsidR="00F8219C" w:rsidRPr="00B361A2" w:rsidRDefault="00F8219C" w:rsidP="005F2D79">
      <w:pPr>
        <w:pStyle w:val="FootnoteText"/>
        <w:spacing w:line="240" w:lineRule="auto"/>
        <w:ind w:left="567" w:hanging="567"/>
        <w:rPr>
          <w:sz w:val="24"/>
          <w:lang w:val="el-GR"/>
        </w:rPr>
      </w:pPr>
      <w:r w:rsidRPr="00B361A2">
        <w:rPr>
          <w:rStyle w:val="FootnoteReference"/>
          <w:sz w:val="24"/>
          <w:lang w:val="el-GR"/>
        </w:rPr>
        <w:footnoteRef/>
      </w:r>
      <w:r w:rsidR="00B361A2" w:rsidRPr="00B361A2">
        <w:rPr>
          <w:sz w:val="24"/>
          <w:lang w:val="el-GR"/>
        </w:rPr>
        <w:t xml:space="preserve"> </w:t>
      </w:r>
      <w:r w:rsidR="00B361A2" w:rsidRPr="00B361A2">
        <w:rPr>
          <w:sz w:val="24"/>
          <w:lang w:val="el-GR"/>
        </w:rPr>
        <w:tab/>
      </w:r>
      <w:r w:rsidRPr="00B361A2">
        <w:rPr>
          <w:sz w:val="24"/>
          <w:lang w:val="el-GR"/>
        </w:rPr>
        <w:t>ΕΕ L 268</w:t>
      </w:r>
      <w:r w:rsidR="00486802">
        <w:rPr>
          <w:sz w:val="24"/>
          <w:lang w:val="el-GR"/>
        </w:rPr>
        <w:t xml:space="preserve"> της</w:t>
      </w:r>
      <w:r w:rsidRPr="00B361A2">
        <w:rPr>
          <w:sz w:val="24"/>
          <w:lang w:val="el-GR"/>
        </w:rPr>
        <w:t xml:space="preserve"> 18.10.2003, σ. 1, </w:t>
      </w:r>
      <w:hyperlink r:id="rId1" w:tooltip="http://data.europa.eu/eli/reg/2003/1829/oj" w:history="1">
        <w:r w:rsidRPr="00B361A2">
          <w:rPr>
            <w:rStyle w:val="Hyperlink"/>
            <w:sz w:val="24"/>
            <w:lang w:val="el-GR"/>
          </w:rPr>
          <w:t>http://data.europa.eu/eli/reg/2003/1829/oj</w:t>
        </w:r>
      </w:hyperlink>
      <w:r w:rsidRPr="00B361A2">
        <w:rPr>
          <w:sz w:val="24"/>
          <w:lang w:val="el-GR"/>
        </w:rPr>
        <w:t>.</w:t>
      </w:r>
    </w:p>
  </w:footnote>
  <w:footnote w:id="2">
    <w:p w14:paraId="559C8502" w14:textId="79F54B58" w:rsidR="00F8219C" w:rsidRPr="00B361A2" w:rsidRDefault="00F8219C" w:rsidP="005F2D79">
      <w:pPr>
        <w:pStyle w:val="FootnoteText"/>
        <w:spacing w:line="240" w:lineRule="auto"/>
        <w:ind w:left="567" w:hanging="567"/>
        <w:rPr>
          <w:sz w:val="24"/>
          <w:lang w:val="el-GR"/>
        </w:rPr>
      </w:pPr>
      <w:r w:rsidRPr="00B361A2">
        <w:rPr>
          <w:rStyle w:val="FootnoteReference"/>
          <w:sz w:val="24"/>
          <w:lang w:val="el-GR"/>
        </w:rPr>
        <w:footnoteRef/>
      </w:r>
      <w:r w:rsidR="00B361A2" w:rsidRPr="00B361A2">
        <w:rPr>
          <w:sz w:val="24"/>
          <w:lang w:val="el-GR"/>
        </w:rPr>
        <w:t xml:space="preserve"> </w:t>
      </w:r>
      <w:r w:rsidR="00B361A2" w:rsidRPr="00B361A2">
        <w:rPr>
          <w:sz w:val="24"/>
          <w:lang w:val="el-GR"/>
        </w:rPr>
        <w:tab/>
      </w:r>
      <w:r w:rsidRPr="00B361A2">
        <w:rPr>
          <w:sz w:val="24"/>
          <w:lang w:val="el-GR"/>
        </w:rPr>
        <w:t xml:space="preserve">ΕΕ L 55 της 28.2.2011, σ. 13, ELI: </w:t>
      </w:r>
      <w:r w:rsidR="003C50AC">
        <w:fldChar w:fldCharType="begin"/>
      </w:r>
      <w:r w:rsidR="003C50AC">
        <w:instrText>HYPERLINK</w:instrText>
      </w:r>
      <w:r w:rsidR="003C50AC" w:rsidRPr="003C50AC">
        <w:rPr>
          <w:lang w:val="el-GR"/>
        </w:rPr>
        <w:instrText xml:space="preserve"> "</w:instrText>
      </w:r>
      <w:r w:rsidR="003C50AC">
        <w:instrText>http</w:instrText>
      </w:r>
      <w:r w:rsidR="003C50AC" w:rsidRPr="003C50AC">
        <w:rPr>
          <w:lang w:val="el-GR"/>
        </w:rPr>
        <w:instrText>://</w:instrText>
      </w:r>
      <w:r w:rsidR="003C50AC">
        <w:instrText>data</w:instrText>
      </w:r>
      <w:r w:rsidR="003C50AC" w:rsidRPr="003C50AC">
        <w:rPr>
          <w:lang w:val="el-GR"/>
        </w:rPr>
        <w:instrText>.</w:instrText>
      </w:r>
      <w:r w:rsidR="003C50AC">
        <w:instrText>europa</w:instrText>
      </w:r>
      <w:r w:rsidR="003C50AC" w:rsidRPr="003C50AC">
        <w:rPr>
          <w:lang w:val="el-GR"/>
        </w:rPr>
        <w:instrText>.</w:instrText>
      </w:r>
      <w:r w:rsidR="003C50AC">
        <w:instrText>eu</w:instrText>
      </w:r>
      <w:r w:rsidR="003C50AC" w:rsidRPr="003C50AC">
        <w:rPr>
          <w:lang w:val="el-GR"/>
        </w:rPr>
        <w:instrText>/</w:instrText>
      </w:r>
      <w:r w:rsidR="003C50AC">
        <w:instrText>eli</w:instrText>
      </w:r>
      <w:r w:rsidR="003C50AC" w:rsidRPr="003C50AC">
        <w:rPr>
          <w:lang w:val="el-GR"/>
        </w:rPr>
        <w:instrText>/</w:instrText>
      </w:r>
      <w:r w:rsidR="003C50AC">
        <w:instrText>reg</w:instrText>
      </w:r>
      <w:r w:rsidR="003C50AC" w:rsidRPr="003C50AC">
        <w:rPr>
          <w:lang w:val="el-GR"/>
        </w:rPr>
        <w:instrText>/2011/182/</w:instrText>
      </w:r>
      <w:r w:rsidR="003C50AC">
        <w:instrText>oj</w:instrText>
      </w:r>
      <w:r w:rsidR="003C50AC" w:rsidRPr="003C50AC">
        <w:rPr>
          <w:lang w:val="el-GR"/>
        </w:rPr>
        <w:instrText>"</w:instrText>
      </w:r>
      <w:r w:rsidR="003C50AC">
        <w:fldChar w:fldCharType="separate"/>
      </w:r>
      <w:r w:rsidRPr="00B361A2">
        <w:rPr>
          <w:rStyle w:val="Hyperlink"/>
          <w:sz w:val="24"/>
          <w:lang w:val="el-GR"/>
        </w:rPr>
        <w:t>http://data.europa.eu/eli/reg/2011/182/oj</w:t>
      </w:r>
      <w:r w:rsidR="003C50AC">
        <w:rPr>
          <w:rStyle w:val="Hyperlink"/>
          <w:sz w:val="24"/>
          <w:lang w:val="el-GR"/>
        </w:rPr>
        <w:fldChar w:fldCharType="end"/>
      </w:r>
      <w:r w:rsidRPr="00B361A2">
        <w:rPr>
          <w:rStyle w:val="Hyperlink"/>
          <w:sz w:val="24"/>
          <w:lang w:val="el-GR"/>
        </w:rPr>
        <w:t>.</w:t>
      </w:r>
    </w:p>
  </w:footnote>
  <w:footnote w:id="3">
    <w:p w14:paraId="70A7929D" w14:textId="1B814FE4" w:rsidR="00F8219C" w:rsidRPr="00B361A2" w:rsidRDefault="00F8219C" w:rsidP="005F2D79">
      <w:pPr>
        <w:pStyle w:val="FootnoteText"/>
        <w:spacing w:line="240" w:lineRule="auto"/>
        <w:ind w:left="567" w:hanging="567"/>
        <w:rPr>
          <w:sz w:val="24"/>
          <w:lang w:val="el-GR"/>
        </w:rPr>
      </w:pPr>
      <w:r w:rsidRPr="00B361A2">
        <w:rPr>
          <w:rStyle w:val="Funotenzeichen"/>
          <w:sz w:val="24"/>
          <w:lang w:val="el-GR"/>
        </w:rPr>
        <w:footnoteRef/>
      </w:r>
      <w:r w:rsidR="00B361A2" w:rsidRPr="00B361A2">
        <w:rPr>
          <w:sz w:val="24"/>
          <w:lang w:val="el-GR"/>
        </w:rPr>
        <w:t xml:space="preserve"> </w:t>
      </w:r>
      <w:r w:rsidR="00B361A2" w:rsidRPr="00B361A2">
        <w:rPr>
          <w:sz w:val="24"/>
          <w:lang w:val="el-GR"/>
        </w:rPr>
        <w:tab/>
      </w:r>
      <w:r w:rsidRPr="00B361A2">
        <w:rPr>
          <w:sz w:val="24"/>
          <w:lang w:val="el-GR"/>
        </w:rPr>
        <w:t xml:space="preserve">Επιστημονική γνώμη της ομάδας της EFSA για τους γενετικώς τροποποιημένους οργανισμούς σχετικά με την αξιολόγηση του γενετικώς τροποποιημένου αραβόσιτου MON 87427 (αίτηση GMFF-2023-21254). Περιοδική έκδοση EFSA 2025·23(5):9380· </w:t>
      </w:r>
      <w:r w:rsidR="003C50AC">
        <w:fldChar w:fldCharType="begin"/>
      </w:r>
      <w:r w:rsidR="003C50AC">
        <w:instrText>HYPERLINK</w:instrText>
      </w:r>
      <w:r w:rsidR="003C50AC" w:rsidRPr="003C50AC">
        <w:rPr>
          <w:lang w:val="el-GR"/>
        </w:rPr>
        <w:instrText xml:space="preserve"> "</w:instrText>
      </w:r>
      <w:r w:rsidR="003C50AC">
        <w:instrText>https</w:instrText>
      </w:r>
      <w:r w:rsidR="003C50AC" w:rsidRPr="003C50AC">
        <w:rPr>
          <w:lang w:val="el-GR"/>
        </w:rPr>
        <w:instrText>://</w:instrText>
      </w:r>
      <w:r w:rsidR="003C50AC">
        <w:instrText>doi</w:instrText>
      </w:r>
      <w:r w:rsidR="003C50AC" w:rsidRPr="003C50AC">
        <w:rPr>
          <w:lang w:val="el-GR"/>
        </w:rPr>
        <w:instrText>.</w:instrText>
      </w:r>
      <w:r w:rsidR="003C50AC">
        <w:instrText>org</w:instrText>
      </w:r>
      <w:r w:rsidR="003C50AC" w:rsidRPr="003C50AC">
        <w:rPr>
          <w:lang w:val="el-GR"/>
        </w:rPr>
        <w:instrText>/10.2903/</w:instrText>
      </w:r>
      <w:r w:rsidR="003C50AC">
        <w:instrText>j</w:instrText>
      </w:r>
      <w:r w:rsidR="003C50AC" w:rsidRPr="003C50AC">
        <w:rPr>
          <w:lang w:val="el-GR"/>
        </w:rPr>
        <w:instrText>.</w:instrText>
      </w:r>
      <w:r w:rsidR="003C50AC">
        <w:instrText>efsa</w:instrText>
      </w:r>
      <w:r w:rsidR="003C50AC" w:rsidRPr="003C50AC">
        <w:rPr>
          <w:lang w:val="el-GR"/>
        </w:rPr>
        <w:instrText>.2025.9380"</w:instrText>
      </w:r>
      <w:r w:rsidR="003C50AC">
        <w:fldChar w:fldCharType="separate"/>
      </w:r>
      <w:r w:rsidRPr="00B361A2">
        <w:rPr>
          <w:rStyle w:val="Hyperlink"/>
          <w:sz w:val="24"/>
          <w:lang w:val="el-GR"/>
        </w:rPr>
        <w:t>https://doi.org/10.2903/j.efsa.2025.9380</w:t>
      </w:r>
      <w:r w:rsidR="003C50AC">
        <w:rPr>
          <w:rStyle w:val="Hyperlink"/>
          <w:sz w:val="24"/>
          <w:lang w:val="el-GR"/>
        </w:rPr>
        <w:fldChar w:fldCharType="end"/>
      </w:r>
      <w:r w:rsidRPr="00B361A2">
        <w:rPr>
          <w:sz w:val="24"/>
          <w:lang w:val="el-GR"/>
        </w:rPr>
        <w:t xml:space="preserve">. </w:t>
      </w:r>
    </w:p>
  </w:footnote>
  <w:footnote w:id="4">
    <w:p w14:paraId="67B08FA9" w14:textId="755A28C7" w:rsidR="00F8219C" w:rsidRPr="00B361A2" w:rsidRDefault="00F8219C" w:rsidP="005F2D79">
      <w:pPr>
        <w:pStyle w:val="FootnoteText"/>
        <w:spacing w:line="240" w:lineRule="auto"/>
        <w:ind w:left="567" w:hanging="567"/>
        <w:rPr>
          <w:color w:val="000000" w:themeColor="text1"/>
          <w:sz w:val="24"/>
          <w:vertAlign w:val="superscript"/>
          <w:lang w:val="el-GR"/>
        </w:rPr>
      </w:pPr>
      <w:r w:rsidRPr="00B361A2">
        <w:rPr>
          <w:rStyle w:val="FootnoteReference"/>
          <w:sz w:val="24"/>
          <w:lang w:val="el-GR"/>
        </w:rPr>
        <w:footnoteRef/>
      </w:r>
      <w:r w:rsidR="00B361A2" w:rsidRPr="00B361A2">
        <w:rPr>
          <w:sz w:val="24"/>
          <w:lang w:val="el-GR"/>
        </w:rPr>
        <w:t xml:space="preserve"> </w:t>
      </w:r>
      <w:r w:rsidR="00B361A2" w:rsidRPr="00B361A2">
        <w:rPr>
          <w:sz w:val="24"/>
          <w:lang w:val="el-GR"/>
        </w:rPr>
        <w:tab/>
      </w:r>
      <w:r w:rsidRPr="00B361A2">
        <w:rPr>
          <w:sz w:val="24"/>
          <w:lang w:val="el-GR"/>
        </w:rPr>
        <w:t>Κατά την όγδοη κοινοβουλευτική περίοδο, το Κοινοβούλιο ενέκρινε 36 ψηφίσματα και, κατά την ένατη κοινοβουλευτική του περίοδο, το Κοινοβούλιο ενέκρινε 38 ψηφίσματα που αντιτίθενται στην έγκριση ΓΤΟ.</w:t>
      </w:r>
      <w:r w:rsidRPr="00B361A2">
        <w:rPr>
          <w:color w:val="000000" w:themeColor="text1"/>
          <w:sz w:val="24"/>
          <w:lang w:val="el-GR"/>
        </w:rPr>
        <w:t xml:space="preserve"> Επιπλέον, κατά τη δέκατη κοινοβουλευτική του περίοδο, το Κοινοβούλιο έχει εγκρίνει τα ακόλουθα ψηφίσματα:</w:t>
      </w:r>
    </w:p>
    <w:p w14:paraId="7B8445B2" w14:textId="1EDB47EA" w:rsidR="00F8219C" w:rsidRPr="00B361A2" w:rsidRDefault="00B361A2" w:rsidP="005F2D79">
      <w:pPr>
        <w:pStyle w:val="FootnoteText"/>
        <w:tabs>
          <w:tab w:val="left" w:pos="567"/>
          <w:tab w:val="left" w:pos="1134"/>
        </w:tabs>
        <w:spacing w:line="240" w:lineRule="auto"/>
        <w:ind w:left="1134" w:hanging="1134"/>
        <w:rPr>
          <w:color w:val="000000" w:themeColor="text1"/>
          <w:sz w:val="24"/>
          <w:vertAlign w:val="superscript"/>
          <w:lang w:val="el-GR"/>
        </w:rPr>
      </w:pPr>
      <w:r w:rsidRPr="00B361A2">
        <w:rPr>
          <w:color w:val="000000" w:themeColor="text1"/>
          <w:sz w:val="24"/>
          <w:lang w:val="el-GR"/>
        </w:rPr>
        <w:t xml:space="preserve"> </w:t>
      </w:r>
      <w:r w:rsidRPr="00B361A2">
        <w:rPr>
          <w:color w:val="000000" w:themeColor="text1"/>
          <w:sz w:val="24"/>
          <w:lang w:val="el-GR"/>
        </w:rPr>
        <w:tab/>
      </w:r>
      <w:r w:rsidR="00F8219C" w:rsidRPr="00B361A2">
        <w:rPr>
          <w:color w:val="000000" w:themeColor="text1"/>
          <w:sz w:val="24"/>
          <w:lang w:val="el-GR"/>
        </w:rPr>
        <w:t>–</w:t>
      </w:r>
      <w:r w:rsidR="00F8219C" w:rsidRPr="00B361A2">
        <w:rPr>
          <w:color w:val="000000" w:themeColor="text1"/>
          <w:sz w:val="24"/>
          <w:lang w:val="el-GR"/>
        </w:rPr>
        <w:tab/>
        <w:t xml:space="preserve">Ψήφισμα του Ευρωπαϊκού Κοινοβουλίου της 26ης Νοεμβρίου 2024 σχετικά με την εκτελεστική απόφαση (ΕΕ) 2024/2628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NK603 σύμφωνα με τον κανονισμό (ΕΚ) αριθ. 1829/2003 του Ευρωπαϊκού Κοινοβουλίου και του Συμβουλίου (ΕΕ C, C/2025/1797, 4.4.2025, ELI: </w:t>
      </w:r>
      <w:r w:rsidR="003C50AC">
        <w:fldChar w:fldCharType="begin"/>
      </w:r>
      <w:r w:rsidR="003C50AC">
        <w:instrText>HYPERLINK</w:instrText>
      </w:r>
      <w:r w:rsidR="003C50AC" w:rsidRPr="003C50AC">
        <w:rPr>
          <w:lang w:val="el-GR"/>
        </w:rPr>
        <w:instrText xml:space="preserve"> "</w:instrText>
      </w:r>
      <w:r w:rsidR="003C50AC">
        <w:instrText>http</w:instrText>
      </w:r>
      <w:r w:rsidR="003C50AC" w:rsidRPr="003C50AC">
        <w:rPr>
          <w:lang w:val="el-GR"/>
        </w:rPr>
        <w:instrText>://</w:instrText>
      </w:r>
      <w:r w:rsidR="003C50AC">
        <w:instrText>data</w:instrText>
      </w:r>
      <w:r w:rsidR="003C50AC" w:rsidRPr="003C50AC">
        <w:rPr>
          <w:lang w:val="el-GR"/>
        </w:rPr>
        <w:instrText>.</w:instrText>
      </w:r>
      <w:r w:rsidR="003C50AC">
        <w:instrText>europa</w:instrText>
      </w:r>
      <w:r w:rsidR="003C50AC" w:rsidRPr="003C50AC">
        <w:rPr>
          <w:lang w:val="el-GR"/>
        </w:rPr>
        <w:instrText>.</w:instrText>
      </w:r>
      <w:r w:rsidR="003C50AC">
        <w:instrText>eu</w:instrText>
      </w:r>
      <w:r w:rsidR="003C50AC" w:rsidRPr="003C50AC">
        <w:rPr>
          <w:lang w:val="el-GR"/>
        </w:rPr>
        <w:instrText>/</w:instrText>
      </w:r>
      <w:r w:rsidR="003C50AC">
        <w:instrText>eli</w:instrText>
      </w:r>
      <w:r w:rsidR="003C50AC" w:rsidRPr="003C50AC">
        <w:rPr>
          <w:lang w:val="el-GR"/>
        </w:rPr>
        <w:instrText>/</w:instrText>
      </w:r>
      <w:r w:rsidR="003C50AC">
        <w:instrText>C</w:instrText>
      </w:r>
      <w:r w:rsidR="003C50AC" w:rsidRPr="003C50AC">
        <w:rPr>
          <w:lang w:val="el-GR"/>
        </w:rPr>
        <w:instrText>/2025/1797/</w:instrText>
      </w:r>
      <w:r w:rsidR="003C50AC">
        <w:instrText>oj</w:instrText>
      </w:r>
      <w:r w:rsidR="003C50AC" w:rsidRPr="003C50AC">
        <w:rPr>
          <w:lang w:val="el-GR"/>
        </w:rPr>
        <w:instrText>"</w:instrText>
      </w:r>
      <w:r w:rsidR="003C50AC">
        <w:fldChar w:fldCharType="separate"/>
      </w:r>
      <w:r w:rsidR="00F8219C" w:rsidRPr="00B361A2">
        <w:rPr>
          <w:rStyle w:val="Hyperlink"/>
          <w:sz w:val="24"/>
          <w:lang w:val="el-GR"/>
        </w:rPr>
        <w:t>http://data.europa.eu/eli/C/2025/1797/oj</w:t>
      </w:r>
      <w:r w:rsidR="003C50AC">
        <w:rPr>
          <w:rStyle w:val="Hyperlink"/>
          <w:sz w:val="24"/>
          <w:lang w:val="el-GR"/>
        </w:rPr>
        <w:fldChar w:fldCharType="end"/>
      </w:r>
      <w:r w:rsidR="00F8219C" w:rsidRPr="00B361A2">
        <w:rPr>
          <w:color w:val="000000" w:themeColor="text1"/>
          <w:sz w:val="24"/>
          <w:lang w:val="el-GR"/>
        </w:rPr>
        <w:t>).</w:t>
      </w:r>
    </w:p>
    <w:p w14:paraId="1C72AECF" w14:textId="5D62ABF4" w:rsidR="00F8219C" w:rsidRPr="00B361A2" w:rsidRDefault="00B361A2" w:rsidP="005F2D79">
      <w:pPr>
        <w:pStyle w:val="FootnoteText"/>
        <w:tabs>
          <w:tab w:val="left" w:pos="567"/>
          <w:tab w:val="left" w:pos="1134"/>
        </w:tabs>
        <w:spacing w:line="240" w:lineRule="auto"/>
        <w:ind w:left="1134" w:hanging="1134"/>
        <w:rPr>
          <w:color w:val="000000" w:themeColor="text1"/>
          <w:sz w:val="24"/>
          <w:vertAlign w:val="superscript"/>
          <w:lang w:val="el-GR"/>
        </w:rPr>
      </w:pPr>
      <w:r w:rsidRPr="00B361A2">
        <w:rPr>
          <w:color w:val="000000" w:themeColor="text1"/>
          <w:sz w:val="24"/>
          <w:lang w:val="el-GR"/>
        </w:rPr>
        <w:t xml:space="preserve"> </w:t>
      </w:r>
      <w:r w:rsidRPr="00B361A2">
        <w:rPr>
          <w:color w:val="000000" w:themeColor="text1"/>
          <w:sz w:val="24"/>
          <w:lang w:val="el-GR"/>
        </w:rPr>
        <w:tab/>
      </w:r>
      <w:r w:rsidR="00F8219C" w:rsidRPr="00B361A2">
        <w:rPr>
          <w:color w:val="000000" w:themeColor="text1"/>
          <w:sz w:val="24"/>
          <w:lang w:val="el-GR"/>
        </w:rPr>
        <w:t>–</w:t>
      </w:r>
      <w:r w:rsidR="00F8219C" w:rsidRPr="00B361A2">
        <w:rPr>
          <w:color w:val="000000" w:themeColor="text1"/>
          <w:sz w:val="24"/>
          <w:lang w:val="el-GR"/>
        </w:rPr>
        <w:tab/>
        <w:t xml:space="preserve">Ψήφισμα του Ευρωπαϊκού Κοινοβουλίου της 26ης Νοεμβρίου 2024 σχετικά με την εκτελεστική απόφαση (ΕΕ) 2024/2627 της Επιτροπής για την έγκριση της διάθεσης στην αγορά προϊόντων που περιέχουν, αποτελούνται ή παράγονται από γενετικώς τροποποιημένο βαμβάκι COT102, σύμφωνα με τον κανονισμό (ΕΚ) αριθ. 1829/2003 του Ευρωπαϊκού Κοινοβουλίου και του Συμβουλίου (ΕΕ C, C/2025/1798, 4.4.2025, ELI: </w:t>
      </w:r>
      <w:hyperlink r:id="rId2" w:history="1">
        <w:r w:rsidR="00F8219C" w:rsidRPr="00B361A2">
          <w:rPr>
            <w:rStyle w:val="Hyperlink"/>
            <w:sz w:val="24"/>
            <w:lang w:val="el-GR"/>
          </w:rPr>
          <w:t>http://data.europa.eu/eli/C/2025/1798/oj</w:t>
        </w:r>
      </w:hyperlink>
      <w:r w:rsidR="00F8219C" w:rsidRPr="00B361A2">
        <w:rPr>
          <w:color w:val="000000" w:themeColor="text1"/>
          <w:sz w:val="24"/>
          <w:lang w:val="el-GR"/>
        </w:rPr>
        <w:t>).</w:t>
      </w:r>
    </w:p>
    <w:p w14:paraId="76A8F976" w14:textId="2D6BA894" w:rsidR="00F8219C" w:rsidRPr="00B361A2" w:rsidRDefault="00B361A2" w:rsidP="005F2D79">
      <w:pPr>
        <w:pStyle w:val="FootnoteText"/>
        <w:tabs>
          <w:tab w:val="left" w:pos="567"/>
          <w:tab w:val="left" w:pos="1134"/>
        </w:tabs>
        <w:spacing w:line="240" w:lineRule="auto"/>
        <w:ind w:left="1134" w:hanging="1134"/>
        <w:rPr>
          <w:color w:val="000000" w:themeColor="text1"/>
          <w:sz w:val="24"/>
          <w:vertAlign w:val="superscript"/>
          <w:lang w:val="el-GR"/>
        </w:rPr>
      </w:pPr>
      <w:r w:rsidRPr="00B361A2">
        <w:rPr>
          <w:color w:val="000000" w:themeColor="text1"/>
          <w:sz w:val="24"/>
          <w:lang w:val="el-GR"/>
        </w:rPr>
        <w:t xml:space="preserve"> </w:t>
      </w:r>
      <w:r w:rsidRPr="00B361A2">
        <w:rPr>
          <w:color w:val="000000" w:themeColor="text1"/>
          <w:sz w:val="24"/>
          <w:lang w:val="el-GR"/>
        </w:rPr>
        <w:tab/>
      </w:r>
      <w:r w:rsidR="00F8219C" w:rsidRPr="00B361A2">
        <w:rPr>
          <w:color w:val="000000" w:themeColor="text1"/>
          <w:sz w:val="24"/>
          <w:lang w:val="el-GR"/>
        </w:rPr>
        <w:t>–</w:t>
      </w:r>
      <w:r w:rsidR="00F8219C" w:rsidRPr="00B361A2">
        <w:rPr>
          <w:color w:val="000000" w:themeColor="text1"/>
          <w:sz w:val="24"/>
          <w:lang w:val="el-GR"/>
        </w:rPr>
        <w:tab/>
        <w:t xml:space="preserve">Ψήφισμα του Ευρωπαϊκού Κοινοβουλίου της 26ης Νοεμβρίου 2024 σχετικά με την εκτελεστική απόφαση (ΕΕ) 2024/2629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MON 88017 × 59122 και από οκτώ από τους επιμέρους συνδυασμούς του σύμφωνα με τον κανονισμό (ΕΚ) αριθ. 1829/2003 του Ευρωπαϊκού Κοινοβουλίου και του Συμβουλίου (ΕΕ C, C/2025/1799, 4.4.2025, ELI: </w:t>
      </w:r>
      <w:hyperlink r:id="rId3" w:history="1">
        <w:r w:rsidR="00F8219C" w:rsidRPr="00B361A2">
          <w:rPr>
            <w:rStyle w:val="Hyperlink"/>
            <w:sz w:val="24"/>
            <w:lang w:val="el-GR"/>
          </w:rPr>
          <w:t>http://data.europa.eu/eli/C/2025/1799/oj</w:t>
        </w:r>
      </w:hyperlink>
      <w:r w:rsidR="00F8219C" w:rsidRPr="00B361A2">
        <w:rPr>
          <w:color w:val="000000" w:themeColor="text1"/>
          <w:sz w:val="24"/>
          <w:lang w:val="el-GR"/>
        </w:rPr>
        <w:t>).</w:t>
      </w:r>
    </w:p>
    <w:p w14:paraId="4B7721E5" w14:textId="162EEFB0" w:rsidR="00F8219C" w:rsidRPr="00B361A2" w:rsidRDefault="00B361A2" w:rsidP="005F2D79">
      <w:pPr>
        <w:pStyle w:val="FootnoteText"/>
        <w:tabs>
          <w:tab w:val="left" w:pos="567"/>
          <w:tab w:val="left" w:pos="1134"/>
        </w:tabs>
        <w:spacing w:line="240" w:lineRule="auto"/>
        <w:ind w:left="1134" w:hanging="1134"/>
        <w:rPr>
          <w:color w:val="000000" w:themeColor="text1"/>
          <w:sz w:val="24"/>
          <w:vertAlign w:val="superscript"/>
          <w:lang w:val="el-GR"/>
        </w:rPr>
      </w:pPr>
      <w:r w:rsidRPr="00B361A2">
        <w:rPr>
          <w:color w:val="000000" w:themeColor="text1"/>
          <w:sz w:val="24"/>
          <w:lang w:val="el-GR"/>
        </w:rPr>
        <w:t xml:space="preserve"> </w:t>
      </w:r>
      <w:r w:rsidRPr="00B361A2">
        <w:rPr>
          <w:color w:val="000000" w:themeColor="text1"/>
          <w:sz w:val="24"/>
          <w:lang w:val="el-GR"/>
        </w:rPr>
        <w:tab/>
      </w:r>
      <w:r w:rsidR="00F8219C" w:rsidRPr="00B361A2">
        <w:rPr>
          <w:color w:val="000000" w:themeColor="text1"/>
          <w:sz w:val="24"/>
          <w:lang w:val="el-GR"/>
        </w:rPr>
        <w:t>–</w:t>
      </w:r>
      <w:r w:rsidR="00F8219C" w:rsidRPr="00B361A2">
        <w:rPr>
          <w:color w:val="000000" w:themeColor="text1"/>
          <w:sz w:val="24"/>
          <w:lang w:val="el-GR"/>
        </w:rPr>
        <w:tab/>
        <w:t xml:space="preserve">Ψήφισμα του Ευρωπαϊκού Κοινοβουλίου της 26ης Νοεμβρίου 2024 σχετικά με την εκτελεστική απόφαση (ΕΕ) 2024/1828 της Επιτροπής για την ανανέωση της έγκρισης της διάθεσης στην αγορά ζωοτροφών που περιέχουν γενετικώς τροποποιημένο αραβόσιτο MON 810 ή αποτελούνται από αυτόν και τροφίμων και ζωοτροφών που παράγονται από γενετικώς τροποποιημένο αραβόσιτο MON 810, σύμφωνα με τον κανονισμό (ΕΚ) αριθ. 1829/2003 του Ευρωπαϊκού Κοινοβουλίου και του Συμβουλίου, και για την κατάργηση της εκτελεστικής απόφασης (ΕΕ) 2017/1207 της Επιτροπής (ΕΕ C, C/2025/1800, 4.4.2025, ELI: </w:t>
      </w:r>
      <w:hyperlink r:id="rId4" w:history="1">
        <w:r w:rsidR="00F8219C" w:rsidRPr="00B361A2">
          <w:rPr>
            <w:rStyle w:val="Hyperlink"/>
            <w:sz w:val="24"/>
            <w:lang w:val="el-GR"/>
          </w:rPr>
          <w:t>http://data.europa.eu/eli/C/2025/1800/oj</w:t>
        </w:r>
      </w:hyperlink>
      <w:r w:rsidR="00F8219C" w:rsidRPr="00B361A2">
        <w:rPr>
          <w:color w:val="000000" w:themeColor="text1"/>
          <w:sz w:val="24"/>
          <w:lang w:val="el-GR"/>
        </w:rPr>
        <w:t>).</w:t>
      </w:r>
    </w:p>
    <w:p w14:paraId="345C3C1D" w14:textId="21ADF613" w:rsidR="00F8219C" w:rsidRPr="00B361A2" w:rsidRDefault="00B361A2" w:rsidP="005F2D79">
      <w:pPr>
        <w:pStyle w:val="FootnoteText"/>
        <w:tabs>
          <w:tab w:val="left" w:pos="567"/>
          <w:tab w:val="left" w:pos="1134"/>
        </w:tabs>
        <w:spacing w:line="240" w:lineRule="auto"/>
        <w:ind w:left="1134" w:hanging="1134"/>
        <w:rPr>
          <w:color w:val="000000" w:themeColor="text1"/>
          <w:sz w:val="24"/>
          <w:vertAlign w:val="superscript"/>
          <w:lang w:val="el-GR"/>
        </w:rPr>
      </w:pPr>
      <w:r w:rsidRPr="00B361A2">
        <w:rPr>
          <w:color w:val="000000" w:themeColor="text1"/>
          <w:sz w:val="24"/>
          <w:lang w:val="el-GR"/>
        </w:rPr>
        <w:t xml:space="preserve"> </w:t>
      </w:r>
      <w:r w:rsidRPr="00B361A2">
        <w:rPr>
          <w:color w:val="000000" w:themeColor="text1"/>
          <w:sz w:val="24"/>
          <w:lang w:val="el-GR"/>
        </w:rPr>
        <w:tab/>
      </w:r>
      <w:r w:rsidR="00F8219C" w:rsidRPr="00B361A2">
        <w:rPr>
          <w:color w:val="000000" w:themeColor="text1"/>
          <w:sz w:val="24"/>
          <w:lang w:val="el-GR"/>
        </w:rPr>
        <w:t>–</w:t>
      </w:r>
      <w:r w:rsidR="00F8219C" w:rsidRPr="00B361A2">
        <w:rPr>
          <w:color w:val="000000" w:themeColor="text1"/>
          <w:sz w:val="24"/>
          <w:lang w:val="el-GR"/>
        </w:rPr>
        <w:tab/>
        <w:t xml:space="preserve">Ψήφισμα του Ευρωπαϊκού Κοινοβουλίου της 26ης Νοεμβρίου 2024 σχετικά με την εκτελεστική απόφαση (ΕΕ) 2024/1822 της Επιτροπής για την έγκριση της διάθεσης στην αγορά προϊόντων που περιέχουν, αποτελούνται ή παράγονται από γενετικώς τροποποιημένο αραβόσιτο DP915635, σύμφωνα με τον κανονισμό (ΕΚ) αριθ. 1829/2003 του Ευρωπαϊκού Κοινοβουλίου και του Συμβουλίου (ΕΕ C, C/2025/1801, 4.4.2025, ELI: </w:t>
      </w:r>
      <w:hyperlink r:id="rId5" w:history="1">
        <w:r w:rsidR="00F8219C" w:rsidRPr="00B361A2">
          <w:rPr>
            <w:rStyle w:val="Hyperlink"/>
            <w:sz w:val="24"/>
            <w:lang w:val="el-GR"/>
          </w:rPr>
          <w:t>http://data.europa.eu/eli/C/2025/1801/oj</w:t>
        </w:r>
      </w:hyperlink>
      <w:r w:rsidR="00F8219C" w:rsidRPr="00B361A2">
        <w:rPr>
          <w:color w:val="000000" w:themeColor="text1"/>
          <w:sz w:val="24"/>
          <w:lang w:val="el-GR"/>
        </w:rPr>
        <w:t>).</w:t>
      </w:r>
    </w:p>
    <w:p w14:paraId="517AE9EB" w14:textId="29C60727" w:rsidR="00F8219C" w:rsidRPr="00B361A2" w:rsidRDefault="00B361A2" w:rsidP="005F2D79">
      <w:pPr>
        <w:pStyle w:val="FootnoteText"/>
        <w:tabs>
          <w:tab w:val="left" w:pos="567"/>
          <w:tab w:val="left" w:pos="1134"/>
        </w:tabs>
        <w:spacing w:line="240" w:lineRule="auto"/>
        <w:ind w:left="1134" w:hanging="1134"/>
        <w:rPr>
          <w:color w:val="000000" w:themeColor="text1"/>
          <w:sz w:val="24"/>
          <w:vertAlign w:val="superscript"/>
          <w:lang w:val="el-GR"/>
        </w:rPr>
      </w:pPr>
      <w:r w:rsidRPr="00B361A2">
        <w:rPr>
          <w:color w:val="000000" w:themeColor="text1"/>
          <w:sz w:val="24"/>
          <w:lang w:val="el-GR"/>
        </w:rPr>
        <w:t xml:space="preserve"> </w:t>
      </w:r>
      <w:r w:rsidRPr="00B361A2">
        <w:rPr>
          <w:color w:val="000000" w:themeColor="text1"/>
          <w:sz w:val="24"/>
          <w:lang w:val="el-GR"/>
        </w:rPr>
        <w:tab/>
      </w:r>
      <w:r w:rsidR="00F8219C" w:rsidRPr="00B361A2">
        <w:rPr>
          <w:color w:val="000000" w:themeColor="text1"/>
          <w:sz w:val="24"/>
          <w:lang w:val="el-GR"/>
        </w:rPr>
        <w:t>–</w:t>
      </w:r>
      <w:r w:rsidR="00F8219C" w:rsidRPr="00B361A2">
        <w:rPr>
          <w:color w:val="000000" w:themeColor="text1"/>
          <w:sz w:val="24"/>
          <w:lang w:val="el-GR"/>
        </w:rPr>
        <w:tab/>
        <w:t xml:space="preserve">Ψήφισμα του Ευρωπαϊκού Κοινοβουλίου της 26ης Νοεμβρίου 2024 σχετικά με την εκτελεστική απόφαση (ΕΕ) 2024/1826 της Επιτροπής για την έγκριση της διάθεσης στην αγορά προϊόντων που περιέχουν, αποτελούνται ή παράγονται από γενετικώς τροποποιημένο αραβόσιτο DP23211, σύμφωνα με τον κανονισμό (ΕΚ) αριθ. 1829/2003 του Ευρωπαϊκού Κοινοβουλίου και του Συμβουλίου (ΕΕ C, C/2025/1802, 4.4.2025, ELI: </w:t>
      </w:r>
      <w:hyperlink r:id="rId6" w:history="1">
        <w:r w:rsidR="00F8219C" w:rsidRPr="00B361A2">
          <w:rPr>
            <w:rStyle w:val="Hyperlink"/>
            <w:sz w:val="24"/>
            <w:lang w:val="el-GR"/>
          </w:rPr>
          <w:t>http://data.europa.eu/eli/C/2025/1802/oj</w:t>
        </w:r>
      </w:hyperlink>
      <w:r w:rsidR="00F8219C" w:rsidRPr="00B361A2">
        <w:rPr>
          <w:color w:val="000000" w:themeColor="text1"/>
          <w:sz w:val="24"/>
          <w:lang w:val="el-GR"/>
        </w:rPr>
        <w:t>).</w:t>
      </w:r>
    </w:p>
    <w:p w14:paraId="736CBDDA" w14:textId="2D0D2B40" w:rsidR="00F8219C" w:rsidRPr="00B361A2" w:rsidRDefault="00B361A2" w:rsidP="005F2D79">
      <w:pPr>
        <w:pStyle w:val="FootnoteText"/>
        <w:tabs>
          <w:tab w:val="left" w:pos="567"/>
          <w:tab w:val="left" w:pos="1134"/>
        </w:tabs>
        <w:spacing w:line="240" w:lineRule="auto"/>
        <w:ind w:left="1134" w:hanging="1134"/>
        <w:rPr>
          <w:color w:val="000000" w:themeColor="text1"/>
          <w:sz w:val="24"/>
          <w:vertAlign w:val="superscript"/>
          <w:lang w:val="el-GR"/>
        </w:rPr>
      </w:pPr>
      <w:r w:rsidRPr="00B361A2">
        <w:rPr>
          <w:color w:val="000000" w:themeColor="text1"/>
          <w:sz w:val="24"/>
          <w:lang w:val="el-GR"/>
        </w:rPr>
        <w:t xml:space="preserve"> </w:t>
      </w:r>
      <w:r w:rsidRPr="00B361A2">
        <w:rPr>
          <w:color w:val="000000" w:themeColor="text1"/>
          <w:sz w:val="24"/>
          <w:lang w:val="el-GR"/>
        </w:rPr>
        <w:tab/>
      </w:r>
      <w:r w:rsidR="00F8219C" w:rsidRPr="00B361A2">
        <w:rPr>
          <w:color w:val="000000" w:themeColor="text1"/>
          <w:sz w:val="24"/>
          <w:lang w:val="el-GR"/>
        </w:rPr>
        <w:t>–</w:t>
      </w:r>
      <w:r w:rsidR="00F8219C" w:rsidRPr="00B361A2">
        <w:rPr>
          <w:color w:val="000000" w:themeColor="text1"/>
          <w:sz w:val="24"/>
          <w:lang w:val="el-GR"/>
        </w:rPr>
        <w:tab/>
        <w:t xml:space="preserve">Ψήφισμα του Ευρωπαϊκού Κοινοβουλίου της 26ης Νοεμβρίου 2024 σχετικά με την εκτελεστική απόφαση (ΕΕ) 2024/2618 της Επιτροπής για την έγκριση της διάθεσης στην αγορά προϊόντων που περιέχουν, αποτελούνται ή παράγονται από γενετικώς τροποποιημένο αραβόσιτο DP202216, σύμφωνα με τον κανονισμό (ΕΚ) αριθ. 1829/2003 του Ευρωπαϊκού Κοινοβουλίου και του Συμβουλίου (ΕΕ C, C/2025/1803, 4.4.2025, ELI: </w:t>
      </w:r>
      <w:hyperlink r:id="rId7" w:history="1">
        <w:r w:rsidR="00F8219C" w:rsidRPr="00B361A2">
          <w:rPr>
            <w:rStyle w:val="Hyperlink"/>
            <w:sz w:val="24"/>
            <w:lang w:val="el-GR"/>
          </w:rPr>
          <w:t>http://data.europa.eu/eli/C/2025/1803/oj</w:t>
        </w:r>
      </w:hyperlink>
      <w:r w:rsidR="00F8219C" w:rsidRPr="00B361A2">
        <w:rPr>
          <w:color w:val="000000" w:themeColor="text1"/>
          <w:sz w:val="24"/>
          <w:lang w:val="el-GR"/>
        </w:rPr>
        <w:t>).</w:t>
      </w:r>
    </w:p>
    <w:p w14:paraId="2DBC3A19" w14:textId="6D41060C" w:rsidR="00F8219C" w:rsidRPr="00B361A2" w:rsidRDefault="00B361A2" w:rsidP="005F2D79">
      <w:pPr>
        <w:pStyle w:val="FootnoteText"/>
        <w:tabs>
          <w:tab w:val="left" w:pos="567"/>
          <w:tab w:val="left" w:pos="1134"/>
        </w:tabs>
        <w:spacing w:line="240" w:lineRule="auto"/>
        <w:ind w:left="1134" w:hanging="1134"/>
        <w:rPr>
          <w:color w:val="000000" w:themeColor="text1"/>
          <w:sz w:val="24"/>
          <w:vertAlign w:val="superscript"/>
          <w:lang w:val="el-GR"/>
        </w:rPr>
      </w:pPr>
      <w:r w:rsidRPr="00B361A2">
        <w:rPr>
          <w:color w:val="000000" w:themeColor="text1"/>
          <w:sz w:val="24"/>
          <w:lang w:val="el-GR"/>
        </w:rPr>
        <w:t xml:space="preserve"> </w:t>
      </w:r>
      <w:r w:rsidRPr="00B361A2">
        <w:rPr>
          <w:color w:val="000000" w:themeColor="text1"/>
          <w:sz w:val="24"/>
          <w:lang w:val="el-GR"/>
        </w:rPr>
        <w:tab/>
      </w:r>
      <w:r w:rsidR="00F8219C" w:rsidRPr="00B361A2">
        <w:rPr>
          <w:color w:val="000000" w:themeColor="text1"/>
          <w:sz w:val="24"/>
          <w:lang w:val="el-GR"/>
        </w:rPr>
        <w:t>–</w:t>
      </w:r>
      <w:r w:rsidR="00F8219C" w:rsidRPr="00B361A2">
        <w:rPr>
          <w:color w:val="000000" w:themeColor="text1"/>
          <w:sz w:val="24"/>
          <w:lang w:val="el-GR"/>
        </w:rPr>
        <w:tab/>
        <w:t xml:space="preserve">Ψήφισμα του Ευρωπαϊκού Κοινοβουλίου της 26ης Νοεμβρίου 2024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94804, σύμφωνα με τον κανονισμό (ΕΚ) αριθ. 1829/2003 του Ευρωπαϊκού Κοινοβουλίου και του Συμβουλίου (ΕΕ C, C/2025/1804, 4.4.2025, ELI: </w:t>
      </w:r>
      <w:hyperlink r:id="rId8" w:history="1">
        <w:r w:rsidR="00F8219C" w:rsidRPr="00B361A2">
          <w:rPr>
            <w:rStyle w:val="Hyperlink"/>
            <w:sz w:val="24"/>
            <w:lang w:val="el-GR"/>
          </w:rPr>
          <w:t>http://data.europa.eu/eli/C/2025/1804/oj</w:t>
        </w:r>
      </w:hyperlink>
      <w:r w:rsidR="00F8219C" w:rsidRPr="00B361A2">
        <w:rPr>
          <w:color w:val="000000" w:themeColor="text1"/>
          <w:sz w:val="24"/>
          <w:lang w:val="el-GR"/>
        </w:rPr>
        <w:t>).</w:t>
      </w:r>
    </w:p>
    <w:p w14:paraId="290DAC1F" w14:textId="7291E55B" w:rsidR="00F8219C" w:rsidRPr="00B361A2" w:rsidRDefault="00B361A2" w:rsidP="005F2D79">
      <w:pPr>
        <w:pStyle w:val="FootnoteText"/>
        <w:tabs>
          <w:tab w:val="left" w:pos="567"/>
          <w:tab w:val="left" w:pos="1134"/>
        </w:tabs>
        <w:spacing w:line="240" w:lineRule="auto"/>
        <w:ind w:left="1134" w:hanging="1134"/>
        <w:rPr>
          <w:sz w:val="24"/>
          <w:vertAlign w:val="superscript"/>
          <w:lang w:val="el-GR"/>
        </w:rPr>
      </w:pPr>
      <w:r w:rsidRPr="00B361A2">
        <w:rPr>
          <w:color w:val="000000" w:themeColor="text1"/>
          <w:sz w:val="24"/>
          <w:lang w:val="el-GR"/>
        </w:rPr>
        <w:t xml:space="preserve"> </w:t>
      </w:r>
      <w:r w:rsidRPr="00B361A2">
        <w:rPr>
          <w:color w:val="000000" w:themeColor="text1"/>
          <w:sz w:val="24"/>
          <w:lang w:val="el-GR"/>
        </w:rPr>
        <w:tab/>
      </w:r>
      <w:r w:rsidR="00F8219C" w:rsidRPr="00B361A2">
        <w:rPr>
          <w:color w:val="000000" w:themeColor="text1"/>
          <w:sz w:val="24"/>
          <w:lang w:val="el-GR"/>
        </w:rPr>
        <w:t>–</w:t>
      </w:r>
      <w:r w:rsidR="00F8219C" w:rsidRPr="00B361A2">
        <w:rPr>
          <w:color w:val="000000" w:themeColor="text1"/>
          <w:sz w:val="24"/>
          <w:lang w:val="el-GR"/>
        </w:rPr>
        <w:tab/>
      </w:r>
      <w:r w:rsidR="00F8219C" w:rsidRPr="00B361A2">
        <w:rPr>
          <w:sz w:val="24"/>
          <w:lang w:val="el-GR"/>
        </w:rPr>
        <w:t xml:space="preserve">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DP910521, σύμφωνα με τον </w:t>
      </w:r>
      <w:r w:rsidR="00F8219C" w:rsidRPr="005F2D79">
        <w:rPr>
          <w:color w:val="000000" w:themeColor="text1"/>
          <w:sz w:val="24"/>
          <w:lang w:val="el-GR"/>
        </w:rPr>
        <w:t>κανονισμό</w:t>
      </w:r>
      <w:r w:rsidR="00F8219C" w:rsidRPr="00B361A2">
        <w:rPr>
          <w:sz w:val="24"/>
          <w:lang w:val="el-GR"/>
        </w:rPr>
        <w:t xml:space="preserve"> (ΕΚ) αριθ. 1829/2003 του Ευρωπαϊκού Κοινοβουλίου και του Συμβουλίου (ΕΕ C, C/2025/2246, 29.4.2025, ELI: </w:t>
      </w:r>
      <w:hyperlink r:id="rId9" w:tooltip="Επιτρέπει πρόσβαση στο έγγραφο μέσω του ELI URI." w:history="1">
        <w:r w:rsidR="00F8219C" w:rsidRPr="00B361A2">
          <w:rPr>
            <w:rStyle w:val="Hyperlink"/>
            <w:sz w:val="24"/>
            <w:lang w:val="el-GR"/>
          </w:rPr>
          <w:t>http://data.europa.eu/eli/C/2025/2246/oj</w:t>
        </w:r>
      </w:hyperlink>
      <w:r w:rsidR="00F8219C" w:rsidRPr="00B361A2">
        <w:rPr>
          <w:sz w:val="24"/>
          <w:lang w:val="el-GR"/>
        </w:rPr>
        <w:t>).</w:t>
      </w:r>
    </w:p>
    <w:p w14:paraId="0C90EF57" w14:textId="6218BC95" w:rsidR="00F8219C" w:rsidRPr="00B361A2" w:rsidRDefault="00B361A2" w:rsidP="005F2D79">
      <w:pPr>
        <w:pStyle w:val="FootnoteText"/>
        <w:tabs>
          <w:tab w:val="left" w:pos="567"/>
          <w:tab w:val="left" w:pos="1134"/>
        </w:tabs>
        <w:spacing w:line="240" w:lineRule="auto"/>
        <w:ind w:left="1134" w:hanging="1134"/>
        <w:rPr>
          <w:sz w:val="24"/>
          <w:vertAlign w:val="superscript"/>
          <w:lang w:val="el-GR"/>
        </w:rPr>
      </w:pPr>
      <w:r w:rsidRPr="00B361A2">
        <w:rPr>
          <w:sz w:val="24"/>
          <w:lang w:val="el-GR"/>
        </w:rPr>
        <w:t xml:space="preserve"> </w:t>
      </w:r>
      <w:r w:rsidRPr="00B361A2">
        <w:rPr>
          <w:sz w:val="24"/>
          <w:lang w:val="el-GR"/>
        </w:rPr>
        <w:tab/>
      </w:r>
      <w:r w:rsidR="00F8219C" w:rsidRPr="00B361A2">
        <w:rPr>
          <w:sz w:val="24"/>
          <w:lang w:val="el-GR"/>
        </w:rPr>
        <w:t>–</w:t>
      </w:r>
      <w:r w:rsidR="00F8219C" w:rsidRPr="00B361A2">
        <w:rPr>
          <w:sz w:val="24"/>
          <w:lang w:val="el-GR"/>
        </w:rPr>
        <w:tab/>
        <w:t xml:space="preserve">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w:t>
      </w:r>
      <w:r w:rsidR="00F8219C" w:rsidRPr="005F2D79">
        <w:rPr>
          <w:color w:val="000000" w:themeColor="text1"/>
          <w:sz w:val="24"/>
          <w:lang w:val="el-GR"/>
        </w:rPr>
        <w:t>παράγονται</w:t>
      </w:r>
      <w:r w:rsidR="00F8219C" w:rsidRPr="00B361A2">
        <w:rPr>
          <w:sz w:val="24"/>
          <w:lang w:val="el-GR"/>
        </w:rPr>
        <w:t xml:space="preserve"> από γενετικώς τροποποιημένο αραβόσιτο MON 95275, σύμφωνα με τον κανονισμό (ΕΚ) αριθ. 1829/2003 του Ευρωπαϊκού Κοινοβουλίου και του Συμβουλίου (ΕΕ C, C/2025/2247, 29.4.2025, ELI: </w:t>
      </w:r>
      <w:hyperlink r:id="rId10" w:tooltip="Επιτρέπει πρόσβαση στο έγγραφο μέσω του ELI URI." w:history="1">
        <w:r w:rsidR="00F8219C" w:rsidRPr="00B361A2">
          <w:rPr>
            <w:rStyle w:val="Hyperlink"/>
            <w:sz w:val="24"/>
            <w:lang w:val="el-GR"/>
          </w:rPr>
          <w:t>http://data.europa.eu/eli/C/2025/2247/oj</w:t>
        </w:r>
      </w:hyperlink>
      <w:r w:rsidR="00F8219C" w:rsidRPr="00B361A2">
        <w:rPr>
          <w:sz w:val="24"/>
          <w:lang w:val="el-GR"/>
        </w:rPr>
        <w:t>).</w:t>
      </w:r>
    </w:p>
    <w:p w14:paraId="2F3A9A6C" w14:textId="7EFDF2A8" w:rsidR="00F8219C" w:rsidRPr="00B361A2" w:rsidRDefault="00B361A2" w:rsidP="005F2D79">
      <w:pPr>
        <w:pStyle w:val="FootnoteText"/>
        <w:tabs>
          <w:tab w:val="left" w:pos="567"/>
          <w:tab w:val="left" w:pos="1134"/>
        </w:tabs>
        <w:spacing w:line="240" w:lineRule="auto"/>
        <w:ind w:left="1134" w:hanging="1134"/>
        <w:rPr>
          <w:sz w:val="24"/>
          <w:vertAlign w:val="superscript"/>
          <w:lang w:val="el-GR"/>
        </w:rPr>
      </w:pPr>
      <w:r w:rsidRPr="00B361A2">
        <w:rPr>
          <w:sz w:val="24"/>
          <w:lang w:val="el-GR"/>
        </w:rPr>
        <w:t xml:space="preserve"> </w:t>
      </w:r>
      <w:r w:rsidRPr="00B361A2">
        <w:rPr>
          <w:sz w:val="24"/>
          <w:lang w:val="el-GR"/>
        </w:rPr>
        <w:tab/>
      </w:r>
      <w:r w:rsidR="00F8219C" w:rsidRPr="00B361A2">
        <w:rPr>
          <w:sz w:val="24"/>
          <w:lang w:val="el-GR"/>
        </w:rPr>
        <w:t>–</w:t>
      </w:r>
      <w:r w:rsidR="00F8219C" w:rsidRPr="00B361A2">
        <w:rPr>
          <w:sz w:val="24"/>
          <w:lang w:val="el-GR"/>
        </w:rPr>
        <w:tab/>
        <w:t xml:space="preserve">Ψήφισμα του Ευρωπαϊκού Κοινοβουλίου της 8ης Μαΐου 2025 σχετικά με το σχέδιο εκτελεστικής απόφασης της Επιτροπής για την </w:t>
      </w:r>
      <w:r w:rsidR="00F8219C" w:rsidRPr="005F2D79">
        <w:rPr>
          <w:color w:val="000000" w:themeColor="text1"/>
          <w:sz w:val="24"/>
          <w:lang w:val="el-GR"/>
        </w:rPr>
        <w:t>έγκριση</w:t>
      </w:r>
      <w:r w:rsidR="00F8219C" w:rsidRPr="00B361A2">
        <w:rPr>
          <w:sz w:val="24"/>
          <w:lang w:val="el-GR"/>
        </w:rPr>
        <w:t xml:space="preserve"> της διάθεσης στην αγορά προϊόντων που περιέχουν, αποτελούνται ή παράγονται από γενετικώς τροποποιημένη σόγια της σειράς MON 87705 × MON 87708 × MON 89788, σύμφωνα με τον κανονισμό (ΕΚ) αριθ. 1829/2003 του Ευρωπαϊκού Κοινοβουλίου και του Συμβουλίου (</w:t>
      </w:r>
      <w:r w:rsidR="00486802">
        <w:rPr>
          <w:sz w:val="24"/>
          <w:lang w:val="el-GR"/>
        </w:rPr>
        <w:t xml:space="preserve">Κείμενα που εγκρίθηκαν, </w:t>
      </w:r>
      <w:r w:rsidR="00F8219C" w:rsidRPr="00B361A2">
        <w:rPr>
          <w:sz w:val="24"/>
          <w:lang w:val="el-GR"/>
        </w:rPr>
        <w:t>P10_TA(2025)0106).</w:t>
      </w:r>
    </w:p>
    <w:p w14:paraId="7642F573" w14:textId="57EEBC48" w:rsidR="00F8219C" w:rsidRPr="00B361A2" w:rsidRDefault="00B361A2" w:rsidP="005F2D79">
      <w:pPr>
        <w:pStyle w:val="FootnoteText"/>
        <w:tabs>
          <w:tab w:val="left" w:pos="567"/>
          <w:tab w:val="left" w:pos="1134"/>
        </w:tabs>
        <w:spacing w:line="240" w:lineRule="auto"/>
        <w:ind w:left="1134" w:hanging="1134"/>
        <w:rPr>
          <w:sz w:val="24"/>
          <w:lang w:val="el-GR"/>
        </w:rPr>
      </w:pPr>
      <w:r w:rsidRPr="00B361A2">
        <w:rPr>
          <w:sz w:val="24"/>
          <w:lang w:val="el-GR"/>
        </w:rPr>
        <w:t xml:space="preserve"> </w:t>
      </w:r>
      <w:r w:rsidRPr="00B361A2">
        <w:rPr>
          <w:sz w:val="24"/>
          <w:lang w:val="el-GR"/>
        </w:rPr>
        <w:tab/>
      </w:r>
      <w:r w:rsidR="00F8219C" w:rsidRPr="00B361A2">
        <w:rPr>
          <w:sz w:val="24"/>
          <w:lang w:val="el-GR"/>
        </w:rPr>
        <w:t>–</w:t>
      </w:r>
      <w:r w:rsidR="00F8219C" w:rsidRPr="00B361A2">
        <w:rPr>
          <w:sz w:val="24"/>
          <w:lang w:val="el-GR"/>
        </w:rPr>
        <w:tab/>
        <w:t xml:space="preserve">Ψήφισμα του Ευρωπαϊκού Κοινοβουλίου της 8ης Οκτωβρίου 2025 σχετικά με την εκτελεστική απόφαση (ΕΕ) 2025/1898 της Επιτροπής της 22ας Σεπτεμβρίου 2025 για την έγκριση της διάθεσης στην αγορά προϊόντων που περιέχουν, αποτελούνται ή παράγονται από γενετικώς τροποποιημένο αραβόσιτο </w:t>
      </w:r>
      <w:r w:rsidR="00F8219C" w:rsidRPr="005F2D79">
        <w:rPr>
          <w:color w:val="000000" w:themeColor="text1"/>
          <w:sz w:val="24"/>
          <w:lang w:val="el-GR"/>
        </w:rPr>
        <w:t>DP51291</w:t>
      </w:r>
      <w:r w:rsidR="00F8219C" w:rsidRPr="00B361A2">
        <w:rPr>
          <w:sz w:val="24"/>
          <w:lang w:val="el-GR"/>
        </w:rPr>
        <w:t xml:space="preserve"> σύμφωνα με τον κανονισμό (ΕΚ) αριθ. 1829/2003 του Ευρωπαϊκού Κοινοβουλίου και του Συμβουλίου </w:t>
      </w:r>
      <w:r w:rsidR="00486802">
        <w:rPr>
          <w:sz w:val="24"/>
          <w:lang w:val="el-GR"/>
        </w:rPr>
        <w:t xml:space="preserve">(Κείμενα που εγκρίθηκαν, </w:t>
      </w:r>
      <w:r w:rsidR="00F8219C" w:rsidRPr="00B361A2">
        <w:rPr>
          <w:sz w:val="24"/>
          <w:lang w:val="el-GR"/>
        </w:rPr>
        <w:t>P10_TA(2025)0222</w:t>
      </w:r>
      <w:r w:rsidR="00486802">
        <w:rPr>
          <w:sz w:val="24"/>
          <w:lang w:val="el-GR"/>
        </w:rPr>
        <w:t>)</w:t>
      </w:r>
      <w:r w:rsidR="00F8219C" w:rsidRPr="00B361A2">
        <w:rPr>
          <w:sz w:val="24"/>
          <w:lang w:val="el-GR"/>
        </w:rPr>
        <w:t>.</w:t>
      </w:r>
    </w:p>
  </w:footnote>
  <w:footnote w:id="5">
    <w:p w14:paraId="01CF4347" w14:textId="7AA305FE" w:rsidR="00F8219C" w:rsidRPr="00B361A2" w:rsidRDefault="00F8219C" w:rsidP="005F2D79">
      <w:pPr>
        <w:pStyle w:val="FootnoteText"/>
        <w:spacing w:line="240" w:lineRule="auto"/>
        <w:ind w:left="567" w:hanging="567"/>
        <w:rPr>
          <w:sz w:val="24"/>
          <w:lang w:val="el-GR"/>
        </w:rPr>
      </w:pPr>
      <w:r w:rsidRPr="00B361A2">
        <w:rPr>
          <w:rStyle w:val="FootnoteReference"/>
          <w:sz w:val="24"/>
          <w:lang w:val="el-GR"/>
        </w:rPr>
        <w:footnoteRef/>
      </w:r>
      <w:r w:rsidR="00B361A2" w:rsidRPr="00B361A2">
        <w:rPr>
          <w:sz w:val="24"/>
          <w:lang w:val="el-GR"/>
        </w:rPr>
        <w:t xml:space="preserve"> </w:t>
      </w:r>
      <w:r w:rsidR="00B361A2" w:rsidRPr="00B361A2">
        <w:rPr>
          <w:sz w:val="24"/>
          <w:lang w:val="el-GR"/>
        </w:rPr>
        <w:tab/>
      </w:r>
      <w:r w:rsidRPr="00B361A2">
        <w:rPr>
          <w:sz w:val="24"/>
          <w:lang w:val="el-GR"/>
        </w:rPr>
        <w:t xml:space="preserve">ΕΕ L 322 της 8.12.2015, σ. 67, ELI: </w:t>
      </w:r>
      <w:r w:rsidR="003C50AC">
        <w:fldChar w:fldCharType="begin"/>
      </w:r>
      <w:r w:rsidR="003C50AC">
        <w:instrText>HYPERLINK</w:instrText>
      </w:r>
      <w:r w:rsidR="003C50AC" w:rsidRPr="003C50AC">
        <w:rPr>
          <w:lang w:val="el-GR"/>
        </w:rPr>
        <w:instrText xml:space="preserve"> "</w:instrText>
      </w:r>
      <w:r w:rsidR="003C50AC">
        <w:instrText>http</w:instrText>
      </w:r>
      <w:r w:rsidR="003C50AC" w:rsidRPr="003C50AC">
        <w:rPr>
          <w:lang w:val="el-GR"/>
        </w:rPr>
        <w:instrText>://</w:instrText>
      </w:r>
      <w:r w:rsidR="003C50AC">
        <w:instrText>data</w:instrText>
      </w:r>
      <w:r w:rsidR="003C50AC" w:rsidRPr="003C50AC">
        <w:rPr>
          <w:lang w:val="el-GR"/>
        </w:rPr>
        <w:instrText>.</w:instrText>
      </w:r>
      <w:r w:rsidR="003C50AC">
        <w:instrText>europa</w:instrText>
      </w:r>
      <w:r w:rsidR="003C50AC" w:rsidRPr="003C50AC">
        <w:rPr>
          <w:lang w:val="el-GR"/>
        </w:rPr>
        <w:instrText>.</w:instrText>
      </w:r>
      <w:r w:rsidR="003C50AC">
        <w:instrText>eu</w:instrText>
      </w:r>
      <w:r w:rsidR="003C50AC" w:rsidRPr="003C50AC">
        <w:rPr>
          <w:lang w:val="el-GR"/>
        </w:rPr>
        <w:instrText>/</w:instrText>
      </w:r>
      <w:r w:rsidR="003C50AC">
        <w:instrText>eli</w:instrText>
      </w:r>
      <w:r w:rsidR="003C50AC" w:rsidRPr="003C50AC">
        <w:rPr>
          <w:lang w:val="el-GR"/>
        </w:rPr>
        <w:instrText>/</w:instrText>
      </w:r>
      <w:r w:rsidR="003C50AC">
        <w:instrText>dec</w:instrText>
      </w:r>
      <w:r w:rsidR="003C50AC" w:rsidRPr="003C50AC">
        <w:rPr>
          <w:lang w:val="el-GR"/>
        </w:rPr>
        <w:instrText>_</w:instrText>
      </w:r>
      <w:r w:rsidR="003C50AC">
        <w:instrText>impl</w:instrText>
      </w:r>
      <w:r w:rsidR="003C50AC" w:rsidRPr="003C50AC">
        <w:rPr>
          <w:lang w:val="el-GR"/>
        </w:rPr>
        <w:instrText>/2015/2281/</w:instrText>
      </w:r>
      <w:r w:rsidR="003C50AC">
        <w:instrText>oj</w:instrText>
      </w:r>
      <w:r w:rsidR="003C50AC" w:rsidRPr="003C50AC">
        <w:rPr>
          <w:lang w:val="el-GR"/>
        </w:rPr>
        <w:instrText>"</w:instrText>
      </w:r>
      <w:r w:rsidR="003C50AC">
        <w:fldChar w:fldCharType="separate"/>
      </w:r>
      <w:r w:rsidRPr="00B361A2">
        <w:rPr>
          <w:rStyle w:val="Hyperlink"/>
          <w:sz w:val="24"/>
          <w:lang w:val="el-GR"/>
        </w:rPr>
        <w:t>http://data.europa.eu/eli/dec_impl/2015/2281/oj</w:t>
      </w:r>
      <w:r w:rsidR="003C50AC">
        <w:rPr>
          <w:rStyle w:val="Hyperlink"/>
          <w:sz w:val="24"/>
          <w:lang w:val="el-GR"/>
        </w:rPr>
        <w:fldChar w:fldCharType="end"/>
      </w:r>
      <w:r w:rsidRPr="00B361A2">
        <w:rPr>
          <w:sz w:val="24"/>
          <w:lang w:val="el-GR"/>
        </w:rPr>
        <w:t>.</w:t>
      </w:r>
    </w:p>
  </w:footnote>
  <w:footnote w:id="6">
    <w:p w14:paraId="0754B012" w14:textId="3FB8703A" w:rsidR="00F8219C" w:rsidRPr="00B361A2" w:rsidRDefault="00F8219C" w:rsidP="005F2D79">
      <w:pPr>
        <w:pStyle w:val="FootnoteText"/>
        <w:spacing w:line="240" w:lineRule="auto"/>
        <w:ind w:left="567" w:hanging="567"/>
        <w:rPr>
          <w:sz w:val="24"/>
          <w:lang w:val="el-GR"/>
        </w:rPr>
      </w:pPr>
      <w:r w:rsidRPr="00B361A2">
        <w:rPr>
          <w:rStyle w:val="FootnoteReference"/>
          <w:sz w:val="24"/>
          <w:lang w:val="el-GR"/>
        </w:rPr>
        <w:footnoteRef/>
      </w:r>
      <w:r w:rsidR="00B361A2" w:rsidRPr="00B361A2">
        <w:rPr>
          <w:sz w:val="24"/>
          <w:lang w:val="el-GR"/>
        </w:rPr>
        <w:t xml:space="preserve"> </w:t>
      </w:r>
      <w:r w:rsidR="00B361A2" w:rsidRPr="00B361A2">
        <w:rPr>
          <w:sz w:val="24"/>
          <w:lang w:val="el-GR"/>
        </w:rPr>
        <w:tab/>
      </w:r>
      <w:r w:rsidRPr="00B361A2">
        <w:rPr>
          <w:sz w:val="24"/>
          <w:lang w:val="el-GR"/>
        </w:rPr>
        <w:t>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L 31 της 1.2.2002, σ. 1, ELI: </w:t>
      </w:r>
      <w:r w:rsidR="003C50AC">
        <w:fldChar w:fldCharType="begin"/>
      </w:r>
      <w:r w:rsidR="003C50AC">
        <w:instrText>HYPERLINK</w:instrText>
      </w:r>
      <w:r w:rsidR="003C50AC" w:rsidRPr="003C50AC">
        <w:rPr>
          <w:lang w:val="el-GR"/>
        </w:rPr>
        <w:instrText xml:space="preserve"> "</w:instrText>
      </w:r>
      <w:r w:rsidR="003C50AC">
        <w:instrText>http</w:instrText>
      </w:r>
      <w:r w:rsidR="003C50AC" w:rsidRPr="003C50AC">
        <w:rPr>
          <w:lang w:val="el-GR"/>
        </w:rPr>
        <w:instrText>://</w:instrText>
      </w:r>
      <w:r w:rsidR="003C50AC">
        <w:instrText>data</w:instrText>
      </w:r>
      <w:r w:rsidR="003C50AC" w:rsidRPr="003C50AC">
        <w:rPr>
          <w:lang w:val="el-GR"/>
        </w:rPr>
        <w:instrText>.</w:instrText>
      </w:r>
      <w:r w:rsidR="003C50AC">
        <w:instrText>europa</w:instrText>
      </w:r>
      <w:r w:rsidR="003C50AC" w:rsidRPr="003C50AC">
        <w:rPr>
          <w:lang w:val="el-GR"/>
        </w:rPr>
        <w:instrText>.</w:instrText>
      </w:r>
      <w:r w:rsidR="003C50AC">
        <w:instrText>eu</w:instrText>
      </w:r>
      <w:r w:rsidR="003C50AC" w:rsidRPr="003C50AC">
        <w:rPr>
          <w:lang w:val="el-GR"/>
        </w:rPr>
        <w:instrText>/</w:instrText>
      </w:r>
      <w:r w:rsidR="003C50AC">
        <w:instrText>eli</w:instrText>
      </w:r>
      <w:r w:rsidR="003C50AC" w:rsidRPr="003C50AC">
        <w:rPr>
          <w:lang w:val="el-GR"/>
        </w:rPr>
        <w:instrText>/</w:instrText>
      </w:r>
      <w:r w:rsidR="003C50AC">
        <w:instrText>reg</w:instrText>
      </w:r>
      <w:r w:rsidR="003C50AC" w:rsidRPr="003C50AC">
        <w:rPr>
          <w:lang w:val="el-GR"/>
        </w:rPr>
        <w:instrText>/2002/178/</w:instrText>
      </w:r>
      <w:r w:rsidR="003C50AC">
        <w:instrText>oj</w:instrText>
      </w:r>
      <w:r w:rsidR="003C50AC" w:rsidRPr="003C50AC">
        <w:rPr>
          <w:lang w:val="el-GR"/>
        </w:rPr>
        <w:instrText>" \</w:instrText>
      </w:r>
      <w:r w:rsidR="003C50AC">
        <w:instrText>t</w:instrText>
      </w:r>
      <w:r w:rsidR="003C50AC" w:rsidRPr="003C50AC">
        <w:rPr>
          <w:lang w:val="el-GR"/>
        </w:rPr>
        <w:instrText xml:space="preserve"> "</w:instrText>
      </w:r>
      <w:r w:rsidR="003C50AC">
        <w:instrText>Gives</w:instrText>
      </w:r>
      <w:r w:rsidR="003C50AC" w:rsidRPr="003C50AC">
        <w:rPr>
          <w:lang w:val="el-GR"/>
        </w:rPr>
        <w:instrText>%20</w:instrText>
      </w:r>
      <w:r w:rsidR="003C50AC">
        <w:instrText>access</w:instrText>
      </w:r>
      <w:r w:rsidR="003C50AC" w:rsidRPr="003C50AC">
        <w:rPr>
          <w:lang w:val="el-GR"/>
        </w:rPr>
        <w:instrText>%20</w:instrText>
      </w:r>
      <w:r w:rsidR="003C50AC">
        <w:instrText>to</w:instrText>
      </w:r>
      <w:r w:rsidR="003C50AC" w:rsidRPr="003C50AC">
        <w:rPr>
          <w:lang w:val="el-GR"/>
        </w:rPr>
        <w:instrText>%20</w:instrText>
      </w:r>
      <w:r w:rsidR="003C50AC">
        <w:instrText>this</w:instrText>
      </w:r>
      <w:r w:rsidR="003C50AC" w:rsidRPr="003C50AC">
        <w:rPr>
          <w:lang w:val="el-GR"/>
        </w:rPr>
        <w:instrText>%20</w:instrText>
      </w:r>
      <w:r w:rsidR="003C50AC">
        <w:instrText>document</w:instrText>
      </w:r>
      <w:r w:rsidR="003C50AC" w:rsidRPr="003C50AC">
        <w:rPr>
          <w:lang w:val="el-GR"/>
        </w:rPr>
        <w:instrText>%20</w:instrText>
      </w:r>
      <w:r w:rsidR="003C50AC">
        <w:instrText>through</w:instrText>
      </w:r>
      <w:r w:rsidR="003C50AC" w:rsidRPr="003C50AC">
        <w:rPr>
          <w:lang w:val="el-GR"/>
        </w:rPr>
        <w:instrText>%20</w:instrText>
      </w:r>
      <w:r w:rsidR="003C50AC">
        <w:instrText>its</w:instrText>
      </w:r>
      <w:r w:rsidR="003C50AC" w:rsidRPr="003C50AC">
        <w:rPr>
          <w:lang w:val="el-GR"/>
        </w:rPr>
        <w:instrText>%20</w:instrText>
      </w:r>
      <w:r w:rsidR="003C50AC">
        <w:instrText>ELI</w:instrText>
      </w:r>
      <w:r w:rsidR="003C50AC" w:rsidRPr="003C50AC">
        <w:rPr>
          <w:lang w:val="el-GR"/>
        </w:rPr>
        <w:instrText>%20</w:instrText>
      </w:r>
      <w:r w:rsidR="003C50AC">
        <w:instrText>URI</w:instrText>
      </w:r>
      <w:r w:rsidR="003C50AC" w:rsidRPr="003C50AC">
        <w:rPr>
          <w:lang w:val="el-GR"/>
        </w:rPr>
        <w:instrText>."</w:instrText>
      </w:r>
      <w:r w:rsidR="003C50AC">
        <w:fldChar w:fldCharType="separate"/>
      </w:r>
      <w:r w:rsidRPr="00B361A2">
        <w:rPr>
          <w:rStyle w:val="Hyperlink"/>
          <w:sz w:val="24"/>
          <w:lang w:val="el-GR"/>
        </w:rPr>
        <w:t>http://data.europa.eu/eli/reg/2002/178/oj</w:t>
      </w:r>
      <w:r w:rsidR="003C50AC">
        <w:rPr>
          <w:rStyle w:val="Hyperlink"/>
          <w:sz w:val="24"/>
          <w:lang w:val="el-GR"/>
        </w:rPr>
        <w:fldChar w:fldCharType="end"/>
      </w:r>
      <w:r w:rsidRPr="00B361A2">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2A960" w14:textId="77777777" w:rsidR="00064002" w:rsidRPr="00B361A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909E5" w14:textId="77777777" w:rsidR="00064002" w:rsidRPr="00B361A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1E92E" w14:textId="77777777" w:rsidR="00064002" w:rsidRPr="00B361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33735561">
    <w:abstractNumId w:val="9"/>
  </w:num>
  <w:num w:numId="2" w16cid:durableId="1315598494">
    <w:abstractNumId w:val="9"/>
  </w:num>
  <w:num w:numId="3" w16cid:durableId="1722514010">
    <w:abstractNumId w:val="7"/>
  </w:num>
  <w:num w:numId="4" w16cid:durableId="1866093094">
    <w:abstractNumId w:val="7"/>
  </w:num>
  <w:num w:numId="5" w16cid:durableId="1843357059">
    <w:abstractNumId w:val="6"/>
  </w:num>
  <w:num w:numId="6" w16cid:durableId="2093894510">
    <w:abstractNumId w:val="6"/>
  </w:num>
  <w:num w:numId="7" w16cid:durableId="1316688988">
    <w:abstractNumId w:val="5"/>
  </w:num>
  <w:num w:numId="8" w16cid:durableId="1404335568">
    <w:abstractNumId w:val="5"/>
  </w:num>
  <w:num w:numId="9" w16cid:durableId="16271821">
    <w:abstractNumId w:val="4"/>
  </w:num>
  <w:num w:numId="10" w16cid:durableId="335809288">
    <w:abstractNumId w:val="4"/>
  </w:num>
  <w:num w:numId="11" w16cid:durableId="1314523736">
    <w:abstractNumId w:val="8"/>
  </w:num>
  <w:num w:numId="12" w16cid:durableId="1675843811">
    <w:abstractNumId w:val="8"/>
  </w:num>
  <w:num w:numId="13" w16cid:durableId="848638128">
    <w:abstractNumId w:val="3"/>
  </w:num>
  <w:num w:numId="14" w16cid:durableId="1332369693">
    <w:abstractNumId w:val="3"/>
  </w:num>
  <w:num w:numId="15" w16cid:durableId="1041438317">
    <w:abstractNumId w:val="2"/>
  </w:num>
  <w:num w:numId="16" w16cid:durableId="569970333">
    <w:abstractNumId w:val="2"/>
  </w:num>
  <w:num w:numId="17" w16cid:durableId="1625190334">
    <w:abstractNumId w:val="1"/>
  </w:num>
  <w:num w:numId="18" w16cid:durableId="592587752">
    <w:abstractNumId w:val="1"/>
  </w:num>
  <w:num w:numId="19" w16cid:durableId="2008970825">
    <w:abstractNumId w:val="0"/>
  </w:num>
  <w:num w:numId="20" w16cid:durableId="1143233082">
    <w:abstractNumId w:val="0"/>
  </w:num>
  <w:num w:numId="21" w16cid:durableId="1816483392">
    <w:abstractNumId w:val="9"/>
  </w:num>
  <w:num w:numId="22" w16cid:durableId="1857965236">
    <w:abstractNumId w:val="7"/>
  </w:num>
  <w:num w:numId="23" w16cid:durableId="1031229385">
    <w:abstractNumId w:val="6"/>
  </w:num>
  <w:num w:numId="24" w16cid:durableId="1383794072">
    <w:abstractNumId w:val="5"/>
  </w:num>
  <w:num w:numId="25" w16cid:durableId="2100247401">
    <w:abstractNumId w:val="4"/>
  </w:num>
  <w:num w:numId="26" w16cid:durableId="1505437778">
    <w:abstractNumId w:val="8"/>
  </w:num>
  <w:num w:numId="27" w16cid:durableId="1345014019">
    <w:abstractNumId w:val="3"/>
  </w:num>
  <w:num w:numId="28" w16cid:durableId="121927024">
    <w:abstractNumId w:val="2"/>
  </w:num>
  <w:num w:numId="29" w16cid:durableId="299237685">
    <w:abstractNumId w:val="1"/>
  </w:num>
  <w:num w:numId="30" w16cid:durableId="824857979">
    <w:abstractNumId w:val="0"/>
  </w:num>
  <w:num w:numId="31" w16cid:durableId="355271877">
    <w:abstractNumId w:val="9"/>
  </w:num>
  <w:num w:numId="32" w16cid:durableId="1628046786">
    <w:abstractNumId w:val="7"/>
  </w:num>
  <w:num w:numId="33" w16cid:durableId="594020227">
    <w:abstractNumId w:val="6"/>
  </w:num>
  <w:num w:numId="34" w16cid:durableId="1995067420">
    <w:abstractNumId w:val="5"/>
  </w:num>
  <w:num w:numId="35" w16cid:durableId="1636180713">
    <w:abstractNumId w:val="4"/>
  </w:num>
  <w:num w:numId="36" w16cid:durableId="573588444">
    <w:abstractNumId w:val="8"/>
  </w:num>
  <w:num w:numId="37" w16cid:durableId="2067027678">
    <w:abstractNumId w:val="3"/>
  </w:num>
  <w:num w:numId="38" w16cid:durableId="449709321">
    <w:abstractNumId w:val="2"/>
  </w:num>
  <w:num w:numId="39" w16cid:durableId="1283340333">
    <w:abstractNumId w:val="1"/>
  </w:num>
  <w:num w:numId="40" w16cid:durableId="98568819">
    <w:abstractNumId w:val="0"/>
  </w:num>
  <w:num w:numId="41" w16cid:durableId="1912693112">
    <w:abstractNumId w:val="10"/>
  </w:num>
  <w:num w:numId="42" w16cid:durableId="751509917">
    <w:abstractNumId w:val="10"/>
  </w:num>
  <w:num w:numId="43" w16cid:durableId="1440101384">
    <w:abstractNumId w:val="10"/>
  </w:num>
  <w:num w:numId="44" w16cid:durableId="16927587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1/2025"/>
    <w:docVar w:name="dvlangue" w:val="EL"/>
    <w:docVar w:name="dvnumam" w:val="0"/>
    <w:docVar w:name="dvpe" w:val="778.113"/>
    <w:docVar w:name="dvtitre" w:val="Απόφαση του Ευρωπαϊκού Κοινοβουλίου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7427, σύμφωνα με τον κανονισμό αριθ. 1829/2003 του Ευρωπαϊκού Κοινοβουλίου και του Συμβουλίου(D109634/01 – 2025/2897(RSP))"/>
  </w:docVars>
  <w:rsids>
    <w:rsidRoot w:val="003031F1"/>
    <w:rsid w:val="00002272"/>
    <w:rsid w:val="00064002"/>
    <w:rsid w:val="000677B9"/>
    <w:rsid w:val="000831BA"/>
    <w:rsid w:val="000A42CC"/>
    <w:rsid w:val="000E7DD9"/>
    <w:rsid w:val="0010095E"/>
    <w:rsid w:val="00125B37"/>
    <w:rsid w:val="00187494"/>
    <w:rsid w:val="001B0FF0"/>
    <w:rsid w:val="001F32AE"/>
    <w:rsid w:val="002767FF"/>
    <w:rsid w:val="002B18FE"/>
    <w:rsid w:val="002B5493"/>
    <w:rsid w:val="003031F1"/>
    <w:rsid w:val="00343214"/>
    <w:rsid w:val="00361C00"/>
    <w:rsid w:val="00395FA1"/>
    <w:rsid w:val="003C50AC"/>
    <w:rsid w:val="003E15D4"/>
    <w:rsid w:val="00411CCE"/>
    <w:rsid w:val="0041666E"/>
    <w:rsid w:val="00421060"/>
    <w:rsid w:val="00471C19"/>
    <w:rsid w:val="004867E3"/>
    <w:rsid w:val="00486802"/>
    <w:rsid w:val="00494A28"/>
    <w:rsid w:val="004C0004"/>
    <w:rsid w:val="004C5D52"/>
    <w:rsid w:val="0050519A"/>
    <w:rsid w:val="005072A1"/>
    <w:rsid w:val="00514517"/>
    <w:rsid w:val="00545827"/>
    <w:rsid w:val="00560270"/>
    <w:rsid w:val="005C2568"/>
    <w:rsid w:val="005F1B17"/>
    <w:rsid w:val="005F2D79"/>
    <w:rsid w:val="006037C0"/>
    <w:rsid w:val="00652954"/>
    <w:rsid w:val="006631B6"/>
    <w:rsid w:val="00680577"/>
    <w:rsid w:val="00681882"/>
    <w:rsid w:val="006F74FA"/>
    <w:rsid w:val="007054D9"/>
    <w:rsid w:val="0072160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7D1F"/>
    <w:rsid w:val="00A1687D"/>
    <w:rsid w:val="00A37923"/>
    <w:rsid w:val="00A43E52"/>
    <w:rsid w:val="00A4678D"/>
    <w:rsid w:val="00A778C7"/>
    <w:rsid w:val="00AB441E"/>
    <w:rsid w:val="00AB6293"/>
    <w:rsid w:val="00AE0928"/>
    <w:rsid w:val="00AF3B82"/>
    <w:rsid w:val="00B12E95"/>
    <w:rsid w:val="00B22876"/>
    <w:rsid w:val="00B361A2"/>
    <w:rsid w:val="00B558F0"/>
    <w:rsid w:val="00BD48FE"/>
    <w:rsid w:val="00BD7BD8"/>
    <w:rsid w:val="00BE6ADC"/>
    <w:rsid w:val="00C05BFE"/>
    <w:rsid w:val="00C23CD4"/>
    <w:rsid w:val="00C61C0C"/>
    <w:rsid w:val="00C941CB"/>
    <w:rsid w:val="00CC2357"/>
    <w:rsid w:val="00CF071A"/>
    <w:rsid w:val="00D058B8"/>
    <w:rsid w:val="00D36D6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219C"/>
    <w:rsid w:val="00F87713"/>
    <w:rsid w:val="00F91F9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67528B"/>
  <w15:chartTrackingRefBased/>
  <w15:docId w15:val="{7C3FF1AF-4D26-4EA3-B755-C6F96C024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8219C"/>
    <w:pPr>
      <w:spacing w:before="480" w:after="240"/>
    </w:pPr>
  </w:style>
  <w:style w:type="paragraph" w:customStyle="1" w:styleId="NormalHanging12a">
    <w:name w:val="NormalHanging12a"/>
    <w:basedOn w:val="Normal"/>
    <w:rsid w:val="00F8219C"/>
    <w:pPr>
      <w:spacing w:after="240"/>
      <w:ind w:left="567" w:hanging="567"/>
    </w:pPr>
  </w:style>
  <w:style w:type="paragraph" w:customStyle="1" w:styleId="NormalBold">
    <w:name w:val="NormalBold"/>
    <w:basedOn w:val="Normal"/>
    <w:rsid w:val="00F8219C"/>
    <w:rPr>
      <w:b/>
    </w:rPr>
  </w:style>
  <w:style w:type="character" w:styleId="Hyperlink">
    <w:name w:val="Hyperlink"/>
    <w:basedOn w:val="DefaultParagraphFont"/>
    <w:uiPriority w:val="99"/>
    <w:rsid w:val="00F8219C"/>
    <w:rPr>
      <w:color w:val="0563C1" w:themeColor="hyperlink"/>
      <w:u w:val="single"/>
    </w:rPr>
  </w:style>
  <w:style w:type="character" w:customStyle="1" w:styleId="Funotenzeichen">
    <w:name w:val="Fußnotenzeichen"/>
    <w:basedOn w:val="DefaultParagraphFont"/>
    <w:qFormat/>
    <w:rsid w:val="00F8219C"/>
    <w:rPr>
      <w:rFonts w:cs="Times New Roman"/>
      <w:vertAlign w:val="superscript"/>
    </w:rPr>
  </w:style>
  <w:style w:type="paragraph" w:styleId="Revision">
    <w:name w:val="Revision"/>
    <w:hidden/>
    <w:uiPriority w:val="99"/>
    <w:semiHidden/>
    <w:rsid w:val="00486802"/>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4/oj" TargetMode="External"/><Relationship Id="rId3" Type="http://schemas.openxmlformats.org/officeDocument/2006/relationships/hyperlink" Target="http://data.europa.eu/eli/C/2025/1799/oj" TargetMode="External"/><Relationship Id="rId7" Type="http://schemas.openxmlformats.org/officeDocument/2006/relationships/hyperlink" Target="http://data.europa.eu/eli/C/2025/1803/oj" TargetMode="External"/><Relationship Id="rId2" Type="http://schemas.openxmlformats.org/officeDocument/2006/relationships/hyperlink" Target="http://data.europa.eu/eli/C/2025/1798/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802/oj" TargetMode="External"/><Relationship Id="rId5" Type="http://schemas.openxmlformats.org/officeDocument/2006/relationships/hyperlink" Target="http://data.europa.eu/eli/C/2025/1801/oj" TargetMode="External"/><Relationship Id="rId10" Type="http://schemas.openxmlformats.org/officeDocument/2006/relationships/hyperlink" Target="http://data.europa.eu/eli/C/2025/2247/oj" TargetMode="External"/><Relationship Id="rId4" Type="http://schemas.openxmlformats.org/officeDocument/2006/relationships/hyperlink" Target="http://data.europa.eu/eli/C/2025/1800/oj" TargetMode="External"/><Relationship Id="rId9" Type="http://schemas.openxmlformats.org/officeDocument/2006/relationships/hyperlink" Target="http://data.europa.eu/eli/C/2025/22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1130</Words>
  <Characters>6783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SAVVIDOU Viktoria</cp:lastModifiedBy>
  <cp:revision>2</cp:revision>
  <cp:lastPrinted>2004-11-19T15:42:00Z</cp:lastPrinted>
  <dcterms:created xsi:type="dcterms:W3CDTF">2026-01-21T12:19:00Z</dcterms:created>
  <dcterms:modified xsi:type="dcterms:W3CDTF">2026-01-21T12:19:00Z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B10-0491/2025</vt:lpwstr>
  </property>
  <property fmtid="{D5CDD505-2E9C-101B-9397-08002B2CF9AE}" pid="4" name="&lt;Type&gt;">
    <vt:lpwstr>RR</vt:lpwstr>
  </property>
</Properties>
</file>