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0CE" w14:paraId="114897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BE749E" w14:textId="77777777" w:rsidR="00751A4A" w:rsidRPr="00BB30CE" w:rsidRDefault="003C20BE" w:rsidP="0010095E">
            <w:pPr>
              <w:pStyle w:val="EPName"/>
            </w:pPr>
            <w:r w:rsidRPr="00BB30CE">
              <w:t>Európai Parlament</w:t>
            </w:r>
          </w:p>
          <w:p w14:paraId="4E8CA7B7" w14:textId="77777777" w:rsidR="00751A4A" w:rsidRPr="00BB30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0CE">
              <w:t>2024</w:t>
            </w:r>
            <w:r w:rsidR="00817416" w:rsidRPr="00BB30CE">
              <w:t>-202</w:t>
            </w:r>
            <w:r w:rsidRPr="00BB30CE">
              <w:t>9</w:t>
            </w:r>
          </w:p>
        </w:tc>
        <w:tc>
          <w:tcPr>
            <w:tcW w:w="2268" w:type="dxa"/>
            <w:shd w:val="clear" w:color="auto" w:fill="auto"/>
          </w:tcPr>
          <w:p w14:paraId="050AFAEA" w14:textId="77777777" w:rsidR="00751A4A" w:rsidRPr="00BB30CE" w:rsidRDefault="00187494" w:rsidP="0010095E">
            <w:pPr>
              <w:pStyle w:val="EPLogo"/>
            </w:pPr>
            <w:r w:rsidRPr="00BB30CE">
              <w:rPr>
                <w:noProof/>
                <w:lang w:eastAsia="ja-JP"/>
              </w:rPr>
              <w:drawing>
                <wp:inline distT="0" distB="0" distL="0" distR="0" wp14:anchorId="083237F4" wp14:editId="09994E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88243" w14:textId="77777777" w:rsidR="00D058B8" w:rsidRPr="00BB30CE" w:rsidRDefault="00D058B8" w:rsidP="004C5D52">
      <w:pPr>
        <w:pStyle w:val="LineTop"/>
      </w:pPr>
    </w:p>
    <w:p w14:paraId="60AA1C27" w14:textId="77777777" w:rsidR="00680577" w:rsidRPr="00BB30CE" w:rsidRDefault="003C20BE" w:rsidP="00680577">
      <w:pPr>
        <w:pStyle w:val="EPBodyTA1"/>
      </w:pPr>
      <w:r w:rsidRPr="00BB30CE">
        <w:t>ELFOGADOTT SZÖVEGEK</w:t>
      </w:r>
    </w:p>
    <w:p w14:paraId="7906FFDF" w14:textId="77777777" w:rsidR="00D058B8" w:rsidRPr="00BB30CE" w:rsidRDefault="00D058B8" w:rsidP="00D058B8">
      <w:pPr>
        <w:pStyle w:val="LineBottom"/>
      </w:pPr>
    </w:p>
    <w:p w14:paraId="1C9309F2" w14:textId="7CCA71CE" w:rsidR="003C20BE" w:rsidRPr="00BB30CE" w:rsidRDefault="003C20BE" w:rsidP="003C20BE">
      <w:pPr>
        <w:pStyle w:val="ATHeading1"/>
      </w:pPr>
      <w:bookmarkStart w:id="0" w:name="TANumber"/>
      <w:r w:rsidRPr="00BB30CE">
        <w:t>P10_</w:t>
      </w:r>
      <w:proofErr w:type="gramStart"/>
      <w:r w:rsidRPr="00BB30CE">
        <w:t>TA(</w:t>
      </w:r>
      <w:proofErr w:type="gramEnd"/>
      <w:r w:rsidRPr="00BB30CE">
        <w:t>2025)0</w:t>
      </w:r>
      <w:r w:rsidR="00BB30CE" w:rsidRPr="00BB30CE">
        <w:t>292</w:t>
      </w:r>
      <w:bookmarkEnd w:id="0"/>
    </w:p>
    <w:p w14:paraId="4FF14D2C" w14:textId="01E5B3D0" w:rsidR="003C20BE" w:rsidRPr="00BB30CE" w:rsidRDefault="00384C99" w:rsidP="00384C99">
      <w:pPr>
        <w:pStyle w:val="ATHeading2"/>
      </w:pPr>
      <w:bookmarkStart w:id="1" w:name="title"/>
      <w:r w:rsidRPr="00BB30CE">
        <w:t>Géntechnológiával módosított MON 87427 kukorica</w:t>
      </w:r>
      <w:bookmarkEnd w:id="1"/>
    </w:p>
    <w:p w14:paraId="772A7D07" w14:textId="77777777" w:rsidR="003C20BE" w:rsidRPr="00BB30CE" w:rsidRDefault="003C20BE" w:rsidP="003C20BE">
      <w:pPr>
        <w:rPr>
          <w:i/>
          <w:vanish/>
        </w:rPr>
      </w:pPr>
      <w:r w:rsidRPr="00BB30CE">
        <w:rPr>
          <w:i/>
        </w:rPr>
        <w:fldChar w:fldCharType="begin"/>
      </w:r>
      <w:r w:rsidRPr="00BB30CE">
        <w:rPr>
          <w:i/>
        </w:rPr>
        <w:instrText xml:space="preserve"> TC"(</w:instrText>
      </w:r>
      <w:bookmarkStart w:id="2" w:name="DocNumber"/>
      <w:r w:rsidRPr="00BB30CE">
        <w:rPr>
          <w:i/>
        </w:rPr>
        <w:instrText>B10-0491/2025</w:instrText>
      </w:r>
      <w:bookmarkEnd w:id="2"/>
      <w:r w:rsidRPr="00BB30CE">
        <w:rPr>
          <w:i/>
        </w:rPr>
        <w:instrText xml:space="preserve">)"\l3 \n&gt; \* MERGEFORMAT </w:instrText>
      </w:r>
      <w:r w:rsidRPr="00BB30CE">
        <w:rPr>
          <w:i/>
        </w:rPr>
        <w:fldChar w:fldCharType="end"/>
      </w:r>
    </w:p>
    <w:p w14:paraId="340B72E6" w14:textId="77777777" w:rsidR="003C20BE" w:rsidRPr="00BB30CE" w:rsidRDefault="003C20BE" w:rsidP="003C20BE">
      <w:pPr>
        <w:rPr>
          <w:vanish/>
        </w:rPr>
      </w:pPr>
      <w:bookmarkStart w:id="3" w:name="PE"/>
      <w:r w:rsidRPr="00BB30CE">
        <w:rPr>
          <w:vanish/>
        </w:rPr>
        <w:t>PE778.113</w:t>
      </w:r>
      <w:bookmarkEnd w:id="3"/>
    </w:p>
    <w:p w14:paraId="3643B70C" w14:textId="3016A016" w:rsidR="003C20BE" w:rsidRPr="00BB30CE" w:rsidRDefault="003C20BE" w:rsidP="003C20BE">
      <w:pPr>
        <w:pStyle w:val="ATHeading3"/>
      </w:pPr>
      <w:bookmarkStart w:id="4" w:name="Sujet"/>
      <w:r w:rsidRPr="00BB30CE">
        <w:t xml:space="preserve">Az Európai Parlament 2025. </w:t>
      </w:r>
      <w:r w:rsidR="009E29D0" w:rsidRPr="00BB30CE">
        <w:t>november</w:t>
      </w:r>
      <w:r w:rsidRPr="00BB30CE">
        <w:t xml:space="preserve"> </w:t>
      </w:r>
      <w:r w:rsidR="00384C99" w:rsidRPr="00BB30CE">
        <w:t>25-</w:t>
      </w:r>
      <w:r w:rsidRPr="00BB30CE">
        <w:t>i állásfoglalása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tervezetéről</w:t>
      </w:r>
      <w:bookmarkEnd w:id="4"/>
      <w:r w:rsidRPr="00BB30CE">
        <w:t xml:space="preserve"> </w:t>
      </w:r>
      <w:bookmarkStart w:id="5" w:name="References"/>
      <w:r w:rsidRPr="00BB30CE">
        <w:t>(D109634/01 – 2025/2897(RSP))</w:t>
      </w:r>
      <w:bookmarkEnd w:id="5"/>
    </w:p>
    <w:p w14:paraId="042F6378" w14:textId="77777777" w:rsidR="00095491" w:rsidRPr="00BB30CE" w:rsidRDefault="00095491" w:rsidP="00095491">
      <w:pPr>
        <w:pStyle w:val="EPComma"/>
      </w:pPr>
      <w:bookmarkStart w:id="6" w:name="TextBodyBegin"/>
      <w:bookmarkEnd w:id="6"/>
      <w:r w:rsidRPr="00BB30CE">
        <w:rPr>
          <w:i/>
        </w:rPr>
        <w:t>Az Európai Parlament</w:t>
      </w:r>
      <w:r w:rsidRPr="00BB30CE">
        <w:t>,</w:t>
      </w:r>
    </w:p>
    <w:p w14:paraId="2907AF23" w14:textId="77777777" w:rsidR="00095491" w:rsidRPr="00BB30CE" w:rsidRDefault="00095491" w:rsidP="009E29D0">
      <w:pPr>
        <w:pStyle w:val="NormalHanging12a"/>
        <w:widowControl/>
      </w:pPr>
      <w:r w:rsidRPr="00BB30CE">
        <w:t>–</w:t>
      </w:r>
      <w:r w:rsidRPr="00BB30CE">
        <w:tab/>
        <w:t>tekintettel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tervezetére (D109634/01),</w:t>
      </w:r>
    </w:p>
    <w:p w14:paraId="26D6A290" w14:textId="77777777" w:rsidR="00095491" w:rsidRPr="00BB30CE" w:rsidRDefault="00095491" w:rsidP="009E29D0">
      <w:pPr>
        <w:pStyle w:val="NormalHanging12a"/>
        <w:widowControl/>
      </w:pPr>
      <w:r w:rsidRPr="00BB30CE">
        <w:t>–</w:t>
      </w:r>
      <w:r w:rsidRPr="00BB30CE">
        <w:tab/>
        <w:t>tekintettel a géntechnológiával módosított élelmiszerekről és takarmányokról szóló, 2003. szeptember 22-i 1829/2003/EK európai parlamenti és tanácsi rendeletre</w:t>
      </w:r>
      <w:r w:rsidRPr="00BB30CE">
        <w:rPr>
          <w:rStyle w:val="FootnoteReference"/>
        </w:rPr>
        <w:footnoteReference w:id="1"/>
      </w:r>
      <w:r w:rsidRPr="00BB30CE">
        <w:t xml:space="preserve"> és különösen annak 11. cikke (3) bekezdésére és 23. cikke (3) bekezdésére,</w:t>
      </w:r>
    </w:p>
    <w:p w14:paraId="132747C8" w14:textId="7AF53AC4" w:rsidR="00095491" w:rsidRPr="00BB30CE" w:rsidRDefault="00095491" w:rsidP="009E29D0">
      <w:pPr>
        <w:pStyle w:val="NormalHanging12a"/>
        <w:widowControl/>
      </w:pPr>
      <w:bookmarkStart w:id="7" w:name="_Hlk210666078"/>
      <w:r w:rsidRPr="00BB30CE">
        <w:t>–</w:t>
      </w:r>
      <w:r w:rsidRPr="00BB30CE">
        <w:tab/>
        <w:t xml:space="preserve">tekintettel az 1829/2003/EK rendelet 35. cikkében említett </w:t>
      </w:r>
      <w:bookmarkStart w:id="8" w:name="_Hlk210664905"/>
      <w:r w:rsidRPr="00BB30CE">
        <w:t>Növények, Állatok, Élelmiszerek és Takarmányok Állandó Bizottságának</w:t>
      </w:r>
      <w:bookmarkEnd w:id="8"/>
      <w:r w:rsidRPr="00BB30CE">
        <w:t xml:space="preserve"> 2025. szeptember 15-i szavazására</w:t>
      </w:r>
      <w:bookmarkEnd w:id="7"/>
      <w:r w:rsidRPr="00BB30CE">
        <w:t>, ahol nem nyilvánítottak véleményt,</w:t>
      </w:r>
      <w:r w:rsidR="00384C99" w:rsidRPr="00BB30CE">
        <w:t xml:space="preserve"> valamint a fellebbviteli bizottságban 2025. október 21-én tartott szavazására, amelyen ugyancsak nem született vélemény,</w:t>
      </w:r>
    </w:p>
    <w:p w14:paraId="64F9727C" w14:textId="77777777" w:rsidR="00095491" w:rsidRPr="00BB30CE" w:rsidRDefault="00095491" w:rsidP="009E29D0">
      <w:pPr>
        <w:pStyle w:val="NormalHanging12a"/>
        <w:widowControl/>
      </w:pPr>
      <w:r w:rsidRPr="00BB30CE">
        <w:t>–</w:t>
      </w:r>
      <w:r w:rsidRPr="00BB30CE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r w:rsidRPr="00BB30CE">
        <w:rPr>
          <w:rStyle w:val="FootnoteReference"/>
        </w:rPr>
        <w:footnoteReference w:id="2"/>
      </w:r>
      <w:r w:rsidRPr="00BB30CE">
        <w:t xml:space="preserve"> 11. cikkére,</w:t>
      </w:r>
    </w:p>
    <w:p w14:paraId="50A9ED0A" w14:textId="77777777" w:rsidR="00095491" w:rsidRPr="00BB30CE" w:rsidRDefault="00095491" w:rsidP="009E29D0">
      <w:pPr>
        <w:pStyle w:val="NormalHanging12a"/>
        <w:widowControl/>
      </w:pPr>
      <w:r w:rsidRPr="00BB30CE">
        <w:t>–</w:t>
      </w:r>
      <w:r w:rsidRPr="00BB30CE">
        <w:tab/>
        <w:t>tekintettel az Európai Élelmiszerbiztonsági Hatóság (EFSA) által 2025. március 27-én elfogadott és 2025. május 13-án közzétett véleményre</w:t>
      </w:r>
      <w:r w:rsidRPr="00BB30CE">
        <w:rPr>
          <w:rStyle w:val="FootnoteReference"/>
          <w:szCs w:val="24"/>
        </w:rPr>
        <w:footnoteReference w:id="3"/>
      </w:r>
      <w:r w:rsidRPr="00BB30CE">
        <w:t>,</w:t>
      </w:r>
    </w:p>
    <w:p w14:paraId="21F78B5A" w14:textId="77777777" w:rsidR="00095491" w:rsidRPr="00BB30CE" w:rsidRDefault="00095491" w:rsidP="009E29D0">
      <w:pPr>
        <w:pStyle w:val="NormalHanging12a"/>
        <w:widowControl/>
      </w:pPr>
      <w:r w:rsidRPr="00BB30CE">
        <w:lastRenderedPageBreak/>
        <w:t xml:space="preserve">– </w:t>
      </w:r>
      <w:r w:rsidRPr="00BB30CE">
        <w:tab/>
        <w:t>tekintettel a géntechnológiával módosított szervezetek (a továbbiakban: GMO-k) engedélyezését kifogásoló korábbi állásfoglalásaira</w:t>
      </w:r>
      <w:bookmarkStart w:id="9" w:name="_Hlk210666451"/>
      <w:r w:rsidRPr="00BB30CE">
        <w:rPr>
          <w:rStyle w:val="FootnoteReference"/>
        </w:rPr>
        <w:footnoteReference w:id="4"/>
      </w:r>
      <w:bookmarkEnd w:id="9"/>
      <w:r w:rsidRPr="00BB30CE">
        <w:t>,</w:t>
      </w:r>
    </w:p>
    <w:p w14:paraId="30A9B2B2" w14:textId="77777777" w:rsidR="00095491" w:rsidRPr="00BB30CE" w:rsidRDefault="00095491" w:rsidP="009E29D0">
      <w:pPr>
        <w:pStyle w:val="NormalHanging12a"/>
        <w:widowControl/>
      </w:pPr>
      <w:r w:rsidRPr="00BB30CE">
        <w:lastRenderedPageBreak/>
        <w:t>–</w:t>
      </w:r>
      <w:r w:rsidRPr="00BB30CE">
        <w:tab/>
      </w:r>
      <w:bookmarkStart w:id="10" w:name="_Hlk210059365"/>
      <w:r w:rsidRPr="00BB30CE">
        <w:t>tekintettel eljárási szabályzata 115. cikkének (2) és (3) bekezdésére,</w:t>
      </w:r>
    </w:p>
    <w:bookmarkEnd w:id="10"/>
    <w:p w14:paraId="79391693" w14:textId="77777777" w:rsidR="00095491" w:rsidRPr="00BB30CE" w:rsidRDefault="00095491" w:rsidP="009E29D0">
      <w:pPr>
        <w:pStyle w:val="NormalHanging12a"/>
        <w:widowControl/>
      </w:pPr>
      <w:r w:rsidRPr="00BB30CE">
        <w:t>–</w:t>
      </w:r>
      <w:r w:rsidRPr="00BB30CE">
        <w:tab/>
        <w:t xml:space="preserve">tekintettel a Környezetvédelmi, Éghajlatváltozási és Élelmiszer-biztonsági Bizottság állásfoglalási indítványára, </w:t>
      </w:r>
    </w:p>
    <w:p w14:paraId="1E240349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A.</w:t>
      </w:r>
      <w:r w:rsidRPr="00BB30CE">
        <w:tab/>
        <w:t>mivel a 2015. december 4-i (EU) 2015/2281 bizottsági végrehajtási határozat</w:t>
      </w:r>
      <w:r w:rsidRPr="00BB30CE">
        <w:rPr>
          <w:rStyle w:val="FootnoteReference"/>
        </w:rPr>
        <w:footnoteReference w:id="5"/>
      </w:r>
      <w:r w:rsidRPr="00BB30CE">
        <w:t xml:space="preserve"> engedélyezte a géntechnológiával módosított MON 87427 kukoricát (a továbbiakban: géntechnológiával módosított kukorica) tartalmazó, abból álló vagy abból előállított termékek forgalomba hozatalát;</w:t>
      </w:r>
    </w:p>
    <w:p w14:paraId="669EC0FD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B.</w:t>
      </w:r>
      <w:r w:rsidRPr="00BB30CE">
        <w:tab/>
        <w:t>mivel 2024. március 19-én az Amerikai Egyesült Államokban székhellyel rendelkező Bayer CropScience LP nevében eljáró belgiumi székhelyű Bayer Agriculture BV az 1829/2003/EK rendelet 11. és 23. cikkének megfelelően kérelmet nyújtott be a Bizottsághoz a szóban forgó engedély megújítása iránt;</w:t>
      </w:r>
    </w:p>
    <w:p w14:paraId="735E8FF6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C.</w:t>
      </w:r>
      <w:r w:rsidRPr="00BB30CE">
        <w:tab/>
        <w:t>mivel a megújítás iránti kérelem hatálya a géntechnológiával módosított kukoricát tartalmazó, abból álló vagy abból előállított élelmiszerekre és takarmányokra, valamint az azt tartalmazó vagy abból álló, nem élelmiszerként vagy takarmányként való felhasználásra szánt termékekre terjed ki, a termesztés kivételével; mivel az engedély hatálya kiterjed a géntechnológiával módosított kukoricát tartalmazó vagy abból álló élelmiszeren és takarmányon kívül olyan termékek forgalomba hozatalára is, amelyeket – a termesztésen kívül – ugyanarra a felhasználásra szánnak, mint bármely más kukoricát;</w:t>
      </w:r>
    </w:p>
    <w:p w14:paraId="0DC5B958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D.</w:t>
      </w:r>
      <w:r w:rsidRPr="00BB30CE">
        <w:tab/>
        <w:t>mivel az EFSA 2025. március 27-én kedvező véleményt adott ki, amelyben arra a következtetésre jutott, hogy a megújítás iránti kérelem nem tartalmazott olyan elemeket, amelyek új veszélyeket, az expozíció módosulását vagy tudományos bizonytalanságot eredményeznének, amelyek megváltoztatnák az eredeti kockázatértékelésre vonatkozóan 2015-ben kiadott következtetéseket;</w:t>
      </w:r>
    </w:p>
    <w:p w14:paraId="75642AE0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lastRenderedPageBreak/>
        <w:t>E.</w:t>
      </w:r>
      <w:r w:rsidRPr="00BB30CE">
        <w:tab/>
        <w:t>mivel az EFSA értékelése nem foglalkozott kellőképpen a glifozát fokozott használatának kumulatív és kombinált hatásaival, hosszú távú toxikológiai vizsgálataival vagy közvetett ökológiai következményeivel;</w:t>
      </w:r>
    </w:p>
    <w:p w14:paraId="1ECDBF46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F.</w:t>
      </w:r>
      <w:r w:rsidRPr="00BB30CE">
        <w:tab/>
        <w:t>mivel a géntechnológiával módosított kukorica glifozáttűrő; mivel a glifozátról megállapították, hogy használata a biológiai sokféleséget, a talaj és a víz egészségét érintő kockázatokkal, valamint az emberi egészségre gyakorolt lehetséges hatásokkal jár;</w:t>
      </w:r>
    </w:p>
    <w:p w14:paraId="562FA97C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G.</w:t>
      </w:r>
      <w:r w:rsidRPr="00BB30CE">
        <w:tab/>
        <w:t>mivel a glifozáttal szemben ellenálló, géntechnológiával módosított növények nagyarányú termesztése az exportáló országokban a gyomirtó szerek nagyobb mértékű használatához, ellenálló gyomnövények megjelenéséhez, valamint a gazdálkodási rendszerekre, az ökoszisztémákra és a vidéki közösségekre gyakorolt negatív következményekhez vezetett;</w:t>
      </w:r>
    </w:p>
    <w:p w14:paraId="7D85D7B4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H.</w:t>
      </w:r>
      <w:r w:rsidRPr="00BB30CE">
        <w:tab/>
        <w:t>mivel a bizottsági végrehajtási határozat tervezetében előírt, a környezeti hatásokra vonatkozó nyomonkövetési terv főként általános felügyeletre támaszkodik, és nem írja elő a beporzókra, a talajlakó szervezetekre, a vízi élővilágra és a nem célzott növényekre vonatkozó célzott, független, hosszú távú tanulmányok készítését;</w:t>
      </w:r>
    </w:p>
    <w:p w14:paraId="12B1168B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I.</w:t>
      </w:r>
      <w:r w:rsidRPr="00BB30CE">
        <w:tab/>
        <w:t>mivel tudományos bizonytalanság és a potenciális károkozásra utaló bizonyítékok megléte esetén az Európai Unió működéséről szóló szerződés 191. cikkében foglalt elővigyázatosság elvét kell alkalmazni;</w:t>
      </w:r>
    </w:p>
    <w:p w14:paraId="2EBA999B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J.</w:t>
      </w:r>
      <w:r w:rsidRPr="00BB30CE">
        <w:tab/>
        <w:t>mivel az 1829/2003/EK rendelet előírja, hogy a géntechnológiával módosított élelmiszerek és takarmányok nem gyakorolhatnak káros hatást az emberi egészségre, az állati egészségre vagy a környezetre;</w:t>
      </w:r>
    </w:p>
    <w:p w14:paraId="47A3913F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K.</w:t>
      </w:r>
      <w:r w:rsidRPr="00BB30CE">
        <w:tab/>
        <w:t>mivel az „egy egészség” megközelítés megköveteli, hogy a GMO-k hosszú távú fenntarthatóságának és biztonságának értékelése során figyelembe vegyék az emberek, az állatok, a növények és a környezet egészsége közötti kölcsönös függőséget;</w:t>
      </w:r>
    </w:p>
    <w:p w14:paraId="6907F1BB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L.</w:t>
      </w:r>
      <w:r w:rsidRPr="00BB30CE">
        <w:tab/>
        <w:t>mivel a Parlament következetesen kifogásolta a GMO-k engedélyezését és megújítását azokban az esetekben, amikor a tagállamok között nem jött létre minősített többség a Növények, Állatok, Élelmiszerek és Takarmányok Állandó Bizottságában vagy a Fellebbviteli Bizottságban, hangsúlyozva a döntéshozatali eljárás tartós demokratikus deficitjét;</w:t>
      </w:r>
    </w:p>
    <w:p w14:paraId="70D17696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1.</w:t>
      </w:r>
      <w:r w:rsidRPr="00BB30CE">
        <w:tab/>
        <w:t>úgy véli, hogy a bizottsági végrehajtási határozat tervezete túllépi az 1829/2003/EK rendeletben meghatározott végrehajtási hatásköröket;</w:t>
      </w:r>
    </w:p>
    <w:p w14:paraId="2EBF48A9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2.</w:t>
      </w:r>
      <w:r w:rsidRPr="00BB30CE">
        <w:tab/>
        <w:t>úgy véli, hogy a bizottsági végrehajtási határozat tervezete nem felel meg az uniós jognak, mivel nem egyeztethető össze az 1829/2003/EK rendelet célkitűzésével, azaz – a 178/2002/EK európai parlamenti és tanácsi rendeletben</w:t>
      </w:r>
      <w:r w:rsidRPr="00BB30CE">
        <w:rPr>
          <w:rStyle w:val="FootnoteReference"/>
        </w:rPr>
        <w:footnoteReference w:id="6"/>
      </w:r>
      <w:r w:rsidRPr="00BB30CE">
        <w:t xml:space="preserve"> meghatározott általános alapelvekkel összhangban – azzal, hogy a belső piac hatékony működésének és az elővigyázatosság elvének való megfelelés biztosítása mellett alapul szolgáljon az </w:t>
      </w:r>
      <w:r w:rsidRPr="00BB30CE">
        <w:lastRenderedPageBreak/>
        <w:t>emberi élet és egészség, az állatok egészsége és az állatjólét, a környezet és a géntechnológiával módosított élelmiszerekre és takarmányokra vonatkozó fogyasztói érdekek magas szintű védelméhez;</w:t>
      </w:r>
    </w:p>
    <w:p w14:paraId="7B535215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3.</w:t>
      </w:r>
      <w:r w:rsidRPr="00BB30CE">
        <w:tab/>
        <w:t>felhívja a Bizottságot, hogy vonja vissza végrehajtási határozata tervezetét;</w:t>
      </w:r>
    </w:p>
    <w:p w14:paraId="4680F5E6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4.</w:t>
      </w:r>
      <w:r w:rsidRPr="00BB30CE">
        <w:tab/>
        <w:t>felhívja a Bizottságot, hogy az „egy egészség” koncepcióval összhangban ne újítsa meg a géntechnológiával módosított kukorica engedélyét a glifozáthasználattal, a rezisztens gyomokkal, a biológiai sokféleség csökkenésével és az elégtelen hosszú távú bizonyítékokkal összefüggő kockázatok miatt;</w:t>
      </w:r>
      <w:bookmarkStart w:id="11" w:name="_Hlk210900300"/>
    </w:p>
    <w:p w14:paraId="5C666593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5.</w:t>
      </w:r>
      <w:r w:rsidRPr="00BB30CE">
        <w:tab/>
        <w:t>felhívja a Bizottságot, hogy a Parlament következetes kifogásaira és a tagállamok közötti minősített többségi támogatás hiányára adott válaszként haladéktalanul nyújtson be jogalkotási javaslatot a GMO-kkal kapcsolatos döntéshozatali eljárás reformjára</w:t>
      </w:r>
      <w:bookmarkEnd w:id="11"/>
      <w:r w:rsidRPr="00BB30CE">
        <w:t>;</w:t>
      </w:r>
      <w:bookmarkStart w:id="12" w:name="_Hlk210900241"/>
    </w:p>
    <w:p w14:paraId="5F539D41" w14:textId="77777777" w:rsidR="00095491" w:rsidRPr="00BB30CE" w:rsidRDefault="00095491" w:rsidP="009E29D0">
      <w:pPr>
        <w:widowControl/>
        <w:spacing w:after="240"/>
        <w:ind w:left="567" w:hanging="567"/>
      </w:pPr>
      <w:r w:rsidRPr="00BB30CE">
        <w:t>6.</w:t>
      </w:r>
      <w:r w:rsidRPr="00BB30CE">
        <w:tab/>
        <w:t>sürgeti a Bizottságot, hogy vegye figyelembe az Unió nemzetközi megállapodások – például a Párizsi Megállapodás, a biológiai sokféleségről szóló ENSZ-egyezmény és az ENSZ fenntartható fejlődési céljai – szerinti kötelezettségeit;</w:t>
      </w:r>
    </w:p>
    <w:bookmarkEnd w:id="12"/>
    <w:p w14:paraId="25C4B330" w14:textId="208B32B6" w:rsidR="00623C6A" w:rsidRPr="00623C6A" w:rsidRDefault="00095491" w:rsidP="009E29D0">
      <w:pPr>
        <w:widowControl/>
        <w:spacing w:after="240"/>
        <w:ind w:left="567" w:hanging="567"/>
      </w:pPr>
      <w:r w:rsidRPr="00BB30CE">
        <w:t>7.</w:t>
      </w:r>
      <w:r w:rsidRPr="00BB30CE">
        <w:tab/>
        <w:t>utasítja elnökét, hogy továbbítsa ezt az állásfoglalást a Tanácsnak és a Bizottságnak, valamint a tagállamok kormányainak és parlamentjeinek.</w:t>
      </w:r>
    </w:p>
    <w:p w14:paraId="40DBA0D0" w14:textId="7FB9694E" w:rsidR="00E365E1" w:rsidRPr="00623C6A" w:rsidRDefault="00E365E1" w:rsidP="003C20BE"/>
    <w:sectPr w:rsidR="00E365E1" w:rsidRPr="00623C6A" w:rsidSect="00623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805C7" w14:textId="77777777" w:rsidR="003C20BE" w:rsidRPr="00623C6A" w:rsidRDefault="003C20BE">
      <w:r w:rsidRPr="00623C6A">
        <w:separator/>
      </w:r>
    </w:p>
  </w:endnote>
  <w:endnote w:type="continuationSeparator" w:id="0">
    <w:p w14:paraId="001D5F63" w14:textId="77777777" w:rsidR="003C20BE" w:rsidRPr="00623C6A" w:rsidRDefault="003C20BE">
      <w:r w:rsidRPr="00623C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1C36" w14:textId="77777777" w:rsidR="00064002" w:rsidRPr="00623C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609A1" w14:textId="77777777" w:rsidR="00064002" w:rsidRPr="00623C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73B2" w14:textId="77777777" w:rsidR="00064002" w:rsidRPr="00623C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B76E7" w14:textId="77777777" w:rsidR="003C20BE" w:rsidRPr="00623C6A" w:rsidRDefault="003C20BE">
      <w:r w:rsidRPr="00623C6A">
        <w:separator/>
      </w:r>
    </w:p>
  </w:footnote>
  <w:footnote w:type="continuationSeparator" w:id="0">
    <w:p w14:paraId="3703365B" w14:textId="77777777" w:rsidR="003C20BE" w:rsidRPr="00623C6A" w:rsidRDefault="003C20BE">
      <w:r w:rsidRPr="00623C6A">
        <w:continuationSeparator/>
      </w:r>
    </w:p>
  </w:footnote>
  <w:footnote w:id="1">
    <w:p w14:paraId="52FB949E" w14:textId="04AFE289" w:rsidR="00095491" w:rsidRPr="00623C6A" w:rsidRDefault="00095491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rStyle w:val="FootnoteReference"/>
          <w:sz w:val="24"/>
          <w:lang w:val="hu-HU"/>
        </w:rPr>
        <w:footnoteRef/>
      </w:r>
      <w:r w:rsidR="00623C6A" w:rsidRPr="00623C6A">
        <w:rPr>
          <w:sz w:val="24"/>
          <w:lang w:val="hu-HU"/>
        </w:rPr>
        <w:t xml:space="preserve"> </w:t>
      </w:r>
      <w:r w:rsidR="00623C6A" w:rsidRPr="00623C6A">
        <w:rPr>
          <w:sz w:val="24"/>
          <w:lang w:val="hu-HU"/>
        </w:rPr>
        <w:tab/>
      </w:r>
      <w:r w:rsidRPr="00623C6A">
        <w:rPr>
          <w:sz w:val="24"/>
          <w:lang w:val="hu-HU"/>
        </w:rPr>
        <w:t xml:space="preserve">HL L 268., 2003.10.18., 1. o., </w:t>
      </w:r>
      <w:hyperlink r:id="rId1" w:tooltip="http://data.europa.eu/eli/reg/2003/1829/oj" w:history="1">
        <w:r w:rsidRPr="00623C6A">
          <w:rPr>
            <w:rStyle w:val="Hyperlink"/>
            <w:sz w:val="24"/>
            <w:lang w:val="hu-HU"/>
          </w:rPr>
          <w:t>http://data.europa.eu/eli/reg/2003/1829/oj</w:t>
        </w:r>
      </w:hyperlink>
      <w:r w:rsidRPr="00623C6A">
        <w:rPr>
          <w:sz w:val="24"/>
          <w:lang w:val="hu-HU"/>
        </w:rPr>
        <w:t>.</w:t>
      </w:r>
    </w:p>
  </w:footnote>
  <w:footnote w:id="2">
    <w:p w14:paraId="1881508F" w14:textId="099B320C" w:rsidR="00095491" w:rsidRPr="00623C6A" w:rsidRDefault="00095491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rStyle w:val="FootnoteReference"/>
          <w:sz w:val="24"/>
          <w:lang w:val="hu-HU"/>
        </w:rPr>
        <w:footnoteRef/>
      </w:r>
      <w:r w:rsidR="00623C6A" w:rsidRPr="00623C6A">
        <w:rPr>
          <w:sz w:val="24"/>
          <w:lang w:val="hu-HU"/>
        </w:rPr>
        <w:t xml:space="preserve"> </w:t>
      </w:r>
      <w:r w:rsidR="00623C6A" w:rsidRPr="00623C6A">
        <w:rPr>
          <w:sz w:val="24"/>
          <w:lang w:val="hu-HU"/>
        </w:rPr>
        <w:tab/>
      </w:r>
      <w:r w:rsidRPr="00623C6A">
        <w:rPr>
          <w:sz w:val="24"/>
          <w:lang w:val="hu-HU"/>
        </w:rPr>
        <w:t xml:space="preserve">HL L 55., 2011.2.28., 13. o., ELI: </w:t>
      </w:r>
      <w:hyperlink r:id="rId2" w:history="1">
        <w:r w:rsidRPr="00623C6A">
          <w:rPr>
            <w:rStyle w:val="Hyperlink"/>
            <w:sz w:val="24"/>
            <w:lang w:val="hu-HU"/>
          </w:rPr>
          <w:t>http://data.europa.eu/eli/reg/2011/182/oj</w:t>
        </w:r>
      </w:hyperlink>
      <w:r w:rsidRPr="00623C6A">
        <w:rPr>
          <w:rStyle w:val="Hyperlink"/>
          <w:sz w:val="24"/>
          <w:lang w:val="hu-HU"/>
        </w:rPr>
        <w:t>.</w:t>
      </w:r>
    </w:p>
  </w:footnote>
  <w:footnote w:id="3">
    <w:p w14:paraId="33FC4BA7" w14:textId="032C0720" w:rsidR="00095491" w:rsidRPr="00623C6A" w:rsidRDefault="00095491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rStyle w:val="Funotenzeichen"/>
          <w:sz w:val="24"/>
          <w:lang w:val="hu-HU"/>
        </w:rPr>
        <w:footnoteRef/>
      </w:r>
      <w:r w:rsidR="00623C6A" w:rsidRPr="00623C6A">
        <w:rPr>
          <w:sz w:val="24"/>
          <w:lang w:val="hu-HU"/>
        </w:rPr>
        <w:t xml:space="preserve"> </w:t>
      </w:r>
      <w:r w:rsidR="00623C6A" w:rsidRPr="00623C6A">
        <w:rPr>
          <w:sz w:val="24"/>
          <w:lang w:val="hu-HU"/>
        </w:rPr>
        <w:tab/>
      </w:r>
      <w:r w:rsidRPr="00623C6A">
        <w:rPr>
          <w:sz w:val="24"/>
          <w:lang w:val="hu-HU"/>
        </w:rPr>
        <w:t xml:space="preserve">Az EFSA géntechnológiával módosított szervezetekkel foglalkozó tudományos testületének „A géntechnológiával módosított MON 87427 kukorica értékelése” című tudományos szakvéleménye (GMFF-2023-21254. sz. kérelem), EFSA Journal 2025;23(5):9380; </w:t>
      </w:r>
      <w:r w:rsidR="006C633C">
        <w:fldChar w:fldCharType="begin"/>
      </w:r>
      <w:r w:rsidR="006C633C" w:rsidRPr="006C633C">
        <w:rPr>
          <w:lang w:val="hu-HU"/>
        </w:rPr>
        <w:instrText>HYPERLINK "https://doi.org/10.2903/j.efsa.2025.9380"</w:instrText>
      </w:r>
      <w:r w:rsidR="006C633C">
        <w:fldChar w:fldCharType="separate"/>
      </w:r>
      <w:r w:rsidRPr="00623C6A">
        <w:rPr>
          <w:rStyle w:val="Hyperlink"/>
          <w:sz w:val="24"/>
          <w:lang w:val="hu-HU"/>
        </w:rPr>
        <w:t>https://doi.org/10.2903/j.efsa.2025.9380</w:t>
      </w:r>
      <w:r w:rsidR="006C633C">
        <w:rPr>
          <w:rStyle w:val="Hyperlink"/>
          <w:sz w:val="24"/>
          <w:lang w:val="hu-HU"/>
        </w:rPr>
        <w:fldChar w:fldCharType="end"/>
      </w:r>
      <w:r w:rsidRPr="00623C6A">
        <w:rPr>
          <w:sz w:val="24"/>
          <w:lang w:val="hu-HU"/>
        </w:rPr>
        <w:t xml:space="preserve">. </w:t>
      </w:r>
    </w:p>
  </w:footnote>
  <w:footnote w:id="4">
    <w:p w14:paraId="70EF0701" w14:textId="4083DECF" w:rsidR="00095491" w:rsidRPr="00623C6A" w:rsidRDefault="00095491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rStyle w:val="FootnoteReference"/>
          <w:sz w:val="24"/>
          <w:lang w:val="hu-HU"/>
        </w:rPr>
        <w:footnoteRef/>
      </w:r>
      <w:r w:rsidR="00623C6A" w:rsidRPr="00623C6A">
        <w:rPr>
          <w:color w:val="000000" w:themeColor="text1"/>
          <w:sz w:val="24"/>
          <w:lang w:val="hu-HU"/>
        </w:rPr>
        <w:t xml:space="preserve"> </w:t>
      </w:r>
      <w:r w:rsidR="00623C6A" w:rsidRPr="00623C6A">
        <w:rPr>
          <w:color w:val="000000" w:themeColor="text1"/>
          <w:sz w:val="24"/>
          <w:lang w:val="hu-HU"/>
        </w:rPr>
        <w:tab/>
      </w:r>
      <w:r w:rsidRPr="00623C6A">
        <w:rPr>
          <w:color w:val="000000" w:themeColor="text1"/>
          <w:sz w:val="24"/>
          <w:lang w:val="hu-HU"/>
        </w:rPr>
        <w:t>A nyolcadik parlamenti ciklusban a Parlament 36, a kilencedik ciklusban pedig 38 olyan állásfoglalást fogadott el, amelyben kifogást emelt GMO-k engedélyezésével szemben. Emellett a tizedik parlamenti ciklus során a következő állásfoglalásokat fogadta el:</w:t>
      </w:r>
    </w:p>
    <w:p w14:paraId="1CEC9A31" w14:textId="59A136D0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"http://data.europa.eu/eli/C/2025/1797/oj"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http://data.europa.eu/eli/C/2025/1797/oj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3BE401C6" w14:textId="18C0B7DC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"http://data.europa.eu/eli/C/2025/1798/oj"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http://data.europa.eu/eli/C/2025/1798/oj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3524D6B5" w14:textId="345A34C9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"http://data.europa.eu/eli/C/2025/1799/oj"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http://data.europa.eu/eli/C/2025/1799/oj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614DA60F" w14:textId="03A7CFE6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"http://data.europa.eu/eli/C/2025/1800/oj"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http://data.europa.eu/eli/C/2025/1800/oj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7AE87226" w14:textId="57DF6BF7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"http://data.europa.eu/eli/C/2025/1801/oj"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http://data.europa.eu/eli/C/2025/1801/oj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427020CD" w14:textId="313DD286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"http://data.europa.eu/eli/C/2025/1802/oj"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http://data.europa.eu/eli/C/2025/1802/oj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62A74232" w14:textId="2BC238D2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"http://data.europa.eu/eli/C/2025/1803/oj"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http://data.europa.eu/eli/C/2025/1803/oj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45A35D51" w14:textId="550A9778" w:rsidR="00095491" w:rsidRPr="00623C6A" w:rsidRDefault="00623C6A" w:rsidP="00623C6A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"http://data.europa.eu/eli/C/2025/1804/oj"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http://data.europa.eu/eli/C/2025/1804/oj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color w:val="000000" w:themeColor="text1"/>
          <w:sz w:val="24"/>
          <w:lang w:val="hu-HU"/>
        </w:rPr>
        <w:t>).</w:t>
      </w:r>
    </w:p>
    <w:p w14:paraId="273FCE82" w14:textId="1261C5DE" w:rsidR="00095491" w:rsidRPr="00623C6A" w:rsidRDefault="00623C6A" w:rsidP="00623C6A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623C6A">
        <w:rPr>
          <w:color w:val="000000" w:themeColor="text1"/>
          <w:sz w:val="24"/>
          <w:lang w:val="hu-HU"/>
        </w:rPr>
        <w:t xml:space="preserve"> </w:t>
      </w:r>
      <w:r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color w:val="000000" w:themeColor="text1"/>
          <w:sz w:val="24"/>
          <w:lang w:val="hu-HU"/>
        </w:rPr>
        <w:t>–</w:t>
      </w:r>
      <w:r w:rsidR="00095491" w:rsidRPr="00623C6A">
        <w:rPr>
          <w:color w:val="000000" w:themeColor="text1"/>
          <w:sz w:val="24"/>
          <w:lang w:val="hu-HU"/>
        </w:rPr>
        <w:tab/>
      </w:r>
      <w:r w:rsidR="00095491" w:rsidRPr="00623C6A">
        <w:rPr>
          <w:sz w:val="24"/>
          <w:lang w:val="hu-HU"/>
        </w:rPr>
        <w:t xml:space="preserve"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 </w:t>
      </w:r>
      <w:r w:rsidR="006C633C">
        <w:fldChar w:fldCharType="begin"/>
      </w:r>
      <w:r w:rsidR="006C633C" w:rsidRPr="006C633C">
        <w:rPr>
          <w:lang w:val="hu-HU"/>
        </w:rPr>
        <w:instrText>HYPERLINK "http://data.europa.eu/eli/C/2025/2246/oj" \o "Gives access to this document through its ELI URI."</w:instrText>
      </w:r>
      <w:r w:rsidR="006C633C">
        <w:fldChar w:fldCharType="separate"/>
      </w:r>
      <w:r w:rsidR="00095491" w:rsidRPr="00623C6A">
        <w:rPr>
          <w:rStyle w:val="Hyperlink"/>
          <w:sz w:val="24"/>
          <w:lang w:val="hu-HU"/>
        </w:rPr>
        <w:t>http://data.europa.eu/eli/C/2025/2246/oj</w:t>
      </w:r>
      <w:r w:rsidR="006C633C">
        <w:rPr>
          <w:rStyle w:val="Hyperlink"/>
          <w:sz w:val="24"/>
          <w:lang w:val="hu-HU"/>
        </w:rPr>
        <w:fldChar w:fldCharType="end"/>
      </w:r>
      <w:r w:rsidR="00095491" w:rsidRPr="00623C6A">
        <w:rPr>
          <w:sz w:val="24"/>
          <w:lang w:val="hu-HU"/>
        </w:rPr>
        <w:t>).</w:t>
      </w:r>
    </w:p>
    <w:p w14:paraId="55E22226" w14:textId="4BF07F02" w:rsidR="00095491" w:rsidRPr="00623C6A" w:rsidRDefault="00623C6A" w:rsidP="00623C6A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623C6A">
        <w:rPr>
          <w:sz w:val="24"/>
          <w:lang w:val="hu-HU"/>
        </w:rPr>
        <w:t xml:space="preserve"> </w:t>
      </w:r>
      <w:r w:rsidRPr="00623C6A">
        <w:rPr>
          <w:sz w:val="24"/>
          <w:lang w:val="hu-HU"/>
        </w:rPr>
        <w:tab/>
      </w:r>
      <w:r w:rsidR="00095491" w:rsidRPr="00623C6A">
        <w:rPr>
          <w:sz w:val="24"/>
          <w:lang w:val="hu-HU"/>
        </w:rPr>
        <w:t>–</w:t>
      </w:r>
      <w:r w:rsidR="00095491" w:rsidRPr="00623C6A">
        <w:rPr>
          <w:sz w:val="24"/>
          <w:lang w:val="hu-HU"/>
        </w:rPr>
        <w:tab/>
        <w:t xml:space="preserve"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 </w:t>
      </w:r>
      <w:hyperlink r:id="rId3" w:tooltip="Gives access to this document through its ELI URI." w:history="1">
        <w:r w:rsidR="00095491" w:rsidRPr="00623C6A">
          <w:rPr>
            <w:rStyle w:val="Hyperlink"/>
            <w:sz w:val="24"/>
            <w:lang w:val="hu-HU"/>
          </w:rPr>
          <w:t>http://data.europa.eu/eli/C/2025/2247/oj</w:t>
        </w:r>
      </w:hyperlink>
      <w:r w:rsidR="00095491" w:rsidRPr="00623C6A">
        <w:rPr>
          <w:sz w:val="24"/>
          <w:lang w:val="hu-HU"/>
        </w:rPr>
        <w:t>).</w:t>
      </w:r>
    </w:p>
    <w:p w14:paraId="5F44EC3C" w14:textId="22E00B2B" w:rsidR="00095491" w:rsidRPr="00623C6A" w:rsidRDefault="00623C6A" w:rsidP="00623C6A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623C6A">
        <w:rPr>
          <w:sz w:val="24"/>
          <w:lang w:val="hu-HU"/>
        </w:rPr>
        <w:t xml:space="preserve"> </w:t>
      </w:r>
      <w:r w:rsidRPr="00623C6A">
        <w:rPr>
          <w:sz w:val="24"/>
          <w:lang w:val="hu-HU"/>
        </w:rPr>
        <w:tab/>
      </w:r>
      <w:r w:rsidR="00095491" w:rsidRPr="00623C6A">
        <w:rPr>
          <w:sz w:val="24"/>
          <w:lang w:val="hu-HU"/>
        </w:rPr>
        <w:t>–</w:t>
      </w:r>
      <w:r w:rsidR="00095491" w:rsidRPr="00623C6A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095491" w:rsidRPr="00623C6A">
        <w:rPr>
          <w:sz w:val="24"/>
          <w:lang w:val="hu-HU"/>
        </w:rPr>
        <w:t>TA(</w:t>
      </w:r>
      <w:proofErr w:type="gramEnd"/>
      <w:r w:rsidR="00095491" w:rsidRPr="00623C6A">
        <w:rPr>
          <w:sz w:val="24"/>
          <w:lang w:val="hu-HU"/>
        </w:rPr>
        <w:t>2025)0106).</w:t>
      </w:r>
    </w:p>
    <w:p w14:paraId="7227B13B" w14:textId="3FE12903" w:rsidR="00095491" w:rsidRPr="00623C6A" w:rsidRDefault="00623C6A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sz w:val="24"/>
          <w:lang w:val="hu-HU"/>
        </w:rPr>
        <w:t xml:space="preserve"> </w:t>
      </w:r>
      <w:r w:rsidRPr="00623C6A">
        <w:rPr>
          <w:sz w:val="24"/>
          <w:lang w:val="hu-HU"/>
        </w:rPr>
        <w:tab/>
      </w:r>
      <w:r w:rsidR="00095491" w:rsidRPr="00623C6A">
        <w:rPr>
          <w:sz w:val="24"/>
          <w:lang w:val="hu-HU"/>
        </w:rPr>
        <w:t>–</w:t>
      </w:r>
      <w:r w:rsidR="00095491" w:rsidRPr="00623C6A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 2025. szeptember 22-i 1829/2003/EK európai parlamenti és tanácsi rendelet szerinti engedélyezéséről szóló (EU) 2025/1898 bizottsági végrehajtási határozatról (P10_</w:t>
      </w:r>
      <w:proofErr w:type="gramStart"/>
      <w:r w:rsidR="00095491" w:rsidRPr="00623C6A">
        <w:rPr>
          <w:sz w:val="24"/>
          <w:lang w:val="hu-HU"/>
        </w:rPr>
        <w:t>TA(</w:t>
      </w:r>
      <w:proofErr w:type="gramEnd"/>
      <w:r w:rsidR="00095491" w:rsidRPr="00623C6A">
        <w:rPr>
          <w:sz w:val="24"/>
          <w:lang w:val="hu-HU"/>
        </w:rPr>
        <w:t>202</w:t>
      </w:r>
      <w:r w:rsidR="006C633C">
        <w:rPr>
          <w:sz w:val="24"/>
          <w:lang w:val="hu-HU"/>
        </w:rPr>
        <w:t>5</w:t>
      </w:r>
      <w:r w:rsidR="00095491" w:rsidRPr="00623C6A">
        <w:rPr>
          <w:sz w:val="24"/>
          <w:lang w:val="hu-HU"/>
        </w:rPr>
        <w:t>)0222).</w:t>
      </w:r>
    </w:p>
  </w:footnote>
  <w:footnote w:id="5">
    <w:p w14:paraId="77C712CD" w14:textId="771705A3" w:rsidR="00095491" w:rsidRPr="00623C6A" w:rsidRDefault="00095491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rStyle w:val="FootnoteReference"/>
          <w:sz w:val="24"/>
          <w:lang w:val="hu-HU"/>
        </w:rPr>
        <w:footnoteRef/>
      </w:r>
      <w:r w:rsidR="00623C6A" w:rsidRPr="00623C6A">
        <w:rPr>
          <w:sz w:val="24"/>
          <w:lang w:val="hu-HU"/>
        </w:rPr>
        <w:t xml:space="preserve"> </w:t>
      </w:r>
      <w:r w:rsidR="00623C6A" w:rsidRPr="00623C6A">
        <w:rPr>
          <w:sz w:val="24"/>
          <w:lang w:val="hu-HU"/>
        </w:rPr>
        <w:tab/>
      </w:r>
      <w:r w:rsidRPr="00623C6A">
        <w:rPr>
          <w:sz w:val="24"/>
          <w:lang w:val="hu-HU"/>
        </w:rPr>
        <w:t xml:space="preserve">HL L 322., 2015.12.8., 67. o., ELI: </w:t>
      </w:r>
      <w:hyperlink r:id="rId4" w:history="1">
        <w:r w:rsidRPr="00623C6A">
          <w:rPr>
            <w:rStyle w:val="Hyperlink"/>
            <w:sz w:val="24"/>
            <w:lang w:val="hu-HU"/>
          </w:rPr>
          <w:t>http://data.europa.eu/eli/dec_impl/2015/2281/oj</w:t>
        </w:r>
      </w:hyperlink>
      <w:r w:rsidRPr="00623C6A">
        <w:rPr>
          <w:sz w:val="24"/>
          <w:lang w:val="hu-HU"/>
        </w:rPr>
        <w:t>.</w:t>
      </w:r>
    </w:p>
  </w:footnote>
  <w:footnote w:id="6">
    <w:p w14:paraId="2B2931BE" w14:textId="644553C1" w:rsidR="00095491" w:rsidRPr="00623C6A" w:rsidRDefault="00095491" w:rsidP="00623C6A">
      <w:pPr>
        <w:pStyle w:val="FootnoteText"/>
        <w:ind w:left="567" w:hanging="567"/>
        <w:rPr>
          <w:sz w:val="24"/>
          <w:lang w:val="hu-HU"/>
        </w:rPr>
      </w:pPr>
      <w:r w:rsidRPr="00623C6A">
        <w:rPr>
          <w:rStyle w:val="FootnoteReference"/>
          <w:sz w:val="24"/>
          <w:lang w:val="hu-HU"/>
        </w:rPr>
        <w:footnoteRef/>
      </w:r>
      <w:r w:rsidR="00623C6A" w:rsidRPr="00623C6A">
        <w:rPr>
          <w:sz w:val="24"/>
          <w:lang w:val="hu-HU"/>
        </w:rPr>
        <w:t xml:space="preserve"> </w:t>
      </w:r>
      <w:r w:rsidR="00623C6A" w:rsidRPr="00623C6A">
        <w:rPr>
          <w:sz w:val="24"/>
          <w:lang w:val="hu-HU"/>
        </w:rPr>
        <w:tab/>
      </w:r>
      <w:r w:rsidRPr="00623C6A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 31., 2002.2.1., 1. o., ELI: </w:t>
      </w:r>
      <w:hyperlink r:id="rId5" w:tgtFrame="Gives%20access%20to%20this%20document%20through%20its%20ELI%20URI." w:history="1">
        <w:r w:rsidRPr="00623C6A">
          <w:rPr>
            <w:rStyle w:val="Hyperlink"/>
            <w:sz w:val="24"/>
            <w:lang w:val="hu-HU"/>
          </w:rPr>
          <w:t>http://data.europa.eu/eli/reg/2002/178/oj</w:t>
        </w:r>
      </w:hyperlink>
      <w:r w:rsidRPr="00623C6A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2C7B8" w14:textId="77777777" w:rsidR="00064002" w:rsidRPr="00623C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E94C4" w14:textId="77777777" w:rsidR="00064002" w:rsidRPr="00623C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7A11F" w14:textId="77777777" w:rsidR="00064002" w:rsidRPr="00623C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31653">
    <w:abstractNumId w:val="9"/>
  </w:num>
  <w:num w:numId="2" w16cid:durableId="1674527652">
    <w:abstractNumId w:val="9"/>
  </w:num>
  <w:num w:numId="3" w16cid:durableId="31467831">
    <w:abstractNumId w:val="7"/>
  </w:num>
  <w:num w:numId="4" w16cid:durableId="426193032">
    <w:abstractNumId w:val="7"/>
  </w:num>
  <w:num w:numId="5" w16cid:durableId="387457583">
    <w:abstractNumId w:val="6"/>
  </w:num>
  <w:num w:numId="6" w16cid:durableId="990214769">
    <w:abstractNumId w:val="6"/>
  </w:num>
  <w:num w:numId="7" w16cid:durableId="27268008">
    <w:abstractNumId w:val="5"/>
  </w:num>
  <w:num w:numId="8" w16cid:durableId="1822427253">
    <w:abstractNumId w:val="5"/>
  </w:num>
  <w:num w:numId="9" w16cid:durableId="1385786271">
    <w:abstractNumId w:val="4"/>
  </w:num>
  <w:num w:numId="10" w16cid:durableId="246891147">
    <w:abstractNumId w:val="4"/>
  </w:num>
  <w:num w:numId="11" w16cid:durableId="1126268806">
    <w:abstractNumId w:val="8"/>
  </w:num>
  <w:num w:numId="12" w16cid:durableId="1149515193">
    <w:abstractNumId w:val="8"/>
  </w:num>
  <w:num w:numId="13" w16cid:durableId="1877228937">
    <w:abstractNumId w:val="3"/>
  </w:num>
  <w:num w:numId="14" w16cid:durableId="1636252880">
    <w:abstractNumId w:val="3"/>
  </w:num>
  <w:num w:numId="15" w16cid:durableId="1649431859">
    <w:abstractNumId w:val="2"/>
  </w:num>
  <w:num w:numId="16" w16cid:durableId="560095451">
    <w:abstractNumId w:val="2"/>
  </w:num>
  <w:num w:numId="17" w16cid:durableId="1844780636">
    <w:abstractNumId w:val="1"/>
  </w:num>
  <w:num w:numId="18" w16cid:durableId="1371145636">
    <w:abstractNumId w:val="1"/>
  </w:num>
  <w:num w:numId="19" w16cid:durableId="371930238">
    <w:abstractNumId w:val="0"/>
  </w:num>
  <w:num w:numId="20" w16cid:durableId="817301321">
    <w:abstractNumId w:val="0"/>
  </w:num>
  <w:num w:numId="21" w16cid:durableId="690104585">
    <w:abstractNumId w:val="9"/>
  </w:num>
  <w:num w:numId="22" w16cid:durableId="152382449">
    <w:abstractNumId w:val="7"/>
  </w:num>
  <w:num w:numId="23" w16cid:durableId="1449658644">
    <w:abstractNumId w:val="6"/>
  </w:num>
  <w:num w:numId="24" w16cid:durableId="2053571367">
    <w:abstractNumId w:val="5"/>
  </w:num>
  <w:num w:numId="25" w16cid:durableId="512035504">
    <w:abstractNumId w:val="4"/>
  </w:num>
  <w:num w:numId="26" w16cid:durableId="2006978056">
    <w:abstractNumId w:val="8"/>
  </w:num>
  <w:num w:numId="27" w16cid:durableId="1200631817">
    <w:abstractNumId w:val="3"/>
  </w:num>
  <w:num w:numId="28" w16cid:durableId="1689524944">
    <w:abstractNumId w:val="2"/>
  </w:num>
  <w:num w:numId="29" w16cid:durableId="1219054622">
    <w:abstractNumId w:val="1"/>
  </w:num>
  <w:num w:numId="30" w16cid:durableId="135269401">
    <w:abstractNumId w:val="0"/>
  </w:num>
  <w:num w:numId="31" w16cid:durableId="976687089">
    <w:abstractNumId w:val="9"/>
  </w:num>
  <w:num w:numId="32" w16cid:durableId="1793212328">
    <w:abstractNumId w:val="7"/>
  </w:num>
  <w:num w:numId="33" w16cid:durableId="1679229920">
    <w:abstractNumId w:val="6"/>
  </w:num>
  <w:num w:numId="34" w16cid:durableId="1255702496">
    <w:abstractNumId w:val="5"/>
  </w:num>
  <w:num w:numId="35" w16cid:durableId="1833374714">
    <w:abstractNumId w:val="4"/>
  </w:num>
  <w:num w:numId="36" w16cid:durableId="687681061">
    <w:abstractNumId w:val="8"/>
  </w:num>
  <w:num w:numId="37" w16cid:durableId="923219065">
    <w:abstractNumId w:val="3"/>
  </w:num>
  <w:num w:numId="38" w16cid:durableId="1546020625">
    <w:abstractNumId w:val="2"/>
  </w:num>
  <w:num w:numId="39" w16cid:durableId="124086942">
    <w:abstractNumId w:val="1"/>
  </w:num>
  <w:num w:numId="40" w16cid:durableId="1249343534">
    <w:abstractNumId w:val="0"/>
  </w:num>
  <w:num w:numId="41" w16cid:durableId="1125849373">
    <w:abstractNumId w:val="10"/>
  </w:num>
  <w:num w:numId="42" w16cid:durableId="1785415369">
    <w:abstractNumId w:val="10"/>
  </w:num>
  <w:num w:numId="43" w16cid:durableId="246312368">
    <w:abstractNumId w:val="10"/>
  </w:num>
  <w:num w:numId="44" w16cid:durableId="1874075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1/2025"/>
    <w:docVar w:name="dvlangue" w:val="HU"/>
    <w:docVar w:name="dvnumam" w:val="0"/>
    <w:docVar w:name="dvpe" w:val="778.113"/>
    <w:docVar w:name="dvtitre" w:val="Az Európai Parlament 2025.  ...-i állásfoglalása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ől(D109634/01 – 2025/2897(RSP))"/>
  </w:docVars>
  <w:rsids>
    <w:rsidRoot w:val="003C20BE"/>
    <w:rsid w:val="00002272"/>
    <w:rsid w:val="00064002"/>
    <w:rsid w:val="000677B9"/>
    <w:rsid w:val="000831BA"/>
    <w:rsid w:val="00095491"/>
    <w:rsid w:val="000A42CC"/>
    <w:rsid w:val="000E0DC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C99"/>
    <w:rsid w:val="00395FA1"/>
    <w:rsid w:val="003C20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4F"/>
    <w:rsid w:val="005C2568"/>
    <w:rsid w:val="005F1B17"/>
    <w:rsid w:val="006037C0"/>
    <w:rsid w:val="00623C6A"/>
    <w:rsid w:val="006631B6"/>
    <w:rsid w:val="00680577"/>
    <w:rsid w:val="006C633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FCD"/>
    <w:rsid w:val="00930C23"/>
    <w:rsid w:val="0093193B"/>
    <w:rsid w:val="009509D8"/>
    <w:rsid w:val="00950B64"/>
    <w:rsid w:val="00981893"/>
    <w:rsid w:val="009E29D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0C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8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9EB04"/>
  <w15:chartTrackingRefBased/>
  <w15:docId w15:val="{782652A6-88D7-43BA-B86A-B1431839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5491"/>
    <w:pPr>
      <w:spacing w:before="480" w:after="240"/>
    </w:pPr>
  </w:style>
  <w:style w:type="paragraph" w:customStyle="1" w:styleId="NormalHanging12a">
    <w:name w:val="NormalHanging12a"/>
    <w:basedOn w:val="Normal"/>
    <w:rsid w:val="0009549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95491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095491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9E29D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247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5" Type="http://schemas.openxmlformats.org/officeDocument/2006/relationships/hyperlink" Target="http://data.europa.eu/eli/reg/2002/178/oj" TargetMode="External"/><Relationship Id="rId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893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2026-01-20T10:35:00Z</dcterms:created>
  <dcterms:modified xsi:type="dcterms:W3CDTF">2026-01-20T10:35:00Z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B10-0491/2025</vt:lpwstr>
  </property>
  <property fmtid="{D5CDD505-2E9C-101B-9397-08002B2CF9AE}" pid="4" name="&lt;Type&gt;">
    <vt:lpwstr>RR</vt:lpwstr>
  </property>
</Properties>
</file>