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979" w14:paraId="22AFB206" w14:textId="77777777" w:rsidTr="0010095E">
        <w:trPr>
          <w:trHeight w:hRule="exact" w:val="1418"/>
        </w:trPr>
        <w:tc>
          <w:tcPr>
            <w:tcW w:w="6804" w:type="dxa"/>
            <w:shd w:val="clear" w:color="auto" w:fill="auto"/>
            <w:vAlign w:val="center"/>
          </w:tcPr>
          <w:p w14:paraId="4BE12BCB" w14:textId="77777777" w:rsidR="00751A4A" w:rsidRPr="00E56979" w:rsidRDefault="001752DB" w:rsidP="0010095E">
            <w:pPr>
              <w:pStyle w:val="EPName"/>
            </w:pPr>
            <w:r w:rsidRPr="00E56979">
              <w:t>Eiropas Parlaments</w:t>
            </w:r>
          </w:p>
          <w:p w14:paraId="1859E663" w14:textId="77777777" w:rsidR="00751A4A" w:rsidRPr="00E56979" w:rsidRDefault="005F1B17" w:rsidP="005F1B17">
            <w:pPr>
              <w:pStyle w:val="EPTerm"/>
              <w:rPr>
                <w:rStyle w:val="HideTWBExt"/>
                <w:noProof w:val="0"/>
                <w:vanish w:val="0"/>
                <w:color w:val="auto"/>
              </w:rPr>
            </w:pPr>
            <w:r w:rsidRPr="00E56979">
              <w:t>2024</w:t>
            </w:r>
            <w:r w:rsidR="00817416" w:rsidRPr="00E56979">
              <w:t>-202</w:t>
            </w:r>
            <w:r w:rsidRPr="00E56979">
              <w:t>9</w:t>
            </w:r>
          </w:p>
        </w:tc>
        <w:tc>
          <w:tcPr>
            <w:tcW w:w="2268" w:type="dxa"/>
            <w:shd w:val="clear" w:color="auto" w:fill="auto"/>
          </w:tcPr>
          <w:p w14:paraId="4BE81D0F" w14:textId="77777777" w:rsidR="00751A4A" w:rsidRPr="00E56979" w:rsidRDefault="00187494" w:rsidP="0010095E">
            <w:pPr>
              <w:pStyle w:val="EPLogo"/>
            </w:pPr>
            <w:r w:rsidRPr="00E56979">
              <w:rPr>
                <w:noProof/>
                <w:lang w:eastAsia="ja-JP"/>
              </w:rPr>
              <w:drawing>
                <wp:inline distT="0" distB="0" distL="0" distR="0" wp14:anchorId="602C48F4" wp14:editId="1DF7A8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4D6765" w14:textId="77777777" w:rsidR="00D058B8" w:rsidRPr="00E56979" w:rsidRDefault="00D058B8" w:rsidP="004C5D52">
      <w:pPr>
        <w:pStyle w:val="LineTop"/>
      </w:pPr>
    </w:p>
    <w:p w14:paraId="39847804" w14:textId="77777777" w:rsidR="00680577" w:rsidRPr="00E56979" w:rsidRDefault="001752DB" w:rsidP="00680577">
      <w:pPr>
        <w:pStyle w:val="EPBodyTA1"/>
      </w:pPr>
      <w:r w:rsidRPr="00E56979">
        <w:t>PIEŅEMTIE TEKSTI</w:t>
      </w:r>
    </w:p>
    <w:p w14:paraId="29FD01A1" w14:textId="77777777" w:rsidR="00D058B8" w:rsidRPr="00E56979" w:rsidRDefault="00D058B8" w:rsidP="00D058B8">
      <w:pPr>
        <w:pStyle w:val="LineBottom"/>
      </w:pPr>
    </w:p>
    <w:p w14:paraId="6A343E99" w14:textId="3752CFBB" w:rsidR="001752DB" w:rsidRPr="00E56979" w:rsidRDefault="001752DB" w:rsidP="001752DB">
      <w:pPr>
        <w:pStyle w:val="ATHeading1"/>
      </w:pPr>
      <w:bookmarkStart w:id="0" w:name="TANumber"/>
      <w:r w:rsidRPr="00E56979">
        <w:t>P10_TA(2025)0</w:t>
      </w:r>
      <w:bookmarkEnd w:id="0"/>
      <w:r w:rsidR="00E56979" w:rsidRPr="00E56979">
        <w:t>292</w:t>
      </w:r>
    </w:p>
    <w:p w14:paraId="024DA1EA" w14:textId="34DFE390" w:rsidR="001752DB" w:rsidRPr="00E56979" w:rsidRDefault="00F6382B" w:rsidP="001752DB">
      <w:pPr>
        <w:pStyle w:val="ATHeading2"/>
      </w:pPr>
      <w:bookmarkStart w:id="1" w:name="title"/>
      <w:r w:rsidRPr="00E56979">
        <w:t>Ģ</w:t>
      </w:r>
      <w:r w:rsidR="001752DB" w:rsidRPr="00E56979">
        <w:t>enētiski modificēta</w:t>
      </w:r>
      <w:r w:rsidRPr="00E56979">
        <w:t xml:space="preserve"> </w:t>
      </w:r>
      <w:r w:rsidR="001752DB" w:rsidRPr="00E56979">
        <w:t>kukurūza MON 87427</w:t>
      </w:r>
      <w:bookmarkEnd w:id="1"/>
    </w:p>
    <w:p w14:paraId="77492D66" w14:textId="77777777" w:rsidR="001752DB" w:rsidRPr="00E56979" w:rsidRDefault="001752DB" w:rsidP="001752DB">
      <w:pPr>
        <w:rPr>
          <w:i/>
          <w:vanish/>
        </w:rPr>
      </w:pPr>
      <w:r w:rsidRPr="00E56979">
        <w:rPr>
          <w:i/>
        </w:rPr>
        <w:fldChar w:fldCharType="begin"/>
      </w:r>
      <w:r w:rsidRPr="00E56979">
        <w:rPr>
          <w:i/>
        </w:rPr>
        <w:instrText xml:space="preserve"> TC"(</w:instrText>
      </w:r>
      <w:bookmarkStart w:id="2" w:name="DocNumber"/>
      <w:r w:rsidRPr="00E56979">
        <w:rPr>
          <w:i/>
        </w:rPr>
        <w:instrText>B10-0491/2025</w:instrText>
      </w:r>
      <w:bookmarkEnd w:id="2"/>
      <w:r w:rsidRPr="00E56979">
        <w:rPr>
          <w:i/>
        </w:rPr>
        <w:instrText xml:space="preserve">)"\l3 \n&gt; \* MERGEFORMAT </w:instrText>
      </w:r>
      <w:r w:rsidRPr="00E56979">
        <w:rPr>
          <w:i/>
        </w:rPr>
        <w:fldChar w:fldCharType="end"/>
      </w:r>
    </w:p>
    <w:p w14:paraId="4D5FA661" w14:textId="77777777" w:rsidR="001752DB" w:rsidRPr="00E56979" w:rsidRDefault="001752DB" w:rsidP="001752DB">
      <w:pPr>
        <w:rPr>
          <w:vanish/>
        </w:rPr>
      </w:pPr>
      <w:bookmarkStart w:id="3" w:name="PE"/>
      <w:r w:rsidRPr="00E56979">
        <w:rPr>
          <w:vanish/>
        </w:rPr>
        <w:t>PE778.113</w:t>
      </w:r>
      <w:bookmarkEnd w:id="3"/>
    </w:p>
    <w:p w14:paraId="697EBF9C" w14:textId="035EEFB7" w:rsidR="001752DB" w:rsidRPr="00E56979" w:rsidRDefault="001752DB" w:rsidP="001752DB">
      <w:pPr>
        <w:pStyle w:val="ATHeading3"/>
      </w:pPr>
      <w:bookmarkStart w:id="4" w:name="Sujet"/>
      <w:r w:rsidRPr="00E56979">
        <w:t xml:space="preserve">Eiropas Parlamenta 2025. gada </w:t>
      </w:r>
      <w:r w:rsidR="00F6382B" w:rsidRPr="00E56979">
        <w:t>25</w:t>
      </w:r>
      <w:r w:rsidRPr="00E56979">
        <w:t xml:space="preserve">. </w:t>
      </w:r>
      <w:r w:rsidR="00F6382B" w:rsidRPr="00E56979">
        <w:t xml:space="preserve">novembra </w:t>
      </w:r>
      <w:r w:rsidRPr="00E56979">
        <w:t>rezolūcija par projektu Komisijas īstenošanas lēmumam, ar kuru atbilstoši Eiropas Parlamenta un Padomes Regulai (EK) Nr. 1829/2003 atjauno atļauju laist tirgū produktus, kas satur ģenētiski modificētu kukurūzu MON 87427,</w:t>
      </w:r>
      <w:r w:rsidR="001F5CB1">
        <w:t xml:space="preserve"> </w:t>
      </w:r>
      <w:r w:rsidRPr="00E56979">
        <w:t>sastāv vai ir ražoti no tās</w:t>
      </w:r>
      <w:bookmarkEnd w:id="4"/>
      <w:r w:rsidRPr="00E56979">
        <w:t xml:space="preserve"> </w:t>
      </w:r>
      <w:bookmarkStart w:id="5" w:name="References"/>
      <w:r w:rsidRPr="00E56979">
        <w:t>(D109634/01 – 2025/2897(RSP))</w:t>
      </w:r>
      <w:bookmarkEnd w:id="5"/>
    </w:p>
    <w:p w14:paraId="1D2AC2C8" w14:textId="77777777" w:rsidR="00AD3135" w:rsidRPr="00E56979" w:rsidRDefault="00AD3135" w:rsidP="00AD3135">
      <w:pPr>
        <w:pStyle w:val="EPComma"/>
      </w:pPr>
      <w:bookmarkStart w:id="6" w:name="TextBodyBegin"/>
      <w:bookmarkEnd w:id="6"/>
      <w:r w:rsidRPr="00E56979">
        <w:rPr>
          <w:i/>
        </w:rPr>
        <w:t>Eiropas Parlaments</w:t>
      </w:r>
      <w:r w:rsidRPr="00E56979">
        <w:t>,</w:t>
      </w:r>
    </w:p>
    <w:p w14:paraId="0C7F3E43" w14:textId="77777777" w:rsidR="00AD3135" w:rsidRPr="00E56979" w:rsidRDefault="00AD3135" w:rsidP="00AD3135">
      <w:pPr>
        <w:pStyle w:val="NormalHanging12a"/>
      </w:pPr>
      <w:r w:rsidRPr="00E56979">
        <w:t>–</w:t>
      </w:r>
      <w:r w:rsidRPr="00E56979">
        <w:tab/>
        <w:t>ņemot vērā projektu Komisijas īstenošanas lēmumam, ar kuru atbilstoši Eiropas Parlamenta un Padomes Regulai (EK) Nr. 1829/2003 atjauno atļauju laist tirgū produktus, kas satur ģenētiski modificētu kukurūzu MON 87427, sastāv vai ir ražoti no tās (D109634/01),</w:t>
      </w:r>
    </w:p>
    <w:p w14:paraId="08844E62" w14:textId="77777777" w:rsidR="00AD3135" w:rsidRPr="00E56979" w:rsidRDefault="00AD3135" w:rsidP="00AD3135">
      <w:pPr>
        <w:pStyle w:val="NormalHanging12a"/>
      </w:pPr>
      <w:r w:rsidRPr="00E56979">
        <w:t>–</w:t>
      </w:r>
      <w:r w:rsidRPr="00E56979">
        <w:tab/>
        <w:t>ņemot vērā Eiropas Parlamenta un Padomes 2003. gada 22. septembra Regulu (EK) Nr. 1829/2003 par ģenētiski modificētu pārtiku un barību</w:t>
      </w:r>
      <w:r w:rsidRPr="00E56979">
        <w:rPr>
          <w:rStyle w:val="FootnoteReference"/>
        </w:rPr>
        <w:footnoteReference w:id="1"/>
      </w:r>
      <w:r w:rsidRPr="00E56979">
        <w:t xml:space="preserve"> un jo īpaši tās 11. panta 3. punktu un 23. panta 3. punktu,</w:t>
      </w:r>
    </w:p>
    <w:p w14:paraId="56BFC85D" w14:textId="4DDBDAE4" w:rsidR="00AD3135" w:rsidRPr="00E56979" w:rsidRDefault="00AD3135" w:rsidP="00AD3135">
      <w:pPr>
        <w:pStyle w:val="NormalHanging12a"/>
      </w:pPr>
      <w:bookmarkStart w:id="7" w:name="_Hlk210666078"/>
      <w:r w:rsidRPr="00E56979">
        <w:t>–</w:t>
      </w:r>
      <w:r w:rsidRPr="00E56979">
        <w:tab/>
        <w:t xml:space="preserve">ņemot vērā Regulas (EK) Nr. 1829/2003 35. pantā minētās </w:t>
      </w:r>
      <w:bookmarkStart w:id="8" w:name="_Hlk210664905"/>
      <w:r w:rsidRPr="00E56979">
        <w:t>Augu, dzīvnieku, pārtikas aprites un dzīvnieku barības pastāvīgās komitejas</w:t>
      </w:r>
      <w:bookmarkEnd w:id="8"/>
      <w:r w:rsidRPr="00E56979">
        <w:t xml:space="preserve"> 2025. gada 15. septembra balsojumu</w:t>
      </w:r>
      <w:bookmarkEnd w:id="7"/>
      <w:r w:rsidRPr="00E56979">
        <w:t>, kura dēļ atzinums netika sniegts,</w:t>
      </w:r>
      <w:r w:rsidR="00DB6E19" w:rsidRPr="00E56979">
        <w:t xml:space="preserve"> </w:t>
      </w:r>
      <w:r w:rsidR="00690186" w:rsidRPr="00E56979">
        <w:t>un Pārsūdzības komitejas 2025. gada 21. oktobra balsojumu, atkal nesniedzot atzinumu</w:t>
      </w:r>
    </w:p>
    <w:p w14:paraId="16766B8F" w14:textId="77777777" w:rsidR="00AD3135" w:rsidRPr="00E56979" w:rsidRDefault="00AD3135" w:rsidP="00AD3135">
      <w:pPr>
        <w:pStyle w:val="NormalHanging12a"/>
      </w:pPr>
      <w:r w:rsidRPr="00E56979">
        <w:t>–</w:t>
      </w:r>
      <w:r w:rsidRPr="00E56979">
        <w:tab/>
        <w:t>ņemot vērā 11. pantu Eiropas Parlamenta un Padomes 2011. gada 16. februāra Regulā (ES) Nr. 182/2011, ar ko nosaka normas un vispārīgus principus par dalībvalstu kontroles mehānismiem, kuri attiecas uz Komisijas īstenošanas pilnvaru izmantošanu</w:t>
      </w:r>
      <w:r w:rsidRPr="00E56979">
        <w:rPr>
          <w:rStyle w:val="FootnoteReference"/>
        </w:rPr>
        <w:footnoteReference w:id="2"/>
      </w:r>
      <w:r w:rsidRPr="00E56979">
        <w:t>,</w:t>
      </w:r>
    </w:p>
    <w:p w14:paraId="58090345" w14:textId="77777777" w:rsidR="00AD3135" w:rsidRPr="00E56979" w:rsidRDefault="00AD3135" w:rsidP="00AD3135">
      <w:pPr>
        <w:pStyle w:val="NormalHanging12a"/>
      </w:pPr>
      <w:r w:rsidRPr="00E56979">
        <w:t>–</w:t>
      </w:r>
      <w:r w:rsidRPr="00E56979">
        <w:tab/>
        <w:t>ņemot vērā Eiropas Pārtikas nekaitīguma iestādes (</w:t>
      </w:r>
      <w:r w:rsidRPr="00E56979">
        <w:rPr>
          <w:i/>
        </w:rPr>
        <w:t>EFSA</w:t>
      </w:r>
      <w:r w:rsidRPr="00E56979">
        <w:t>) 2025. gada 27. martā pieņemto atzinumu, kas publicēts 2025. gada 13. maijā</w:t>
      </w:r>
      <w:r w:rsidRPr="00E56979">
        <w:rPr>
          <w:rStyle w:val="FootnoteReference"/>
          <w:szCs w:val="24"/>
        </w:rPr>
        <w:footnoteReference w:id="3"/>
      </w:r>
      <w:r w:rsidRPr="00E56979">
        <w:t>,</w:t>
      </w:r>
    </w:p>
    <w:p w14:paraId="6CCF625A" w14:textId="77777777" w:rsidR="00AD3135" w:rsidRPr="00E56979" w:rsidRDefault="00AD3135" w:rsidP="00AD3135">
      <w:pPr>
        <w:pStyle w:val="NormalHanging12a"/>
      </w:pPr>
      <w:r w:rsidRPr="00E56979">
        <w:t xml:space="preserve">– </w:t>
      </w:r>
      <w:r w:rsidRPr="00E56979">
        <w:tab/>
        <w:t xml:space="preserve">ņemot vērā Parlamenta iepriekšējās rezolūcijas, kurās iebilsts pret atļauju izmantot </w:t>
      </w:r>
      <w:r w:rsidRPr="00E56979">
        <w:lastRenderedPageBreak/>
        <w:t>ģenētiski modificētus organismus ("ĢM")</w:t>
      </w:r>
      <w:bookmarkStart w:id="9" w:name="_Hlk210666451"/>
      <w:r w:rsidRPr="00E56979">
        <w:rPr>
          <w:rStyle w:val="FootnoteReference"/>
        </w:rPr>
        <w:footnoteReference w:id="4"/>
      </w:r>
      <w:bookmarkEnd w:id="9"/>
      <w:r w:rsidRPr="00E56979">
        <w:t>,</w:t>
      </w:r>
    </w:p>
    <w:p w14:paraId="6AFD134C" w14:textId="77777777" w:rsidR="00AD3135" w:rsidRPr="00E56979" w:rsidRDefault="00AD3135" w:rsidP="00AD3135">
      <w:pPr>
        <w:pStyle w:val="NormalHanging12a"/>
      </w:pPr>
      <w:r w:rsidRPr="00E56979">
        <w:lastRenderedPageBreak/>
        <w:t>–</w:t>
      </w:r>
      <w:r w:rsidRPr="00E56979">
        <w:tab/>
      </w:r>
      <w:bookmarkStart w:id="10" w:name="_Hlk210059365"/>
      <w:r w:rsidRPr="00E56979">
        <w:t>ņemot vērā Reglamenta 115. panta 2. un 3. punktu,</w:t>
      </w:r>
    </w:p>
    <w:bookmarkEnd w:id="10"/>
    <w:p w14:paraId="09DA4D83" w14:textId="77777777" w:rsidR="00AD3135" w:rsidRPr="00E56979" w:rsidRDefault="00AD3135" w:rsidP="00AD3135">
      <w:pPr>
        <w:pStyle w:val="NormalHanging12a"/>
      </w:pPr>
      <w:r w:rsidRPr="00E56979">
        <w:t>–</w:t>
      </w:r>
      <w:r w:rsidRPr="00E56979">
        <w:tab/>
        <w:t xml:space="preserve">ņemot vērā Vides, klimata un pārtikas nekaitīguma komitejas rezolūcijas priekšlikumu, </w:t>
      </w:r>
    </w:p>
    <w:p w14:paraId="16DC5AA8" w14:textId="77777777" w:rsidR="00AD3135" w:rsidRPr="00E56979" w:rsidRDefault="00AD3135" w:rsidP="00AD3135">
      <w:pPr>
        <w:spacing w:after="240"/>
        <w:ind w:left="567" w:hanging="567"/>
      </w:pPr>
      <w:r w:rsidRPr="00E56979">
        <w:t>A.</w:t>
      </w:r>
      <w:r w:rsidRPr="00E56979">
        <w:tab/>
        <w:t>tā kā ar Komisijas 2015. gada 4. decembra Īstenošanas lēmumu (ES) 2015/2281</w:t>
      </w:r>
      <w:r w:rsidRPr="00E56979">
        <w:rPr>
          <w:rStyle w:val="FootnoteReference"/>
        </w:rPr>
        <w:footnoteReference w:id="5"/>
      </w:r>
      <w:r w:rsidRPr="00E56979">
        <w:t xml:space="preserve"> tika atļauts laist tirgū produktus, kas satur ģenētiski modificētu kukurūzu MON 87427 ("ĢM kukurūza"), sastāv vai ir ražoti no tās;</w:t>
      </w:r>
    </w:p>
    <w:p w14:paraId="1E8E9E20" w14:textId="77777777" w:rsidR="00AD3135" w:rsidRPr="00E56979" w:rsidRDefault="00AD3135" w:rsidP="00AD3135">
      <w:pPr>
        <w:spacing w:after="240"/>
        <w:ind w:left="567" w:hanging="567"/>
      </w:pPr>
      <w:r w:rsidRPr="00E56979">
        <w:t>B.</w:t>
      </w:r>
      <w:r w:rsidRPr="00E56979">
        <w:tab/>
        <w:t xml:space="preserve">tā kā 2024. gada 19. martā Beļģijā bāzētais uzņēmums </w:t>
      </w:r>
      <w:r w:rsidRPr="00E56979">
        <w:rPr>
          <w:i/>
        </w:rPr>
        <w:t>Bayer Agriculture B.V.</w:t>
      </w:r>
      <w:r w:rsidRPr="00E56979">
        <w:t xml:space="preserve"> Amerikas Savienotajās Valstīs bāzētā uzņēmuma </w:t>
      </w:r>
      <w:r w:rsidRPr="00E56979">
        <w:rPr>
          <w:i/>
        </w:rPr>
        <w:t>Bayer CropScience LP</w:t>
      </w:r>
      <w:r w:rsidRPr="00E56979">
        <w:t xml:space="preserve"> vārdā Komisijai iesniedza Regulas (EK) Nr. 1829/2003 11. un 23. pantam atbilstošu pieteikumu uz atļaujas atjaunošanu;</w:t>
      </w:r>
    </w:p>
    <w:p w14:paraId="6054E2DA" w14:textId="77777777" w:rsidR="00AD3135" w:rsidRPr="00E56979" w:rsidRDefault="00AD3135" w:rsidP="00AD3135">
      <w:pPr>
        <w:spacing w:after="240"/>
        <w:ind w:left="567" w:hanging="567"/>
      </w:pPr>
      <w:r w:rsidRPr="00E56979">
        <w:t>C.</w:t>
      </w:r>
      <w:r w:rsidRPr="00E56979">
        <w:tab/>
        <w:t>tā kā atjaunošanas pieteikuma darbības joma attiecas uz pārtiku un barību, kas satur ĢM kukurūzu, sastāv vai ir ražota no tās, un produktiem, kas to satur vai sastāv no tās un kas paredzēti citiem lietojumiem, nevis pārtikai un barībai, izņemot audzēšanu; tā kā šī atļauja darbojas arī attiecībā uz tādu produktu laišanu tirgū, kas nav pārtika vai barība un satur ĢM kukurūzu vai sastāv no tās un kas paredzēti izmantošanai tādos pašos veidos kā jebkura cita kukurūza, izņemot audzēšanu;</w:t>
      </w:r>
    </w:p>
    <w:p w14:paraId="338FABFF" w14:textId="77777777" w:rsidR="00AD3135" w:rsidRPr="00E56979" w:rsidRDefault="00AD3135" w:rsidP="00AD3135">
      <w:pPr>
        <w:spacing w:after="240"/>
        <w:ind w:left="567" w:hanging="567"/>
      </w:pPr>
      <w:r w:rsidRPr="00E56979">
        <w:t>D.</w:t>
      </w:r>
      <w:r w:rsidRPr="00E56979">
        <w:tab/>
        <w:t xml:space="preserve">tā kā </w:t>
      </w:r>
      <w:r w:rsidRPr="00E56979">
        <w:rPr>
          <w:i/>
        </w:rPr>
        <w:t>EFSA</w:t>
      </w:r>
      <w:r w:rsidRPr="00E56979">
        <w:t xml:space="preserve"> 2025. gada 27. martā izdeva labvēlīgu atzinumu, secinot, ka atjaunošanas pieteikumā nav pierādījumu par jauniem apdraudējumiem, mainītu iedarbību vai zinātniskām neskaidrībām, kas mainītu 2015. gadā publicētā sākotnējā riska novērtējuma secinājumus;</w:t>
      </w:r>
    </w:p>
    <w:p w14:paraId="29C63792" w14:textId="77777777" w:rsidR="00AD3135" w:rsidRPr="00E56979" w:rsidRDefault="00AD3135" w:rsidP="00AD3135">
      <w:pPr>
        <w:spacing w:after="240"/>
        <w:ind w:left="567" w:hanging="567"/>
      </w:pPr>
      <w:r w:rsidRPr="00E56979">
        <w:t>E.</w:t>
      </w:r>
      <w:r w:rsidRPr="00E56979">
        <w:tab/>
        <w:t xml:space="preserve">tā kā </w:t>
      </w:r>
      <w:r w:rsidRPr="00E56979">
        <w:rPr>
          <w:i/>
        </w:rPr>
        <w:t>EFSA</w:t>
      </w:r>
      <w:r w:rsidRPr="00E56979">
        <w:t xml:space="preserve"> novērtējumā netika pietiekami ņemta vērā glifosāta lietošanas palielināšanās kumulatīvā un kombinētā ietekme, ilgtermiņa toksikoloģiskie pētījumi un netiešās ekoloģiskās sekas;</w:t>
      </w:r>
    </w:p>
    <w:p w14:paraId="344E9F07" w14:textId="77777777" w:rsidR="00AD3135" w:rsidRPr="00E56979" w:rsidRDefault="00AD3135" w:rsidP="00AD3135">
      <w:pPr>
        <w:spacing w:after="240"/>
        <w:ind w:left="567" w:hanging="567"/>
      </w:pPr>
      <w:r w:rsidRPr="00E56979">
        <w:t>F.</w:t>
      </w:r>
      <w:r w:rsidRPr="00E56979">
        <w:tab/>
        <w:t>tā kā ĢM kukurūza ir noturīga pret glifosātu; tā kā glifosāts ir ticis saistīts ar biodaudzveidības, augsnes un ūdens veselības apdraudējumu, kā arī ar iespējamu ietekmi uz cilvēku veselību;</w:t>
      </w:r>
    </w:p>
    <w:p w14:paraId="473791DB" w14:textId="77777777" w:rsidR="00AD3135" w:rsidRPr="00E56979" w:rsidRDefault="00AD3135" w:rsidP="00AD3135">
      <w:pPr>
        <w:spacing w:after="240"/>
        <w:ind w:left="567" w:hanging="567"/>
      </w:pPr>
      <w:r w:rsidRPr="00E56979">
        <w:t>G.</w:t>
      </w:r>
      <w:r w:rsidRPr="00E56979">
        <w:tab/>
        <w:t xml:space="preserve">tā kā pret glifosātu noturīgu ĢM kultūraugu audzēšana plašā mērogā eksportētājvalstīs ir novedusi pie lielākas herbicīdu lietošanas, rezistentu nezāļu parādīšanās un negatīvām </w:t>
      </w:r>
      <w:r w:rsidRPr="00E56979">
        <w:lastRenderedPageBreak/>
        <w:t>sekām lauksaimniecības sistēmām, ekosistēmām un lauku kopienām;</w:t>
      </w:r>
    </w:p>
    <w:p w14:paraId="39E34EE2" w14:textId="77777777" w:rsidR="00AD3135" w:rsidRPr="00E56979" w:rsidRDefault="00AD3135" w:rsidP="00AD3135">
      <w:pPr>
        <w:spacing w:after="240"/>
        <w:ind w:left="567" w:hanging="567"/>
      </w:pPr>
      <w:r w:rsidRPr="00E56979">
        <w:t>H.</w:t>
      </w:r>
      <w:r w:rsidRPr="00E56979">
        <w:tab/>
        <w:t>tā kā Komisijas īstenošanas lēmuma projektā paredzētais vides ietekmes monitoringa plāns lielā mērā balstās uz vispārēju uzraudzību, neparedzot mērķorientētus, neatkarīgus ilgtermiņa pētījumus par apputeksnētājiem, augsnes organismiem, ūdens organismiem un nemērķa sugām;</w:t>
      </w:r>
    </w:p>
    <w:p w14:paraId="60560326" w14:textId="77777777" w:rsidR="00AD3135" w:rsidRPr="00E56979" w:rsidRDefault="00AD3135" w:rsidP="00AD3135">
      <w:pPr>
        <w:spacing w:after="240"/>
        <w:ind w:left="567" w:hanging="567"/>
      </w:pPr>
      <w:r w:rsidRPr="00E56979">
        <w:t>I.</w:t>
      </w:r>
      <w:r w:rsidRPr="00E56979">
        <w:tab/>
        <w:t>tā kā zinātniskas neskaidrības un potenciāla kaitējuma pierādījumu gadījumos būtu jāpiemēro piesardzības princips, kas noteikts Līguma par Eiropas Savienības darbību 191. pantā;</w:t>
      </w:r>
    </w:p>
    <w:p w14:paraId="5EC3BAD8" w14:textId="77777777" w:rsidR="00AD3135" w:rsidRPr="00E56979" w:rsidRDefault="00AD3135" w:rsidP="00AD3135">
      <w:pPr>
        <w:spacing w:after="240"/>
        <w:ind w:left="567" w:hanging="567"/>
      </w:pPr>
      <w:r w:rsidRPr="00E56979">
        <w:t>J.</w:t>
      </w:r>
      <w:r w:rsidRPr="00E56979">
        <w:tab/>
        <w:t>tā kā Regula (EK) Nr. 1829/2003 nosaka, ka ĢM pārtikai un barībai nedrīkst būt negatīva ietekme uz cilvēku veselību, dzīvnieku veselību vai vidi;</w:t>
      </w:r>
    </w:p>
    <w:p w14:paraId="15E3DBD8" w14:textId="77777777" w:rsidR="00AD3135" w:rsidRPr="00E56979" w:rsidRDefault="00AD3135" w:rsidP="00AD3135">
      <w:pPr>
        <w:spacing w:after="240"/>
        <w:ind w:left="567" w:hanging="567"/>
      </w:pPr>
      <w:r w:rsidRPr="00E56979">
        <w:t>K.</w:t>
      </w:r>
      <w:r w:rsidRPr="00E56979">
        <w:tab/>
        <w:t>tā kā pieeja "Viena veselība" paredz, ka, novērtējot ĢMO ilgtermiņa ilgtspējību un drošumu, jāņem vērā cilvēku, dzīvnieku, augu un vides veselības savstarpējā atkarība;</w:t>
      </w:r>
    </w:p>
    <w:p w14:paraId="6175AC1B" w14:textId="77777777" w:rsidR="00AD3135" w:rsidRPr="00E56979" w:rsidRDefault="00AD3135" w:rsidP="00AD3135">
      <w:pPr>
        <w:spacing w:after="240"/>
        <w:ind w:left="567" w:hanging="567"/>
      </w:pPr>
      <w:r w:rsidRPr="00E56979">
        <w:t>L.</w:t>
      </w:r>
      <w:r w:rsidRPr="00E56979">
        <w:tab/>
        <w:t>tā kā Parlaments ir pastāvīgi iebildis pret ĢMO atļauju piešķiršanu vai atjaunošanu gadījumos, kad dalībvalstu vidū nav panākts kvalificēts balsu vairākums Augu, dzīvnieku, pārtikas aprites un dzīvnieku barības pastāvīgajā komitejā vai Apelācijas komitejā, norādot uz ilgstošu demokrātijas trūkumu atļauju piešķiršanas procedūrā,</w:t>
      </w:r>
    </w:p>
    <w:p w14:paraId="7A588250" w14:textId="77777777" w:rsidR="00AD3135" w:rsidRPr="00E56979" w:rsidRDefault="00AD3135" w:rsidP="00AD3135">
      <w:pPr>
        <w:spacing w:after="240"/>
        <w:ind w:left="567" w:hanging="567"/>
      </w:pPr>
      <w:r w:rsidRPr="00E56979">
        <w:t>1.</w:t>
      </w:r>
      <w:r w:rsidRPr="00E56979">
        <w:tab/>
        <w:t>uzskata, ka Komisijas īstenošanas lēmuma projekts pārsniedz Regulā (EK) Nr. 1829/2003 paredzētās īstenošanas pilnvaras;</w:t>
      </w:r>
    </w:p>
    <w:p w14:paraId="308C3697" w14:textId="77777777" w:rsidR="00AD3135" w:rsidRPr="00E56979" w:rsidRDefault="00AD3135" w:rsidP="00AD3135">
      <w:pPr>
        <w:spacing w:after="240"/>
        <w:ind w:left="567" w:hanging="567"/>
      </w:pPr>
      <w:r w:rsidRPr="00E56979">
        <w:t>2.</w:t>
      </w:r>
      <w:r w:rsidRPr="00E56979">
        <w:tab/>
        <w:t>uzskata, ka Komisijas īstenošanas lēmuma projekts neatbilst Savienības tiesību aktiem, jo nav saderīgs ar Regulas (EK) Nr. 1829/2003 mērķi, kas saskaņā ar Eiropas Parlamenta un Padomes Regulā (EK) Nr. 178/2002</w:t>
      </w:r>
      <w:r w:rsidRPr="00E56979">
        <w:rPr>
          <w:rStyle w:val="FootnoteReference"/>
        </w:rPr>
        <w:footnoteReference w:id="6"/>
      </w:r>
      <w:r w:rsidRPr="00E56979">
        <w:t xml:space="preserve"> paredzētajiem vispārējiem principiem ir nodrošināt pamatu, lai garantētu cilvēku dzīvības un veselības, dzīvnieku veselības un labturības, vides un patērētāju interešu augsta līmeņa aizsardzību saistībā ar ģenētiski modificētu pārtiku un barību, vienlaikus nodrošinot efektīvu iekšējā tirgus darbību un atbilstību piesardzības principam;</w:t>
      </w:r>
    </w:p>
    <w:p w14:paraId="0E171EB1" w14:textId="77777777" w:rsidR="00AD3135" w:rsidRPr="00E56979" w:rsidRDefault="00AD3135" w:rsidP="00AD3135">
      <w:pPr>
        <w:spacing w:after="240"/>
        <w:ind w:left="567" w:hanging="567"/>
      </w:pPr>
      <w:r w:rsidRPr="00E56979">
        <w:t>3.</w:t>
      </w:r>
      <w:r w:rsidRPr="00E56979">
        <w:tab/>
        <w:t>prasa Komisijai atsaukt īstenošanas lēmuma projektu;</w:t>
      </w:r>
    </w:p>
    <w:p w14:paraId="28012BFE" w14:textId="77777777" w:rsidR="00AD3135" w:rsidRPr="00E56979" w:rsidRDefault="00AD3135" w:rsidP="00AD3135">
      <w:pPr>
        <w:spacing w:after="240"/>
        <w:ind w:left="567" w:hanging="567"/>
      </w:pPr>
      <w:r w:rsidRPr="00E56979">
        <w:t>4.</w:t>
      </w:r>
      <w:r w:rsidRPr="00E56979">
        <w:tab/>
        <w:t>aicina Komisiju neatjaunot ĢM kukurūzas atļauju, ņemot vērā riskus, kas saistīti ar glifosāta lietošanu, rezistentām nezālēm, biodaudzveidības zudumu un nepietiekamiem ilgtermiņa pierādījumiem saskaņā ar pieeju "Viena veselība";</w:t>
      </w:r>
      <w:bookmarkStart w:id="11" w:name="_Hlk210900300"/>
    </w:p>
    <w:p w14:paraId="500171E2" w14:textId="77777777" w:rsidR="00AD3135" w:rsidRPr="00E56979" w:rsidRDefault="00AD3135" w:rsidP="00AD3135">
      <w:pPr>
        <w:spacing w:after="240"/>
        <w:ind w:left="567" w:hanging="567"/>
      </w:pPr>
      <w:r w:rsidRPr="00E56979">
        <w:t>5.</w:t>
      </w:r>
      <w:r w:rsidRPr="00E56979">
        <w:tab/>
        <w:t>aicina Komisiju nekavējoties iesniegt tiesību akta priekšlikumu par lēmumu pieņemšanas procedūras reformu attiecībā uz ĢMO, lai reaģētu uz Parlamenta pastāvīgajiem iebildumiem un kvalificēta vairākuma atbalsta trūkumu dalībvalstu vidū;</w:t>
      </w:r>
      <w:bookmarkEnd w:id="11"/>
      <w:r w:rsidRPr="00E56979">
        <w:t>;</w:t>
      </w:r>
      <w:bookmarkStart w:id="12" w:name="_Hlk210900241"/>
    </w:p>
    <w:p w14:paraId="627AD74C" w14:textId="77777777" w:rsidR="00AD3135" w:rsidRPr="00E56979" w:rsidRDefault="00AD3135" w:rsidP="00AD3135">
      <w:pPr>
        <w:spacing w:after="240"/>
        <w:ind w:left="567" w:hanging="567"/>
      </w:pPr>
      <w:r w:rsidRPr="00E56979">
        <w:t>6.</w:t>
      </w:r>
      <w:r w:rsidRPr="00E56979">
        <w:tab/>
        <w:t>mudina Komisiju ņemt vērā Savienības saistības saskaņā ar starptautiskiem nolīgumiem, piemēram, Parīzes Klimata nolīgumu, ANO Konvenciju par bioloģisko daudzveidību un ANO ilgtspējīgas attīstības mērķus;</w:t>
      </w:r>
    </w:p>
    <w:bookmarkEnd w:id="12"/>
    <w:p w14:paraId="1DA2638A" w14:textId="73E8B883" w:rsidR="00413662" w:rsidRPr="00E56979" w:rsidRDefault="00AD3135" w:rsidP="00413662">
      <w:pPr>
        <w:spacing w:after="240"/>
        <w:ind w:left="567" w:hanging="567"/>
      </w:pPr>
      <w:r w:rsidRPr="00E56979">
        <w:lastRenderedPageBreak/>
        <w:t>7.</w:t>
      </w:r>
      <w:r w:rsidRPr="00E56979">
        <w:tab/>
        <w:t>uzdod priekšsēdētājai šo rezolūciju nosūtīt Padomei un Komisijai, kā arī dalībvalstu valdībām un parlamentiem.</w:t>
      </w:r>
    </w:p>
    <w:p w14:paraId="434F1854" w14:textId="3BEB40CF" w:rsidR="00E365E1" w:rsidRPr="00E56979" w:rsidRDefault="00E365E1" w:rsidP="001752DB"/>
    <w:sectPr w:rsidR="00E365E1" w:rsidRPr="00E56979" w:rsidSect="004136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97421" w14:textId="77777777" w:rsidR="001752DB" w:rsidRPr="00413662" w:rsidRDefault="001752DB">
      <w:r w:rsidRPr="00413662">
        <w:separator/>
      </w:r>
    </w:p>
  </w:endnote>
  <w:endnote w:type="continuationSeparator" w:id="0">
    <w:p w14:paraId="04121398" w14:textId="77777777" w:rsidR="001752DB" w:rsidRPr="00413662" w:rsidRDefault="001752DB">
      <w:r w:rsidRPr="004136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A5A6B" w14:textId="77777777" w:rsidR="00064002" w:rsidRPr="004136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EB65F" w14:textId="77777777" w:rsidR="00064002" w:rsidRPr="004136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E508" w14:textId="77777777" w:rsidR="00064002" w:rsidRPr="004136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CE15" w14:textId="77777777" w:rsidR="001752DB" w:rsidRPr="00413662" w:rsidRDefault="001752DB">
      <w:r w:rsidRPr="00413662">
        <w:separator/>
      </w:r>
    </w:p>
  </w:footnote>
  <w:footnote w:type="continuationSeparator" w:id="0">
    <w:p w14:paraId="723B6756" w14:textId="77777777" w:rsidR="001752DB" w:rsidRPr="00413662" w:rsidRDefault="001752DB">
      <w:r w:rsidRPr="00413662">
        <w:continuationSeparator/>
      </w:r>
    </w:p>
  </w:footnote>
  <w:footnote w:id="1">
    <w:p w14:paraId="731B1DFB" w14:textId="09382D32" w:rsidR="00AD3135" w:rsidRPr="00413662" w:rsidRDefault="00AD3135" w:rsidP="00413662">
      <w:pPr>
        <w:pStyle w:val="FootnoteText"/>
        <w:ind w:left="567" w:hanging="567"/>
        <w:rPr>
          <w:sz w:val="24"/>
          <w:lang w:val="lv-LV"/>
        </w:rPr>
      </w:pPr>
      <w:r w:rsidRPr="00413662">
        <w:rPr>
          <w:rStyle w:val="FootnoteReference"/>
          <w:sz w:val="24"/>
          <w:lang w:val="lv-LV"/>
        </w:rPr>
        <w:footnoteRef/>
      </w:r>
      <w:r w:rsidR="00413662" w:rsidRPr="00413662">
        <w:rPr>
          <w:sz w:val="24"/>
          <w:lang w:val="lv-LV"/>
        </w:rPr>
        <w:t xml:space="preserve"> </w:t>
      </w:r>
      <w:r w:rsidR="00413662" w:rsidRPr="00413662">
        <w:rPr>
          <w:sz w:val="24"/>
          <w:lang w:val="lv-LV"/>
        </w:rPr>
        <w:tab/>
      </w:r>
      <w:r w:rsidRPr="00413662">
        <w:rPr>
          <w:sz w:val="24"/>
          <w:lang w:val="lv-LV"/>
        </w:rPr>
        <w:t xml:space="preserve">OV L 268, 18.10.2003., 1. lpp., </w:t>
      </w:r>
      <w:hyperlink r:id="rId1" w:tooltip="http://data.europa.eu/eli/reg/2003/1829/oj" w:history="1">
        <w:r w:rsidRPr="00413662">
          <w:rPr>
            <w:rStyle w:val="Hyperlink"/>
            <w:sz w:val="24"/>
            <w:lang w:val="lv-LV"/>
          </w:rPr>
          <w:t>http://data.europa.eu/eli/dir/2009/43/oj</w:t>
        </w:r>
      </w:hyperlink>
      <w:r w:rsidRPr="00413662">
        <w:rPr>
          <w:sz w:val="24"/>
          <w:lang w:val="lv-LV"/>
        </w:rPr>
        <w:t>.</w:t>
      </w:r>
    </w:p>
  </w:footnote>
  <w:footnote w:id="2">
    <w:p w14:paraId="725A2BEE" w14:textId="7AF04D21" w:rsidR="00AD3135" w:rsidRPr="00413662" w:rsidRDefault="00AD3135" w:rsidP="00413662">
      <w:pPr>
        <w:pStyle w:val="FootnoteText"/>
        <w:ind w:left="567" w:hanging="567"/>
        <w:rPr>
          <w:sz w:val="24"/>
          <w:lang w:val="lv-LV"/>
        </w:rPr>
      </w:pPr>
      <w:r w:rsidRPr="00413662">
        <w:rPr>
          <w:rStyle w:val="FootnoteReference"/>
          <w:sz w:val="24"/>
          <w:lang w:val="lv-LV"/>
        </w:rPr>
        <w:footnoteRef/>
      </w:r>
      <w:r w:rsidR="00413662" w:rsidRPr="00413662">
        <w:rPr>
          <w:sz w:val="24"/>
          <w:lang w:val="lv-LV"/>
        </w:rPr>
        <w:t xml:space="preserve"> </w:t>
      </w:r>
      <w:r w:rsidR="00413662" w:rsidRPr="00413662">
        <w:rPr>
          <w:sz w:val="24"/>
          <w:lang w:val="lv-LV"/>
        </w:rPr>
        <w:tab/>
      </w:r>
      <w:r w:rsidRPr="00413662">
        <w:rPr>
          <w:sz w:val="24"/>
          <w:lang w:val="lv-LV"/>
        </w:rPr>
        <w:t xml:space="preserve">OV L 55, 28.2.2011., 13. lpp., ELI: </w:t>
      </w:r>
      <w:hyperlink r:id="rId2" w:history="1">
        <w:r w:rsidRPr="00413662">
          <w:rPr>
            <w:rStyle w:val="Hyperlink"/>
            <w:sz w:val="24"/>
            <w:lang w:val="lv-LV"/>
          </w:rPr>
          <w:t>https://eur-lex.europa.eu/eli/reg/2011/182/oj</w:t>
        </w:r>
      </w:hyperlink>
      <w:r w:rsidRPr="00413662">
        <w:rPr>
          <w:sz w:val="24"/>
          <w:lang w:val="lv-LV"/>
        </w:rPr>
        <w:t>.</w:t>
      </w:r>
    </w:p>
  </w:footnote>
  <w:footnote w:id="3">
    <w:p w14:paraId="08542C25" w14:textId="511CEDE0" w:rsidR="00AD3135" w:rsidRPr="00413662" w:rsidRDefault="00AD3135" w:rsidP="00413662">
      <w:pPr>
        <w:pStyle w:val="FootnoteText"/>
        <w:ind w:left="567" w:hanging="567"/>
        <w:rPr>
          <w:sz w:val="24"/>
          <w:lang w:val="lv-LV"/>
        </w:rPr>
      </w:pPr>
      <w:r w:rsidRPr="00413662">
        <w:rPr>
          <w:rStyle w:val="Funotenzeichen"/>
          <w:sz w:val="24"/>
          <w:lang w:val="lv-LV"/>
        </w:rPr>
        <w:footnoteRef/>
      </w:r>
      <w:r w:rsidR="00413662" w:rsidRPr="00413662">
        <w:rPr>
          <w:sz w:val="24"/>
          <w:lang w:val="lv-LV"/>
        </w:rPr>
        <w:t xml:space="preserve"> </w:t>
      </w:r>
      <w:r w:rsidR="00413662" w:rsidRPr="00413662">
        <w:rPr>
          <w:sz w:val="24"/>
          <w:lang w:val="lv-LV"/>
        </w:rPr>
        <w:tab/>
      </w:r>
      <w:r w:rsidRPr="00413662">
        <w:rPr>
          <w:sz w:val="24"/>
          <w:lang w:val="lv-LV"/>
        </w:rPr>
        <w:t xml:space="preserve">EFSA Ekspertu grupas ģenētiski modificētu organismu jautājumos zinātniskais atzinums "Ģenētiski modificētas kukurūzas MON 87427 novērtējums (pieteikums GMFF-2023-21254)", </w:t>
      </w:r>
      <w:r w:rsidRPr="00413662">
        <w:rPr>
          <w:i/>
          <w:sz w:val="24"/>
          <w:lang w:val="lv-LV"/>
        </w:rPr>
        <w:t>EFSA Journal</w:t>
      </w:r>
      <w:r w:rsidRPr="00413662">
        <w:rPr>
          <w:sz w:val="24"/>
          <w:lang w:val="lv-LV"/>
        </w:rPr>
        <w:t xml:space="preserve">, 23. sēj., Nr. 5, 2025, 9380. raksts, </w:t>
      </w:r>
      <w:hyperlink r:id="rId3" w:history="1">
        <w:r w:rsidRPr="00413662">
          <w:rPr>
            <w:rStyle w:val="Hyperlink"/>
            <w:sz w:val="24"/>
            <w:lang w:val="lv-LV"/>
          </w:rPr>
          <w:t>https://doi.org/10.2903/j.efsa.2025.9380</w:t>
        </w:r>
      </w:hyperlink>
      <w:r w:rsidRPr="00413662">
        <w:rPr>
          <w:sz w:val="24"/>
          <w:lang w:val="lv-LV"/>
        </w:rPr>
        <w:t xml:space="preserve">. </w:t>
      </w:r>
    </w:p>
  </w:footnote>
  <w:footnote w:id="4">
    <w:p w14:paraId="202E4376" w14:textId="5F4D7001" w:rsidR="00AD3135" w:rsidRPr="00413662" w:rsidRDefault="00AD3135" w:rsidP="00413662">
      <w:pPr>
        <w:pStyle w:val="FootnoteText"/>
        <w:ind w:left="567" w:hanging="567"/>
        <w:rPr>
          <w:color w:val="000000" w:themeColor="text1"/>
          <w:sz w:val="24"/>
          <w:vertAlign w:val="superscript"/>
          <w:lang w:val="lv-LV"/>
        </w:rPr>
      </w:pPr>
      <w:r w:rsidRPr="00413662">
        <w:rPr>
          <w:rStyle w:val="FootnoteReference"/>
          <w:sz w:val="24"/>
          <w:lang w:val="lv-LV"/>
        </w:rPr>
        <w:footnoteRef/>
      </w:r>
      <w:r w:rsidR="00413662" w:rsidRPr="00413662">
        <w:rPr>
          <w:color w:val="000000" w:themeColor="text1"/>
          <w:sz w:val="24"/>
          <w:lang w:val="lv-LV"/>
        </w:rPr>
        <w:t xml:space="preserve"> </w:t>
      </w:r>
      <w:r w:rsidR="00413662" w:rsidRPr="00413662">
        <w:rPr>
          <w:color w:val="000000" w:themeColor="text1"/>
          <w:sz w:val="24"/>
          <w:lang w:val="lv-LV"/>
        </w:rPr>
        <w:tab/>
      </w:r>
      <w:r w:rsidRPr="00413662">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29DECC4D" w14:textId="38CEC243"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AD3135" w:rsidRPr="00413662">
          <w:rPr>
            <w:rStyle w:val="Hyperlink"/>
            <w:sz w:val="24"/>
            <w:lang w:val="lv-LV"/>
          </w:rPr>
          <w:t>http://data.europa.eu/eli/C/2025/1797/oj</w:t>
        </w:r>
      </w:hyperlink>
      <w:r w:rsidR="00AD3135" w:rsidRPr="00413662">
        <w:rPr>
          <w:color w:val="000000" w:themeColor="text1"/>
          <w:sz w:val="24"/>
          <w:lang w:val="lv-LV"/>
        </w:rPr>
        <w:t>).</w:t>
      </w:r>
    </w:p>
    <w:p w14:paraId="635075EB" w14:textId="6EFF4D64"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AD3135" w:rsidRPr="00413662">
          <w:rPr>
            <w:rStyle w:val="Hyperlink"/>
            <w:sz w:val="24"/>
            <w:lang w:val="lv-LV"/>
          </w:rPr>
          <w:t>http://data.europa.eu/eli/C/2025/1798/oj</w:t>
        </w:r>
      </w:hyperlink>
      <w:r w:rsidR="00AD3135" w:rsidRPr="00413662">
        <w:rPr>
          <w:color w:val="000000" w:themeColor="text1"/>
          <w:sz w:val="24"/>
          <w:lang w:val="lv-LV"/>
        </w:rPr>
        <w:t>).</w:t>
      </w:r>
    </w:p>
    <w:p w14:paraId="20C8B14F" w14:textId="5348F95A"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AD3135" w:rsidRPr="00413662">
          <w:rPr>
            <w:rStyle w:val="Hyperlink"/>
            <w:sz w:val="24"/>
            <w:lang w:val="lv-LV"/>
          </w:rPr>
          <w:t>http://data.europa.eu/eli/C/2025/1799/oj</w:t>
        </w:r>
      </w:hyperlink>
      <w:r w:rsidR="00AD3135" w:rsidRPr="00413662">
        <w:rPr>
          <w:color w:val="000000" w:themeColor="text1"/>
          <w:sz w:val="24"/>
          <w:lang w:val="lv-LV"/>
        </w:rPr>
        <w:t>).</w:t>
      </w:r>
    </w:p>
    <w:p w14:paraId="4E46DD9E" w14:textId="3192CDA2"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AD3135" w:rsidRPr="00413662">
          <w:rPr>
            <w:rStyle w:val="Hyperlink"/>
            <w:sz w:val="24"/>
            <w:lang w:val="lv-LV"/>
          </w:rPr>
          <w:t>http://data.europa.eu/eli/C/2025/1800/oj</w:t>
        </w:r>
      </w:hyperlink>
      <w:r w:rsidR="00AD3135" w:rsidRPr="00413662">
        <w:rPr>
          <w:color w:val="000000" w:themeColor="text1"/>
          <w:sz w:val="24"/>
          <w:lang w:val="lv-LV"/>
        </w:rPr>
        <w:t>).</w:t>
      </w:r>
    </w:p>
    <w:p w14:paraId="0FB0DFE7" w14:textId="67E794D1"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AD3135" w:rsidRPr="00413662">
          <w:rPr>
            <w:rStyle w:val="Hyperlink"/>
            <w:sz w:val="24"/>
            <w:lang w:val="lv-LV"/>
          </w:rPr>
          <w:t>http://data.europa.eu/eli/C/2025/1801/oj</w:t>
        </w:r>
      </w:hyperlink>
      <w:r w:rsidR="00AD3135" w:rsidRPr="00413662">
        <w:rPr>
          <w:color w:val="000000" w:themeColor="text1"/>
          <w:sz w:val="24"/>
          <w:lang w:val="lv-LV"/>
        </w:rPr>
        <w:t>).</w:t>
      </w:r>
    </w:p>
    <w:p w14:paraId="0F8A4ACE" w14:textId="3A451561"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AD3135" w:rsidRPr="00413662">
          <w:rPr>
            <w:rStyle w:val="Hyperlink"/>
            <w:sz w:val="24"/>
            <w:lang w:val="lv-LV"/>
          </w:rPr>
          <w:t>http://data.europa.eu/eli/C/2025/1802/oj</w:t>
        </w:r>
      </w:hyperlink>
      <w:r w:rsidR="00AD3135" w:rsidRPr="00413662">
        <w:rPr>
          <w:color w:val="000000" w:themeColor="text1"/>
          <w:sz w:val="24"/>
          <w:lang w:val="lv-LV"/>
        </w:rPr>
        <w:t>).</w:t>
      </w:r>
    </w:p>
    <w:p w14:paraId="476488EB" w14:textId="075202F5"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AD3135" w:rsidRPr="00413662">
          <w:rPr>
            <w:rStyle w:val="Hyperlink"/>
            <w:sz w:val="24"/>
            <w:lang w:val="lv-LV"/>
          </w:rPr>
          <w:t>http://data.europa.eu/eli/C/2025/1803/oj</w:t>
        </w:r>
      </w:hyperlink>
      <w:r w:rsidR="00AD3135" w:rsidRPr="00413662">
        <w:rPr>
          <w:color w:val="000000" w:themeColor="text1"/>
          <w:sz w:val="24"/>
          <w:lang w:val="lv-LV"/>
        </w:rPr>
        <w:t>).</w:t>
      </w:r>
    </w:p>
    <w:p w14:paraId="76E56F2B" w14:textId="704826E0" w:rsidR="00AD3135" w:rsidRPr="00413662" w:rsidRDefault="00413662" w:rsidP="00413662">
      <w:pPr>
        <w:pStyle w:val="FootnoteText"/>
        <w:ind w:left="567" w:hanging="567"/>
        <w:rPr>
          <w:color w:val="000000" w:themeColor="text1"/>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AD3135" w:rsidRPr="00413662">
          <w:rPr>
            <w:rStyle w:val="Hyperlink"/>
            <w:sz w:val="24"/>
            <w:lang w:val="lv-LV"/>
          </w:rPr>
          <w:t>http://data.europa.eu/eli/C/2025/1804/oj</w:t>
        </w:r>
      </w:hyperlink>
      <w:r w:rsidR="00AD3135" w:rsidRPr="00413662">
        <w:rPr>
          <w:color w:val="000000" w:themeColor="text1"/>
          <w:sz w:val="24"/>
          <w:lang w:val="lv-LV"/>
        </w:rPr>
        <w:t>).</w:t>
      </w:r>
    </w:p>
    <w:p w14:paraId="5AE6AF9E" w14:textId="1B085038" w:rsidR="00AD3135" w:rsidRPr="00413662" w:rsidRDefault="00413662" w:rsidP="00413662">
      <w:pPr>
        <w:pStyle w:val="FootnoteText"/>
        <w:ind w:left="567" w:hanging="567"/>
        <w:rPr>
          <w:sz w:val="24"/>
          <w:vertAlign w:val="superscript"/>
          <w:lang w:val="lv-LV"/>
        </w:rPr>
      </w:pPr>
      <w:r w:rsidRPr="00413662">
        <w:rPr>
          <w:color w:val="000000" w:themeColor="text1"/>
          <w:sz w:val="24"/>
          <w:lang w:val="lv-LV"/>
        </w:rPr>
        <w:t xml:space="preserve"> </w:t>
      </w:r>
      <w:r w:rsidRPr="00413662">
        <w:rPr>
          <w:color w:val="000000" w:themeColor="text1"/>
          <w:sz w:val="24"/>
          <w:lang w:val="lv-LV"/>
        </w:rPr>
        <w:tab/>
      </w:r>
      <w:r w:rsidR="00AD3135" w:rsidRPr="00413662">
        <w:rPr>
          <w:color w:val="000000" w:themeColor="text1"/>
          <w:sz w:val="24"/>
          <w:lang w:val="lv-LV"/>
        </w:rPr>
        <w:t>–</w:t>
      </w:r>
      <w:r w:rsidR="00AD3135" w:rsidRPr="00413662">
        <w:rPr>
          <w:color w:val="000000" w:themeColor="text1"/>
          <w:sz w:val="24"/>
          <w:lang w:val="lv-LV"/>
        </w:rPr>
        <w:tab/>
      </w:r>
      <w:r w:rsidR="00AD3135" w:rsidRPr="00413662">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sastāv vai ir ražoti no tās (OV C, C/2025/2246, 29.4.2025., ELI: </w:t>
      </w:r>
      <w:hyperlink r:id="rId12" w:tooltip="Nodrošina piekļuvi šim dokumentam, izmantojot tā ELI URI." w:history="1">
        <w:r w:rsidR="00AD3135" w:rsidRPr="00413662">
          <w:rPr>
            <w:rStyle w:val="Hyperlink"/>
            <w:sz w:val="24"/>
            <w:lang w:val="lv-LV"/>
          </w:rPr>
          <w:t>http://data.europa.eu/eli/C/2025/2246/oj</w:t>
        </w:r>
      </w:hyperlink>
      <w:r w:rsidR="00AD3135" w:rsidRPr="00413662">
        <w:rPr>
          <w:sz w:val="24"/>
          <w:lang w:val="lv-LV"/>
        </w:rPr>
        <w:t>).</w:t>
      </w:r>
    </w:p>
    <w:p w14:paraId="5EEC28EC" w14:textId="28FA3D1A" w:rsidR="00AD3135" w:rsidRPr="00413662" w:rsidRDefault="00413662" w:rsidP="00413662">
      <w:pPr>
        <w:pStyle w:val="FootnoteText"/>
        <w:ind w:left="567" w:hanging="567"/>
        <w:rPr>
          <w:sz w:val="24"/>
          <w:vertAlign w:val="superscript"/>
          <w:lang w:val="lv-LV"/>
        </w:rPr>
      </w:pPr>
      <w:r w:rsidRPr="00413662">
        <w:rPr>
          <w:sz w:val="24"/>
          <w:lang w:val="lv-LV"/>
        </w:rPr>
        <w:t xml:space="preserve"> </w:t>
      </w:r>
      <w:r w:rsidRPr="00413662">
        <w:rPr>
          <w:sz w:val="24"/>
          <w:lang w:val="lv-LV"/>
        </w:rPr>
        <w:tab/>
      </w:r>
      <w:r w:rsidR="00AD3135" w:rsidRPr="00413662">
        <w:rPr>
          <w:sz w:val="24"/>
          <w:lang w:val="lv-LV"/>
        </w:rPr>
        <w:t>–</w:t>
      </w:r>
      <w:r w:rsidR="00AD3135" w:rsidRPr="00413662">
        <w:rPr>
          <w:sz w:val="24"/>
          <w:lang w:val="lv-LV"/>
        </w:rPr>
        <w:tab/>
        <w:t xml:space="preserve">Eiropas Parlamenta 2025. gada 12. februāra rezolūcija par projektu Komisijas īstenošanas lēmumam, ar ko, ievērojot Eiropas Parlamenta un Padomes Regulu (EK) Nr. 1829/2003, atļauj laist tirgū produktus, kas satur ģenētiski modificētu kukurūzu MON 95275, sastāv vai ir ražoti no tās (OV C, C/2025/2247, 29.4.2025., ELI: </w:t>
      </w:r>
      <w:hyperlink r:id="rId13" w:tooltip="Nodrošina piekļuvi šim dokumentam, izmantojot tā ELI URI." w:history="1">
        <w:r w:rsidR="00AD3135" w:rsidRPr="00413662">
          <w:rPr>
            <w:rStyle w:val="Hyperlink"/>
            <w:sz w:val="24"/>
            <w:lang w:val="lv-LV"/>
          </w:rPr>
          <w:t>http://data.europa.eu/eli/C/2025/2247/oj</w:t>
        </w:r>
      </w:hyperlink>
      <w:r w:rsidR="00AD3135" w:rsidRPr="00413662">
        <w:rPr>
          <w:sz w:val="24"/>
          <w:lang w:val="lv-LV"/>
        </w:rPr>
        <w:t>).</w:t>
      </w:r>
    </w:p>
    <w:p w14:paraId="24EACE7C" w14:textId="2306D03C" w:rsidR="00AD3135" w:rsidRPr="00413662" w:rsidRDefault="00413662" w:rsidP="00413662">
      <w:pPr>
        <w:pStyle w:val="FootnoteText"/>
        <w:ind w:left="567" w:hanging="567"/>
        <w:rPr>
          <w:sz w:val="24"/>
          <w:vertAlign w:val="superscript"/>
          <w:lang w:val="lv-LV"/>
        </w:rPr>
      </w:pPr>
      <w:r w:rsidRPr="00413662">
        <w:rPr>
          <w:sz w:val="24"/>
          <w:lang w:val="lv-LV"/>
        </w:rPr>
        <w:t xml:space="preserve"> </w:t>
      </w:r>
      <w:r w:rsidRPr="00413662">
        <w:rPr>
          <w:sz w:val="24"/>
          <w:lang w:val="lv-LV"/>
        </w:rPr>
        <w:tab/>
      </w:r>
      <w:r w:rsidR="00AD3135" w:rsidRPr="00413662">
        <w:rPr>
          <w:sz w:val="24"/>
          <w:lang w:val="lv-LV"/>
        </w:rPr>
        <w:t>–</w:t>
      </w:r>
      <w:r w:rsidR="00AD3135" w:rsidRPr="00413662">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5F004256" w14:textId="576F53B4" w:rsidR="00AD3135" w:rsidRPr="00413662" w:rsidRDefault="00413662" w:rsidP="00413662">
      <w:pPr>
        <w:pStyle w:val="FootnoteText"/>
        <w:ind w:left="567" w:hanging="567"/>
        <w:rPr>
          <w:sz w:val="24"/>
          <w:lang w:val="lv-LV"/>
        </w:rPr>
      </w:pPr>
      <w:r w:rsidRPr="00413662">
        <w:rPr>
          <w:sz w:val="24"/>
          <w:lang w:val="lv-LV"/>
        </w:rPr>
        <w:t xml:space="preserve"> </w:t>
      </w:r>
      <w:r w:rsidRPr="00413662">
        <w:rPr>
          <w:sz w:val="24"/>
          <w:lang w:val="lv-LV"/>
        </w:rPr>
        <w:tab/>
      </w:r>
      <w:r w:rsidR="00AD3135" w:rsidRPr="00413662">
        <w:rPr>
          <w:sz w:val="24"/>
          <w:lang w:val="lv-LV"/>
        </w:rPr>
        <w:t>–</w:t>
      </w:r>
      <w:r w:rsidR="00AD3135" w:rsidRPr="00413662">
        <w:rPr>
          <w:sz w:val="24"/>
          <w:lang w:val="lv-LV"/>
        </w:rPr>
        <w:tab/>
        <w:t>Eiropas Parlamenta 2025. gada 8. oktobra rezolūcija par Komisijas 2025. gada 22. septembra Īstenošanas lēmumu (ES) 2025/1898, ar ko, ievērojot Eiropas Parlamenta un Padomes Regulu (EK) Nr. 1829/2003, atļauj laist tirgū produktus, kas satur ģenētiski modificētu kukurūzu DP51291, sastāv vai ir ražoti no tās (P10_TA(2025)0222).</w:t>
      </w:r>
    </w:p>
  </w:footnote>
  <w:footnote w:id="5">
    <w:p w14:paraId="27FDCE89" w14:textId="365F43D9" w:rsidR="00AD3135" w:rsidRPr="00413662" w:rsidRDefault="00AD3135" w:rsidP="00413662">
      <w:pPr>
        <w:pStyle w:val="FootnoteText"/>
        <w:ind w:left="567" w:hanging="567"/>
        <w:rPr>
          <w:sz w:val="24"/>
          <w:lang w:val="lv-LV"/>
        </w:rPr>
      </w:pPr>
      <w:r w:rsidRPr="00413662">
        <w:rPr>
          <w:rStyle w:val="FootnoteReference"/>
          <w:sz w:val="24"/>
          <w:lang w:val="lv-LV"/>
        </w:rPr>
        <w:footnoteRef/>
      </w:r>
      <w:r w:rsidR="00413662" w:rsidRPr="00413662">
        <w:rPr>
          <w:sz w:val="24"/>
          <w:lang w:val="lv-LV"/>
        </w:rPr>
        <w:t xml:space="preserve"> </w:t>
      </w:r>
      <w:r w:rsidR="00413662" w:rsidRPr="00413662">
        <w:rPr>
          <w:sz w:val="24"/>
          <w:lang w:val="lv-LV"/>
        </w:rPr>
        <w:tab/>
      </w:r>
      <w:r w:rsidRPr="00413662">
        <w:rPr>
          <w:sz w:val="24"/>
          <w:lang w:val="lv-LV"/>
        </w:rPr>
        <w:t xml:space="preserve">OV L 322, 8.12.2015., 67. lpp., ELI: </w:t>
      </w:r>
      <w:hyperlink r:id="rId14" w:history="1">
        <w:r w:rsidRPr="00413662">
          <w:rPr>
            <w:rStyle w:val="Hyperlink"/>
            <w:sz w:val="24"/>
            <w:lang w:val="lv-LV"/>
          </w:rPr>
          <w:t>http://data.europa.eu/eli/dec_impl/2015/2281/oj</w:t>
        </w:r>
      </w:hyperlink>
      <w:r w:rsidRPr="00413662">
        <w:rPr>
          <w:sz w:val="24"/>
          <w:lang w:val="lv-LV"/>
        </w:rPr>
        <w:t>.</w:t>
      </w:r>
    </w:p>
  </w:footnote>
  <w:footnote w:id="6">
    <w:p w14:paraId="4EE929D2" w14:textId="1207EE15" w:rsidR="00AD3135" w:rsidRPr="00413662" w:rsidRDefault="00AD3135" w:rsidP="00413662">
      <w:pPr>
        <w:pStyle w:val="FootnoteText"/>
        <w:ind w:left="567" w:hanging="567"/>
        <w:rPr>
          <w:sz w:val="24"/>
          <w:lang w:val="lv-LV"/>
        </w:rPr>
      </w:pPr>
      <w:r w:rsidRPr="00413662">
        <w:rPr>
          <w:rStyle w:val="FootnoteReference"/>
          <w:sz w:val="24"/>
          <w:lang w:val="lv-LV"/>
        </w:rPr>
        <w:footnoteRef/>
      </w:r>
      <w:r w:rsidR="00413662" w:rsidRPr="00413662">
        <w:rPr>
          <w:sz w:val="24"/>
          <w:lang w:val="lv-LV"/>
        </w:rPr>
        <w:t xml:space="preserve"> </w:t>
      </w:r>
      <w:r w:rsidR="00413662" w:rsidRPr="00413662">
        <w:rPr>
          <w:sz w:val="24"/>
          <w:lang w:val="lv-LV"/>
        </w:rPr>
        <w:tab/>
      </w:r>
      <w:r w:rsidRPr="00413662">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15" w:tgtFrame="Gives%20access%20to%20this%20document%20through%20its%20ELI%20URI." w:history="1">
        <w:r w:rsidRPr="00413662">
          <w:rPr>
            <w:rStyle w:val="Hyperlink"/>
            <w:sz w:val="24"/>
            <w:lang w:val="lv-LV"/>
          </w:rPr>
          <w:t>http://data.europa.eu/eli/reg/2002/178/oj</w:t>
        </w:r>
      </w:hyperlink>
      <w:r w:rsidRPr="0041366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C8C8" w14:textId="77777777" w:rsidR="00064002" w:rsidRPr="004136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9F11" w14:textId="77777777" w:rsidR="00064002" w:rsidRPr="004136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674D" w14:textId="77777777" w:rsidR="00064002" w:rsidRPr="004136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7124976">
    <w:abstractNumId w:val="9"/>
  </w:num>
  <w:num w:numId="2" w16cid:durableId="78060500">
    <w:abstractNumId w:val="9"/>
  </w:num>
  <w:num w:numId="3" w16cid:durableId="669259912">
    <w:abstractNumId w:val="7"/>
  </w:num>
  <w:num w:numId="4" w16cid:durableId="3630363">
    <w:abstractNumId w:val="7"/>
  </w:num>
  <w:num w:numId="5" w16cid:durableId="156966702">
    <w:abstractNumId w:val="6"/>
  </w:num>
  <w:num w:numId="6" w16cid:durableId="296959485">
    <w:abstractNumId w:val="6"/>
  </w:num>
  <w:num w:numId="7" w16cid:durableId="1550723399">
    <w:abstractNumId w:val="5"/>
  </w:num>
  <w:num w:numId="8" w16cid:durableId="759718343">
    <w:abstractNumId w:val="5"/>
  </w:num>
  <w:num w:numId="9" w16cid:durableId="1523126602">
    <w:abstractNumId w:val="4"/>
  </w:num>
  <w:num w:numId="10" w16cid:durableId="475220260">
    <w:abstractNumId w:val="4"/>
  </w:num>
  <w:num w:numId="11" w16cid:durableId="1690836659">
    <w:abstractNumId w:val="8"/>
  </w:num>
  <w:num w:numId="12" w16cid:durableId="1677611889">
    <w:abstractNumId w:val="8"/>
  </w:num>
  <w:num w:numId="13" w16cid:durableId="849179103">
    <w:abstractNumId w:val="3"/>
  </w:num>
  <w:num w:numId="14" w16cid:durableId="1493983176">
    <w:abstractNumId w:val="3"/>
  </w:num>
  <w:num w:numId="15" w16cid:durableId="157120713">
    <w:abstractNumId w:val="2"/>
  </w:num>
  <w:num w:numId="16" w16cid:durableId="571819339">
    <w:abstractNumId w:val="2"/>
  </w:num>
  <w:num w:numId="17" w16cid:durableId="1866475346">
    <w:abstractNumId w:val="1"/>
  </w:num>
  <w:num w:numId="18" w16cid:durableId="610018632">
    <w:abstractNumId w:val="1"/>
  </w:num>
  <w:num w:numId="19" w16cid:durableId="100683969">
    <w:abstractNumId w:val="0"/>
  </w:num>
  <w:num w:numId="20" w16cid:durableId="1936938875">
    <w:abstractNumId w:val="0"/>
  </w:num>
  <w:num w:numId="21" w16cid:durableId="914434993">
    <w:abstractNumId w:val="9"/>
  </w:num>
  <w:num w:numId="22" w16cid:durableId="243760886">
    <w:abstractNumId w:val="7"/>
  </w:num>
  <w:num w:numId="23" w16cid:durableId="267782638">
    <w:abstractNumId w:val="6"/>
  </w:num>
  <w:num w:numId="24" w16cid:durableId="684097174">
    <w:abstractNumId w:val="5"/>
  </w:num>
  <w:num w:numId="25" w16cid:durableId="1150706818">
    <w:abstractNumId w:val="4"/>
  </w:num>
  <w:num w:numId="26" w16cid:durableId="850144894">
    <w:abstractNumId w:val="8"/>
  </w:num>
  <w:num w:numId="27" w16cid:durableId="1285385465">
    <w:abstractNumId w:val="3"/>
  </w:num>
  <w:num w:numId="28" w16cid:durableId="759836345">
    <w:abstractNumId w:val="2"/>
  </w:num>
  <w:num w:numId="29" w16cid:durableId="707292830">
    <w:abstractNumId w:val="1"/>
  </w:num>
  <w:num w:numId="30" w16cid:durableId="1531869895">
    <w:abstractNumId w:val="0"/>
  </w:num>
  <w:num w:numId="31" w16cid:durableId="1743216009">
    <w:abstractNumId w:val="9"/>
  </w:num>
  <w:num w:numId="32" w16cid:durableId="1004825518">
    <w:abstractNumId w:val="7"/>
  </w:num>
  <w:num w:numId="33" w16cid:durableId="602567957">
    <w:abstractNumId w:val="6"/>
  </w:num>
  <w:num w:numId="34" w16cid:durableId="1167555966">
    <w:abstractNumId w:val="5"/>
  </w:num>
  <w:num w:numId="35" w16cid:durableId="1684479445">
    <w:abstractNumId w:val="4"/>
  </w:num>
  <w:num w:numId="36" w16cid:durableId="1886483858">
    <w:abstractNumId w:val="8"/>
  </w:num>
  <w:num w:numId="37" w16cid:durableId="29768470">
    <w:abstractNumId w:val="3"/>
  </w:num>
  <w:num w:numId="38" w16cid:durableId="1016150294">
    <w:abstractNumId w:val="2"/>
  </w:num>
  <w:num w:numId="39" w16cid:durableId="1663050113">
    <w:abstractNumId w:val="1"/>
  </w:num>
  <w:num w:numId="40" w16cid:durableId="313485463">
    <w:abstractNumId w:val="0"/>
  </w:num>
  <w:num w:numId="41" w16cid:durableId="969243765">
    <w:abstractNumId w:val="10"/>
  </w:num>
  <w:num w:numId="42" w16cid:durableId="1602492678">
    <w:abstractNumId w:val="10"/>
  </w:num>
  <w:num w:numId="43" w16cid:durableId="529339941">
    <w:abstractNumId w:val="10"/>
  </w:num>
  <w:num w:numId="44" w16cid:durableId="1606886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LV"/>
    <w:docVar w:name="dvnumam" w:val="0"/>
    <w:docVar w:name="dvpe" w:val="778.113"/>
    <w:docVar w:name="dvtitre" w:val="Eiropas Parlamenta 2025. gada XX. XXX  rezolūcija par projektu Komisijas īstenošanas lēmumam, ar kuru atbilstoši Eiropas Parlamenta un Padomes Regulai (EK) Nr. 1829/2003 atjauno atļauju laist tirgū produktus, kas satur ģenētiski modificētu kukurūzu MON 87427, sastāv vai ir ražoti no tās(D109634/01 – 2025/2897(RSP))"/>
  </w:docVars>
  <w:rsids>
    <w:rsidRoot w:val="001752DB"/>
    <w:rsid w:val="00002272"/>
    <w:rsid w:val="00064002"/>
    <w:rsid w:val="000677B9"/>
    <w:rsid w:val="000831BA"/>
    <w:rsid w:val="000A42CC"/>
    <w:rsid w:val="000E7DD9"/>
    <w:rsid w:val="0010095E"/>
    <w:rsid w:val="00125B37"/>
    <w:rsid w:val="001752DB"/>
    <w:rsid w:val="00187494"/>
    <w:rsid w:val="001F32AE"/>
    <w:rsid w:val="001F5CB1"/>
    <w:rsid w:val="002767FF"/>
    <w:rsid w:val="002B18FE"/>
    <w:rsid w:val="002B5493"/>
    <w:rsid w:val="00343214"/>
    <w:rsid w:val="00361C00"/>
    <w:rsid w:val="00395FA1"/>
    <w:rsid w:val="003E15D4"/>
    <w:rsid w:val="00411CCE"/>
    <w:rsid w:val="00413662"/>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186"/>
    <w:rsid w:val="006F55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13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E19"/>
    <w:rsid w:val="00E365E1"/>
    <w:rsid w:val="00E56979"/>
    <w:rsid w:val="00E820A4"/>
    <w:rsid w:val="00EB006A"/>
    <w:rsid w:val="00EB4772"/>
    <w:rsid w:val="00ED169E"/>
    <w:rsid w:val="00ED4235"/>
    <w:rsid w:val="00F04346"/>
    <w:rsid w:val="00F075DC"/>
    <w:rsid w:val="00F149E9"/>
    <w:rsid w:val="00F5134D"/>
    <w:rsid w:val="00F6382B"/>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C1198"/>
  <w15:chartTrackingRefBased/>
  <w15:docId w15:val="{E1A19AB2-679B-4E94-ABD8-8F0C471E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3135"/>
    <w:pPr>
      <w:spacing w:before="480" w:after="240"/>
    </w:pPr>
  </w:style>
  <w:style w:type="paragraph" w:customStyle="1" w:styleId="NormalHanging12a">
    <w:name w:val="NormalHanging12a"/>
    <w:basedOn w:val="Normal"/>
    <w:rsid w:val="00AD3135"/>
    <w:pPr>
      <w:spacing w:after="240"/>
      <w:ind w:left="567" w:hanging="567"/>
    </w:pPr>
  </w:style>
  <w:style w:type="paragraph" w:customStyle="1" w:styleId="NormalBold">
    <w:name w:val="NormalBold"/>
    <w:basedOn w:val="Normal"/>
    <w:rsid w:val="00AD3135"/>
    <w:rPr>
      <w:b/>
    </w:rPr>
  </w:style>
  <w:style w:type="character" w:styleId="Hyperlink">
    <w:name w:val="Hyperlink"/>
    <w:basedOn w:val="DefaultParagraphFont"/>
    <w:uiPriority w:val="99"/>
    <w:rsid w:val="00AD3135"/>
    <w:rPr>
      <w:color w:val="0563C1" w:themeColor="hyperlink"/>
      <w:u w:val="single"/>
    </w:rPr>
  </w:style>
  <w:style w:type="character" w:customStyle="1" w:styleId="Funotenzeichen">
    <w:name w:val="Fußnotenzeichen"/>
    <w:basedOn w:val="DefaultParagraphFont"/>
    <w:qFormat/>
    <w:rsid w:val="00AD3135"/>
    <w:rPr>
      <w:rFonts w:cs="Times New Roman"/>
      <w:vertAlign w:val="superscript"/>
    </w:rPr>
  </w:style>
  <w:style w:type="paragraph" w:styleId="Revision">
    <w:name w:val="Revision"/>
    <w:hidden/>
    <w:uiPriority w:val="99"/>
    <w:semiHidden/>
    <w:rsid w:val="00F6382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855</Words>
  <Characters>5547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2025-11-25T11:46:00Z</cp:lastPrinted>
  <dcterms:created xsi:type="dcterms:W3CDTF">2026-01-21T15:20:00Z</dcterms:created>
  <dcterms:modified xsi:type="dcterms:W3CDTF">2026-01-21T15:20:00Z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B10-0491/2025</vt:lpwstr>
  </property>
  <property fmtid="{D5CDD505-2E9C-101B-9397-08002B2CF9AE}" pid="4" name="&lt;Type&gt;">
    <vt:lpwstr>RR</vt:lpwstr>
  </property>
</Properties>
</file>