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4DED" w14:paraId="37990830" w14:textId="77777777" w:rsidTr="0010095E">
        <w:trPr>
          <w:trHeight w:hRule="exact" w:val="1418"/>
        </w:trPr>
        <w:tc>
          <w:tcPr>
            <w:tcW w:w="6804" w:type="dxa"/>
            <w:shd w:val="clear" w:color="auto" w:fill="auto"/>
            <w:vAlign w:val="center"/>
          </w:tcPr>
          <w:p w14:paraId="2134B5B9" w14:textId="02266160" w:rsidR="00751A4A" w:rsidRPr="00B54DED" w:rsidRDefault="002D4E4B" w:rsidP="0010095E">
            <w:pPr>
              <w:pStyle w:val="EPName"/>
            </w:pPr>
            <w:r w:rsidRPr="00B54DED">
              <w:t>Evropski parlament</w:t>
            </w:r>
          </w:p>
          <w:p w14:paraId="7E2C3E3D" w14:textId="77777777" w:rsidR="00751A4A" w:rsidRPr="00B54DED" w:rsidRDefault="005F1B17" w:rsidP="005F1B17">
            <w:pPr>
              <w:pStyle w:val="EPTerm"/>
              <w:rPr>
                <w:rStyle w:val="HideTWBExt"/>
                <w:noProof w:val="0"/>
                <w:vanish w:val="0"/>
                <w:color w:val="auto"/>
              </w:rPr>
            </w:pPr>
            <w:r w:rsidRPr="00B54DED">
              <w:t>2024</w:t>
            </w:r>
            <w:r w:rsidR="00817416" w:rsidRPr="00B54DED">
              <w:t>-202</w:t>
            </w:r>
            <w:r w:rsidRPr="00B54DED">
              <w:t>9</w:t>
            </w:r>
          </w:p>
        </w:tc>
        <w:tc>
          <w:tcPr>
            <w:tcW w:w="2268" w:type="dxa"/>
            <w:shd w:val="clear" w:color="auto" w:fill="auto"/>
          </w:tcPr>
          <w:p w14:paraId="025CA7AB" w14:textId="77777777" w:rsidR="00751A4A" w:rsidRPr="00B54DED" w:rsidRDefault="00187494" w:rsidP="0010095E">
            <w:pPr>
              <w:pStyle w:val="EPLogo"/>
            </w:pPr>
            <w:r w:rsidRPr="00B54DED">
              <w:rPr>
                <w:noProof/>
                <w:lang w:eastAsia="ja-JP"/>
              </w:rPr>
              <w:drawing>
                <wp:inline distT="0" distB="0" distL="0" distR="0" wp14:anchorId="5061F6CC" wp14:editId="5945CF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DBF4B5" w14:textId="77777777" w:rsidR="00D058B8" w:rsidRPr="00B54DED" w:rsidRDefault="00D058B8" w:rsidP="004C5D52">
      <w:pPr>
        <w:pStyle w:val="LineTop"/>
      </w:pPr>
    </w:p>
    <w:p w14:paraId="05477104" w14:textId="5BF1EC84" w:rsidR="00680577" w:rsidRPr="00B54DED" w:rsidRDefault="002D4E4B" w:rsidP="00680577">
      <w:pPr>
        <w:pStyle w:val="EPBodyTA1"/>
      </w:pPr>
      <w:r w:rsidRPr="00B54DED">
        <w:t>SPREJETA BESEDILA</w:t>
      </w:r>
    </w:p>
    <w:p w14:paraId="20C74ED7" w14:textId="77777777" w:rsidR="00D058B8" w:rsidRPr="00B54DED" w:rsidRDefault="00D058B8" w:rsidP="00D058B8">
      <w:pPr>
        <w:pStyle w:val="LineBottom"/>
      </w:pPr>
    </w:p>
    <w:p w14:paraId="1117BAD6" w14:textId="682B1670" w:rsidR="002D4E4B" w:rsidRPr="00B54DED" w:rsidRDefault="002D4E4B" w:rsidP="002D4E4B">
      <w:pPr>
        <w:pStyle w:val="ATHeading1"/>
      </w:pPr>
      <w:bookmarkStart w:id="0" w:name="TANumber"/>
      <w:r w:rsidRPr="00B54DED">
        <w:t>P10_TA(2025)</w:t>
      </w:r>
      <w:bookmarkEnd w:id="0"/>
      <w:r w:rsidR="00CA0973">
        <w:t>0292</w:t>
      </w:r>
    </w:p>
    <w:p w14:paraId="65824182" w14:textId="6777C27B" w:rsidR="002D4E4B" w:rsidRPr="00B54DED" w:rsidRDefault="00295875" w:rsidP="002D4E4B">
      <w:pPr>
        <w:pStyle w:val="ATHeading2"/>
      </w:pPr>
      <w:bookmarkStart w:id="1" w:name="title"/>
      <w:r>
        <w:t>G</w:t>
      </w:r>
      <w:r w:rsidR="004A1D30" w:rsidRPr="00B54DED">
        <w:t>ensko spremenjen</w:t>
      </w:r>
      <w:r w:rsidR="004A1D30">
        <w:t>a</w:t>
      </w:r>
      <w:r w:rsidR="004A1D30" w:rsidRPr="00B54DED">
        <w:t xml:space="preserve"> koruz</w:t>
      </w:r>
      <w:r w:rsidR="004A1D30">
        <w:t>a</w:t>
      </w:r>
      <w:r w:rsidR="004A1D30" w:rsidRPr="00B54DED">
        <w:t xml:space="preserve"> MON 87427</w:t>
      </w:r>
      <w:bookmarkEnd w:id="1"/>
    </w:p>
    <w:p w14:paraId="7309BB4F" w14:textId="77777777" w:rsidR="002D4E4B" w:rsidRPr="00B54DED" w:rsidRDefault="002D4E4B" w:rsidP="002D4E4B">
      <w:pPr>
        <w:rPr>
          <w:i/>
          <w:vanish/>
        </w:rPr>
      </w:pPr>
      <w:r w:rsidRPr="00B54DED">
        <w:rPr>
          <w:i/>
        </w:rPr>
        <w:fldChar w:fldCharType="begin"/>
      </w:r>
      <w:r w:rsidRPr="00B54DED">
        <w:rPr>
          <w:i/>
        </w:rPr>
        <w:instrText xml:space="preserve"> TC"(</w:instrText>
      </w:r>
      <w:bookmarkStart w:id="2" w:name="DocNumber"/>
      <w:r w:rsidRPr="00B54DED">
        <w:rPr>
          <w:i/>
        </w:rPr>
        <w:instrText>B10-0491/2025</w:instrText>
      </w:r>
      <w:bookmarkEnd w:id="2"/>
      <w:r w:rsidRPr="00B54DED">
        <w:rPr>
          <w:i/>
        </w:rPr>
        <w:instrText xml:space="preserve">)"\l3 \n&gt; \* MERGEFORMAT </w:instrText>
      </w:r>
      <w:r w:rsidRPr="00B54DED">
        <w:rPr>
          <w:i/>
        </w:rPr>
        <w:fldChar w:fldCharType="end"/>
      </w:r>
    </w:p>
    <w:p w14:paraId="04063E3D" w14:textId="77777777" w:rsidR="002D4E4B" w:rsidRPr="00B54DED" w:rsidRDefault="002D4E4B" w:rsidP="002D4E4B">
      <w:pPr>
        <w:rPr>
          <w:vanish/>
        </w:rPr>
      </w:pPr>
      <w:bookmarkStart w:id="3" w:name="PE"/>
      <w:proofErr w:type="spellStart"/>
      <w:r w:rsidRPr="00B54DED">
        <w:rPr>
          <w:vanish/>
        </w:rPr>
        <w:t>PE778.113</w:t>
      </w:r>
      <w:bookmarkEnd w:id="3"/>
      <w:proofErr w:type="spellEnd"/>
    </w:p>
    <w:p w14:paraId="215EA4E7" w14:textId="7A1FD33D" w:rsidR="002D4E4B" w:rsidRPr="00B54DED" w:rsidRDefault="002D4E4B" w:rsidP="002D4E4B">
      <w:pPr>
        <w:pStyle w:val="ATHeading3"/>
      </w:pPr>
      <w:bookmarkStart w:id="4" w:name="Sujet"/>
      <w:r w:rsidRPr="00B54DED">
        <w:t xml:space="preserve">Resolucija Evropskega parlamenta z dne </w:t>
      </w:r>
      <w:r w:rsidR="00BE0423">
        <w:t>25.</w:t>
      </w:r>
      <w:r w:rsidR="00BE0423" w:rsidRPr="00B54DED">
        <w:t xml:space="preserve"> </w:t>
      </w:r>
      <w:r w:rsidR="004A1D30">
        <w:t xml:space="preserve">novembra </w:t>
      </w:r>
      <w:r w:rsidRPr="00B54DED">
        <w:t>2025 o osnutku izvedbenega sklepa Komisije o obnovitvi odobritve dajanja na trg proizvodov, ki vsebujejo gensko spremenjeno koruzo MON 87427, so iz nje sestavljeni ali proizvedeni, v skladu z Uredbo (ES) št. 1829/2003 Evropskega parlamenta in Sveta</w:t>
      </w:r>
      <w:bookmarkEnd w:id="4"/>
      <w:r w:rsidRPr="00B54DED">
        <w:t xml:space="preserve"> </w:t>
      </w:r>
      <w:bookmarkStart w:id="5" w:name="References"/>
      <w:r w:rsidRPr="00B54DED">
        <w:t>(D109634/01 – 2025/2897(RSP))</w:t>
      </w:r>
      <w:bookmarkEnd w:id="5"/>
    </w:p>
    <w:p w14:paraId="65758FAF" w14:textId="77777777" w:rsidR="00864F2C" w:rsidRPr="00B54DED" w:rsidRDefault="00864F2C" w:rsidP="00864F2C">
      <w:pPr>
        <w:pStyle w:val="EPComma"/>
      </w:pPr>
      <w:bookmarkStart w:id="6" w:name="TextBodyBegin"/>
      <w:bookmarkEnd w:id="6"/>
      <w:r w:rsidRPr="00B54DED">
        <w:rPr>
          <w:i/>
        </w:rPr>
        <w:t>Evropski parlament</w:t>
      </w:r>
      <w:r w:rsidRPr="00B54DED">
        <w:t>,</w:t>
      </w:r>
    </w:p>
    <w:p w14:paraId="6A161240" w14:textId="77777777" w:rsidR="00864F2C" w:rsidRPr="00B54DED" w:rsidRDefault="00864F2C" w:rsidP="00864F2C">
      <w:pPr>
        <w:pStyle w:val="NormalHanging12a"/>
      </w:pPr>
      <w:r w:rsidRPr="00B54DED">
        <w:t>–</w:t>
      </w:r>
      <w:r w:rsidRPr="00B54DED">
        <w:tab/>
        <w:t>ob upoštevanju osnutku izvedbenega sklepa Komisije o obnovitvi odobritve dajanja na trg proizvodov, ki vsebujejo gensko spremenjeno koruzo MON 87427, so iz nje sestavljeni ali proizvedeni, v skladu z Uredbo (ES) št. 1829/2003 Evropskega parlamenta in Sveta (D109634/01),</w:t>
      </w:r>
    </w:p>
    <w:p w14:paraId="6BC70DBE" w14:textId="77777777" w:rsidR="00864F2C" w:rsidRPr="00B54DED" w:rsidRDefault="00864F2C" w:rsidP="00864F2C">
      <w:pPr>
        <w:pStyle w:val="NormalHanging12a"/>
      </w:pPr>
      <w:r w:rsidRPr="00B54DED">
        <w:t>–</w:t>
      </w:r>
      <w:r w:rsidRPr="00B54DED">
        <w:tab/>
        <w:t>ob upoštevanju Uredbe (ES) št. 1829/2003 Evropskega parlamenta in Sveta z dne 22. septembra 2003 o gensko spremenjenih živilih in krmi</w:t>
      </w:r>
      <w:r w:rsidRPr="00B54DED">
        <w:rPr>
          <w:rStyle w:val="FootnoteReference"/>
        </w:rPr>
        <w:footnoteReference w:id="1"/>
      </w:r>
      <w:r w:rsidRPr="00B54DED">
        <w:t>, zlasti členov 11(3) in 23(3),</w:t>
      </w:r>
    </w:p>
    <w:p w14:paraId="4E6732D3" w14:textId="19BE8952" w:rsidR="00864F2C" w:rsidRPr="00B54DED" w:rsidRDefault="00864F2C" w:rsidP="00864F2C">
      <w:pPr>
        <w:pStyle w:val="NormalHanging12a"/>
      </w:pPr>
      <w:bookmarkStart w:id="7" w:name="_Hlk210666078"/>
      <w:r w:rsidRPr="00B54DED">
        <w:t>–</w:t>
      </w:r>
      <w:r w:rsidRPr="00B54DED">
        <w:tab/>
        <w:t xml:space="preserve">ob upoštevanju glasovanja </w:t>
      </w:r>
      <w:bookmarkStart w:id="8" w:name="_Hlk210664905"/>
      <w:r w:rsidRPr="00B54DED">
        <w:t>Stalnega odbora za rastline, živali, hrano in krmo</w:t>
      </w:r>
      <w:bookmarkEnd w:id="8"/>
      <w:r w:rsidRPr="00B54DED">
        <w:t xml:space="preserve"> iz člena 35 Uredbe (ES) št. 1829/2003, ki je potekalo 15. septembra 2025</w:t>
      </w:r>
      <w:bookmarkEnd w:id="7"/>
      <w:r w:rsidRPr="00B54DED">
        <w:t xml:space="preserve"> in pri katerem ni bilo sprejeto mnenje,</w:t>
      </w:r>
      <w:r w:rsidR="00BE0423">
        <w:t xml:space="preserve"> </w:t>
      </w:r>
      <w:r w:rsidR="00BE0423" w:rsidRPr="00BE0423">
        <w:t>ter glasovanja v odboru za pritožbe 21. oktobra 2025, na podlagi katerega mnenje prav tako ni bilo podano,</w:t>
      </w:r>
    </w:p>
    <w:p w14:paraId="6815ABC8" w14:textId="77777777" w:rsidR="00864F2C" w:rsidRPr="00B54DED" w:rsidRDefault="00864F2C" w:rsidP="00864F2C">
      <w:pPr>
        <w:pStyle w:val="NormalHanging12a"/>
      </w:pPr>
      <w:r w:rsidRPr="00B54DED">
        <w:t>–</w:t>
      </w:r>
      <w:r w:rsidRPr="00B54DED">
        <w:tab/>
        <w:t>ob upoštevanju člena 11 Uredbe (EU) št. 182/2011 Evropskega parlamenta in Sveta z dne 16. februarja 2011 o določitvi splošnih pravil in načel, na podlagi katerih države članice nadzirajo izvajanje izvedbenih pooblastil Komisije</w:t>
      </w:r>
      <w:r w:rsidRPr="00B54DED">
        <w:rPr>
          <w:rStyle w:val="FootnoteReference"/>
        </w:rPr>
        <w:footnoteReference w:id="2"/>
      </w:r>
      <w:r w:rsidRPr="00B54DED">
        <w:t>,</w:t>
      </w:r>
    </w:p>
    <w:p w14:paraId="226BFD69" w14:textId="77777777" w:rsidR="00864F2C" w:rsidRPr="00B54DED" w:rsidRDefault="00864F2C" w:rsidP="00864F2C">
      <w:pPr>
        <w:pStyle w:val="NormalHanging12a"/>
      </w:pPr>
      <w:r w:rsidRPr="00B54DED">
        <w:t>–</w:t>
      </w:r>
      <w:r w:rsidRPr="00B54DED">
        <w:tab/>
        <w:t>ob upoštevanju mnenja, ki ga je Evropska agencija za varnost hrane (EFSA) sprejela 27. marca 2025 in objavila 13. maja 2025</w:t>
      </w:r>
      <w:r w:rsidRPr="00B54DED">
        <w:rPr>
          <w:rStyle w:val="FootnoteReference"/>
          <w:szCs w:val="24"/>
        </w:rPr>
        <w:footnoteReference w:id="3"/>
      </w:r>
      <w:r w:rsidRPr="00B54DED">
        <w:t>,</w:t>
      </w:r>
    </w:p>
    <w:p w14:paraId="23E5723F" w14:textId="77777777" w:rsidR="00864F2C" w:rsidRPr="00B54DED" w:rsidRDefault="00864F2C" w:rsidP="00864F2C">
      <w:pPr>
        <w:pStyle w:val="NormalHanging12a"/>
      </w:pPr>
      <w:r w:rsidRPr="00B54DED">
        <w:t xml:space="preserve">– </w:t>
      </w:r>
      <w:r w:rsidRPr="00B54DED">
        <w:tab/>
        <w:t xml:space="preserve">ob upoštevanju svojih prejšnjih resolucij, s katerimi je nasprotoval odobritvi gensko </w:t>
      </w:r>
      <w:r w:rsidRPr="00B54DED">
        <w:lastRenderedPageBreak/>
        <w:t>spremenjenih organizmov (GSO)</w:t>
      </w:r>
      <w:bookmarkStart w:id="9" w:name="_Hlk210666451"/>
      <w:r w:rsidRPr="00B54DED">
        <w:rPr>
          <w:rStyle w:val="FootnoteReference"/>
        </w:rPr>
        <w:footnoteReference w:id="4"/>
      </w:r>
      <w:bookmarkEnd w:id="9"/>
      <w:r w:rsidRPr="00B54DED">
        <w:t>,</w:t>
      </w:r>
    </w:p>
    <w:p w14:paraId="345CB135" w14:textId="77777777" w:rsidR="00864F2C" w:rsidRPr="00B54DED" w:rsidRDefault="00864F2C" w:rsidP="00864F2C">
      <w:pPr>
        <w:pStyle w:val="NormalHanging12a"/>
      </w:pPr>
      <w:r w:rsidRPr="00B54DED">
        <w:lastRenderedPageBreak/>
        <w:t>–</w:t>
      </w:r>
      <w:r w:rsidRPr="00B54DED">
        <w:tab/>
      </w:r>
      <w:bookmarkStart w:id="10" w:name="_Hlk210059365"/>
      <w:r w:rsidRPr="00B54DED">
        <w:t>ob upoštevanju člena 115(2) in (3) Poslovnika,</w:t>
      </w:r>
    </w:p>
    <w:bookmarkEnd w:id="10"/>
    <w:p w14:paraId="6306FB52" w14:textId="77777777" w:rsidR="00864F2C" w:rsidRPr="00B54DED" w:rsidRDefault="00864F2C" w:rsidP="00864F2C">
      <w:pPr>
        <w:pStyle w:val="NormalHanging12a"/>
      </w:pPr>
      <w:r w:rsidRPr="00B54DED">
        <w:t>–</w:t>
      </w:r>
      <w:r w:rsidRPr="00B54DED">
        <w:tab/>
        <w:t xml:space="preserve">ob upoštevanju predloga resolucije Odbora za okolje, podnebje in varnost hrane, </w:t>
      </w:r>
    </w:p>
    <w:p w14:paraId="1DE4540E" w14:textId="77777777" w:rsidR="00864F2C" w:rsidRPr="00B54DED" w:rsidRDefault="00864F2C" w:rsidP="00864F2C">
      <w:pPr>
        <w:spacing w:after="240"/>
        <w:ind w:left="567" w:hanging="567"/>
      </w:pPr>
      <w:r w:rsidRPr="00B54DED">
        <w:t>A.</w:t>
      </w:r>
      <w:r w:rsidRPr="00B54DED">
        <w:tab/>
        <w:t>ker je bilo z Izvedbenim sklepom Komisije (EU) 2015/2281 z dne 4. decembra 2015</w:t>
      </w:r>
      <w:r w:rsidRPr="00B54DED">
        <w:rPr>
          <w:rStyle w:val="FootnoteReference"/>
        </w:rPr>
        <w:footnoteReference w:id="5"/>
      </w:r>
      <w:r w:rsidRPr="00B54DED">
        <w:t xml:space="preserve"> odobreno dajanje na trg proizvodov, ki vsebujejo gensko spremenjeno koruzo MON 87427, so iz nje sestavljeni ali proizvedeni (v nadaljnjem besedilu: gensko spremenjena koruza);</w:t>
      </w:r>
    </w:p>
    <w:p w14:paraId="5B7959B4" w14:textId="77777777" w:rsidR="00864F2C" w:rsidRPr="00B54DED" w:rsidRDefault="00864F2C" w:rsidP="00864F2C">
      <w:pPr>
        <w:spacing w:after="240"/>
        <w:ind w:left="567" w:hanging="567"/>
      </w:pPr>
      <w:r w:rsidRPr="00B54DED">
        <w:t>B.</w:t>
      </w:r>
      <w:r w:rsidRPr="00B54DED">
        <w:tab/>
        <w:t xml:space="preserve">ker je družba Bayer </w:t>
      </w:r>
      <w:proofErr w:type="spellStart"/>
      <w:r w:rsidRPr="00B54DED">
        <w:t>Agriculture</w:t>
      </w:r>
      <w:proofErr w:type="spellEnd"/>
      <w:r w:rsidRPr="00B54DED">
        <w:t xml:space="preserve"> BV s sedežem v Belgiji 19. marca 2024 v imenu družbe Bayer </w:t>
      </w:r>
      <w:proofErr w:type="spellStart"/>
      <w:r w:rsidRPr="00B54DED">
        <w:t>CropScience</w:t>
      </w:r>
      <w:proofErr w:type="spellEnd"/>
      <w:r w:rsidRPr="00B54DED">
        <w:t xml:space="preserve"> LP s sedežem v Združenih državah Amerike v skladu s členoma 11 in 23 Uredbe (ES) št. 1829/2003 pri Komisiji vložila vlogo za obnovitev navedene odobritve;</w:t>
      </w:r>
    </w:p>
    <w:p w14:paraId="59732635" w14:textId="77777777" w:rsidR="00864F2C" w:rsidRPr="00B54DED" w:rsidRDefault="00864F2C" w:rsidP="00864F2C">
      <w:pPr>
        <w:spacing w:after="240"/>
        <w:ind w:left="567" w:hanging="567"/>
      </w:pPr>
      <w:r w:rsidRPr="00B54DED">
        <w:t>C.</w:t>
      </w:r>
      <w:r w:rsidRPr="00B54DED">
        <w:tab/>
        <w:t>ker vloga za obnovitev zajema živila in krmo, ki vsebujejo gensko spremenjeno koruzo, so iz nje sestavljeni ali proizvedeni, ter proizvode, ki jo vsebujejo ali so iz nje sestavljeni ter se uporabljajo v druge namene kot za živila in krmo, razen za gojenje; ker področje uporabe te odobritve zajema tudi dajanje na trg proizvodov, ki niso živila in krma ter vsebujejo gensko spremenjeno koruzo ali so iz nje sestavljeni, za enako uporabo kot katera koli druga koruza, razen za gojenje;</w:t>
      </w:r>
    </w:p>
    <w:p w14:paraId="318D9499" w14:textId="77777777" w:rsidR="00864F2C" w:rsidRPr="00B54DED" w:rsidRDefault="00864F2C" w:rsidP="00864F2C">
      <w:pPr>
        <w:spacing w:after="240"/>
        <w:ind w:left="567" w:hanging="567"/>
      </w:pPr>
      <w:r w:rsidRPr="00B54DED">
        <w:t>D.</w:t>
      </w:r>
      <w:r w:rsidRPr="00B54DED">
        <w:tab/>
        <w:t>ker je agencija EFSA 27. marca 2025 izdala pozitivno mnenje, v katerem je ugotovila, da vloga za obnovitev ni vsebovala dokazov o novih nevarnostih, spremenjeni izpostavljenosti ali znanstvenih negotovostih, ki bi spremenili ugotovitve iz prvotne ocene tveganja, izdane leta 2015;</w:t>
      </w:r>
    </w:p>
    <w:p w14:paraId="1F8A8727" w14:textId="77777777" w:rsidR="00864F2C" w:rsidRPr="00B54DED" w:rsidRDefault="00864F2C" w:rsidP="00864F2C">
      <w:pPr>
        <w:spacing w:after="240"/>
        <w:ind w:left="567" w:hanging="567"/>
      </w:pPr>
      <w:r w:rsidRPr="00B54DED">
        <w:t>E.</w:t>
      </w:r>
      <w:r w:rsidRPr="00B54DED">
        <w:tab/>
        <w:t>ker agencija EFSA v svoji oceni ni zadostno obravnavala kumulativnih in kombiniranih učinkov, dolgoročnih toksikoloških študij ali posrednih ekoloških posledic povečane uporabe glifosata;</w:t>
      </w:r>
    </w:p>
    <w:p w14:paraId="206FA748" w14:textId="77777777" w:rsidR="00864F2C" w:rsidRPr="00B54DED" w:rsidRDefault="00864F2C" w:rsidP="00864F2C">
      <w:pPr>
        <w:spacing w:after="240"/>
        <w:ind w:left="567" w:hanging="567"/>
      </w:pPr>
      <w:r w:rsidRPr="00B54DED">
        <w:t>F.</w:t>
      </w:r>
      <w:r w:rsidRPr="00B54DED">
        <w:tab/>
        <w:t>ker je gensko spremenjena koruza odporna na glifosat; ker je glifosat povezan s tveganji za biotsko raznovrstnost ter zdravje tal in vode, pa tudi morebitnimi vplivi na zdravje ljudi;</w:t>
      </w:r>
    </w:p>
    <w:p w14:paraId="76712CE6" w14:textId="77777777" w:rsidR="00864F2C" w:rsidRPr="00B54DED" w:rsidRDefault="00864F2C" w:rsidP="00864F2C">
      <w:pPr>
        <w:spacing w:after="240"/>
        <w:ind w:left="567" w:hanging="567"/>
      </w:pPr>
      <w:r w:rsidRPr="00B54DED">
        <w:t>G.</w:t>
      </w:r>
      <w:r w:rsidRPr="00B54DED">
        <w:tab/>
        <w:t xml:space="preserve">ker je obsežno gojenje gensko spremenjenih kmetijskih rastlin, odpornih proti glifosatu, </w:t>
      </w:r>
      <w:r w:rsidRPr="00B54DED">
        <w:lastRenderedPageBreak/>
        <w:t>v državah izvoznicah privedlo do večje uporabe herbicidov ter pojava odpornega plevela in ima negativne posledice za kmetijske sisteme, ekosisteme in podeželske skupnosti;</w:t>
      </w:r>
    </w:p>
    <w:p w14:paraId="6ED47926" w14:textId="77777777" w:rsidR="00864F2C" w:rsidRPr="00B54DED" w:rsidRDefault="00864F2C" w:rsidP="00864F2C">
      <w:pPr>
        <w:spacing w:after="240"/>
        <w:ind w:left="567" w:hanging="567"/>
      </w:pPr>
      <w:r w:rsidRPr="00B54DED">
        <w:t>H.</w:t>
      </w:r>
      <w:r w:rsidRPr="00B54DED">
        <w:tab/>
        <w:t>ker načrt spremljanja vplivov na okolje iz osnutka izvedbenega sklepa Komisije v veliki meri temelji na splošnem nadzoru in ne predvideva ciljno usmerjenih, neodvisnih dolgoročnih študij o opraševalcih, organizmih v tleh, vodnih organizmih in neciljnih rastlinah;</w:t>
      </w:r>
    </w:p>
    <w:p w14:paraId="6838A1E9" w14:textId="77777777" w:rsidR="00864F2C" w:rsidRPr="00B54DED" w:rsidRDefault="00864F2C" w:rsidP="00864F2C">
      <w:pPr>
        <w:spacing w:after="240"/>
        <w:ind w:left="567" w:hanging="567"/>
      </w:pPr>
      <w:r w:rsidRPr="00B54DED">
        <w:t>I.</w:t>
      </w:r>
      <w:r w:rsidRPr="00B54DED">
        <w:tab/>
        <w:t>ker bi se moralo previdnostno načelo, ki je zapisano v členu 191 Pogodbe o delovanju Evropske unije, uporabljati v primerih znanstvene negotovosti in dokazov o morebitni škodi;</w:t>
      </w:r>
    </w:p>
    <w:p w14:paraId="5FA85244" w14:textId="77777777" w:rsidR="00864F2C" w:rsidRPr="00B54DED" w:rsidRDefault="00864F2C" w:rsidP="00864F2C">
      <w:pPr>
        <w:spacing w:after="240"/>
        <w:ind w:left="567" w:hanging="567"/>
      </w:pPr>
      <w:r w:rsidRPr="00B54DED">
        <w:t>J.</w:t>
      </w:r>
      <w:r w:rsidRPr="00B54DED">
        <w:tab/>
        <w:t>ker se v Uredbi (ES) št. 1829/2003 zahteva, da gensko spremenjena živila in krma ne smejo imeti škodljivih učinkov na zdravje ljudi, zdravje živali ali okolje;</w:t>
      </w:r>
    </w:p>
    <w:p w14:paraId="5768E6C0" w14:textId="77777777" w:rsidR="00864F2C" w:rsidRPr="00B54DED" w:rsidRDefault="00864F2C" w:rsidP="00864F2C">
      <w:pPr>
        <w:spacing w:after="240"/>
        <w:ind w:left="567" w:hanging="567"/>
      </w:pPr>
      <w:r w:rsidRPr="00B54DED">
        <w:t>K.</w:t>
      </w:r>
      <w:r w:rsidRPr="00B54DED">
        <w:tab/>
        <w:t>ker pristop „eno zdravje“ zahteva, da se pri ocenjevanju dolgoročne trajnosti in varnosti gensko spremenjenih organizmov upošteva medsebojna odvisnost zdravja ljudi, živali, rastlin in okolja;</w:t>
      </w:r>
    </w:p>
    <w:p w14:paraId="6E692ABD" w14:textId="77777777" w:rsidR="00864F2C" w:rsidRPr="00B54DED" w:rsidRDefault="00864F2C" w:rsidP="00864F2C">
      <w:pPr>
        <w:spacing w:after="240"/>
        <w:ind w:left="567" w:hanging="567"/>
      </w:pPr>
      <w:r w:rsidRPr="00B54DED">
        <w:t>L.</w:t>
      </w:r>
      <w:r w:rsidRPr="00B54DED">
        <w:tab/>
        <w:t>ker Parlament dosledno nasprotuje odobritvam in obnovam odobritve gensko spremenjenih organizmov v primerih, ko države članice v Stalnem odboru za rastline, živali, hrano in krmo ali odboru za pritožbe ne dosežejo kvalificirane večine, pri čemer je poudarjen vztrajni demokratični primanjkljaj postopka za avtorizacijo;</w:t>
      </w:r>
    </w:p>
    <w:p w14:paraId="53999071" w14:textId="77777777" w:rsidR="00864F2C" w:rsidRPr="00B54DED" w:rsidRDefault="00864F2C" w:rsidP="00864F2C">
      <w:pPr>
        <w:spacing w:after="240"/>
        <w:ind w:left="567" w:hanging="567"/>
      </w:pPr>
      <w:r w:rsidRPr="00B54DED">
        <w:t>1.</w:t>
      </w:r>
      <w:r w:rsidRPr="00B54DED">
        <w:tab/>
        <w:t>meni, da osnutek izvedbenega sklepa Komisije presega izvedbena pooblastila, določena v Uredbi (ES) št. 1829/2003;</w:t>
      </w:r>
    </w:p>
    <w:p w14:paraId="45471B96" w14:textId="77777777" w:rsidR="00864F2C" w:rsidRPr="00B54DED" w:rsidRDefault="00864F2C" w:rsidP="00864F2C">
      <w:pPr>
        <w:spacing w:after="240"/>
        <w:ind w:left="567" w:hanging="567"/>
      </w:pPr>
      <w:r w:rsidRPr="00B54DED">
        <w:t>2.</w:t>
      </w:r>
      <w:r w:rsidRPr="00B54DED">
        <w:tab/>
        <w:t>meni, da osnutek izvedbenega sklepa Komisije ni v skladu s pravom Unije, saj ni združljiv s ciljem Uredbe (ES) št. 1829/2003, namreč da se v skladu s splošnimi načeli iz Uredbe (ES) št. 178/2002 Evropskega parlamenta in Sveta</w:t>
      </w:r>
      <w:r w:rsidRPr="00B54DED">
        <w:rPr>
          <w:rStyle w:val="FootnoteReference"/>
        </w:rPr>
        <w:footnoteReference w:id="6"/>
      </w:r>
      <w:r w:rsidRPr="00B54DED">
        <w:t xml:space="preserve"> omogoči visoka raven varovanja življenja in zdravja ljudi, zdravja in zaščite živali ter okoljskih interesov in interesov potrošnikov v zvezi z gensko spremenjenimi živili in krmo, ob hkratnem zagotavljanju nemotenega delovanja notranjega trga in v skladu s previdnostnim načelom;</w:t>
      </w:r>
    </w:p>
    <w:p w14:paraId="53FA2FD8" w14:textId="77777777" w:rsidR="00864F2C" w:rsidRPr="00B54DED" w:rsidRDefault="00864F2C" w:rsidP="00864F2C">
      <w:pPr>
        <w:spacing w:after="240"/>
        <w:ind w:left="567" w:hanging="567"/>
      </w:pPr>
      <w:r w:rsidRPr="00B54DED">
        <w:t>3.</w:t>
      </w:r>
      <w:r w:rsidRPr="00B54DED">
        <w:tab/>
        <w:t>poziva Komisijo, naj umakne svoj osnutek izvedbenega sklepa;</w:t>
      </w:r>
    </w:p>
    <w:p w14:paraId="400A4FF4" w14:textId="77777777" w:rsidR="00864F2C" w:rsidRPr="00B54DED" w:rsidRDefault="00864F2C" w:rsidP="00864F2C">
      <w:pPr>
        <w:spacing w:after="240"/>
        <w:ind w:left="567" w:hanging="567"/>
      </w:pPr>
      <w:r w:rsidRPr="00B54DED">
        <w:t>4.</w:t>
      </w:r>
      <w:r w:rsidRPr="00B54DED">
        <w:tab/>
        <w:t>poziva Komisijo, naj v skladu s pristopom „eno zdravje“ ne obnovi odobritve gensko spremenjene koruze zaradi tveganj, povezanih z uporabo glifosata, odpornega plevela, izgube biotske raznovrstnosti in nezadostnih dolgoročnih dokazov;</w:t>
      </w:r>
      <w:bookmarkStart w:id="11" w:name="_Hlk210900300"/>
    </w:p>
    <w:p w14:paraId="66AA1F5A" w14:textId="77777777" w:rsidR="00864F2C" w:rsidRPr="00B54DED" w:rsidRDefault="00864F2C" w:rsidP="00864F2C">
      <w:pPr>
        <w:spacing w:after="240"/>
        <w:ind w:left="567" w:hanging="567"/>
      </w:pPr>
      <w:r w:rsidRPr="00B54DED">
        <w:t>5.</w:t>
      </w:r>
      <w:r w:rsidRPr="00B54DED">
        <w:tab/>
        <w:t>poziva Komisijo, naj nemudoma predloži zakonodajni predlog za reformo postopka odločanja o gensko spremenjenih organizmih, da bi se odzvala na stalne ugovore Parlamenta in pomanjkanje podpore kvalificirane večine med državami članicami</w:t>
      </w:r>
      <w:bookmarkEnd w:id="11"/>
      <w:r w:rsidRPr="00B54DED">
        <w:t>;</w:t>
      </w:r>
      <w:bookmarkStart w:id="12" w:name="_Hlk210900241"/>
    </w:p>
    <w:p w14:paraId="2781A620" w14:textId="77777777" w:rsidR="00864F2C" w:rsidRPr="00B54DED" w:rsidRDefault="00864F2C" w:rsidP="00864F2C">
      <w:pPr>
        <w:spacing w:after="240"/>
        <w:ind w:left="567" w:hanging="567"/>
      </w:pPr>
      <w:r w:rsidRPr="00B54DED">
        <w:t>6.</w:t>
      </w:r>
      <w:r w:rsidRPr="00B54DED">
        <w:tab/>
        <w:t xml:space="preserve">poziva Komisijo, naj upošteva obveznosti, ki jih ima Unija po mednarodnih </w:t>
      </w:r>
      <w:r w:rsidRPr="00B54DED">
        <w:lastRenderedPageBreak/>
        <w:t>sporazumih, kot so Pariški sporazum, Konvencija OZN o biološki raznovrstnosti in cilj OZN glede trajnostnega razvoja;</w:t>
      </w:r>
    </w:p>
    <w:bookmarkEnd w:id="12"/>
    <w:p w14:paraId="3A1A0264" w14:textId="1ADF2E82" w:rsidR="00E365E1" w:rsidRPr="00B54DED" w:rsidRDefault="00864F2C" w:rsidP="00B3422A">
      <w:pPr>
        <w:spacing w:after="240"/>
        <w:ind w:left="567" w:hanging="567"/>
      </w:pPr>
      <w:r w:rsidRPr="00B54DED">
        <w:t>7.</w:t>
      </w:r>
      <w:r w:rsidRPr="00B54DED">
        <w:tab/>
        <w:t>naroči svoji predsednici, naj to resolucijo posreduje Svetu in Komisiji ter vladam in parlamentom držav članic.</w:t>
      </w:r>
    </w:p>
    <w:sectPr w:rsidR="00E365E1" w:rsidRPr="00B54DED" w:rsidSect="00B54D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B3B7A" w14:textId="77777777" w:rsidR="002D4E4B" w:rsidRPr="00B54DED" w:rsidRDefault="002D4E4B">
      <w:r w:rsidRPr="00B54DED">
        <w:separator/>
      </w:r>
    </w:p>
  </w:endnote>
  <w:endnote w:type="continuationSeparator" w:id="0">
    <w:p w14:paraId="107EB860" w14:textId="77777777" w:rsidR="002D4E4B" w:rsidRPr="00B54DED" w:rsidRDefault="002D4E4B">
      <w:r w:rsidRPr="00B54D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5915" w14:textId="77777777" w:rsidR="00064002" w:rsidRPr="00B54D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E547C" w14:textId="77777777" w:rsidR="00064002" w:rsidRPr="00B54D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1E20" w14:textId="77777777" w:rsidR="00064002" w:rsidRPr="00B54D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9A43C" w14:textId="77777777" w:rsidR="002D4E4B" w:rsidRPr="00B54DED" w:rsidRDefault="002D4E4B">
      <w:r w:rsidRPr="00B54DED">
        <w:separator/>
      </w:r>
    </w:p>
  </w:footnote>
  <w:footnote w:type="continuationSeparator" w:id="0">
    <w:p w14:paraId="5928282D" w14:textId="77777777" w:rsidR="002D4E4B" w:rsidRPr="00B54DED" w:rsidRDefault="002D4E4B">
      <w:r w:rsidRPr="00B54DED">
        <w:continuationSeparator/>
      </w:r>
    </w:p>
  </w:footnote>
  <w:footnote w:id="1">
    <w:p w14:paraId="215CBC13" w14:textId="6313C0D5" w:rsidR="00864F2C" w:rsidRPr="00B54DED" w:rsidRDefault="00864F2C" w:rsidP="00B54DED">
      <w:pPr>
        <w:pStyle w:val="FootnoteText"/>
        <w:ind w:left="567" w:hanging="567"/>
        <w:rPr>
          <w:sz w:val="24"/>
          <w:lang w:val="sl-SI"/>
        </w:rPr>
      </w:pPr>
      <w:r w:rsidRPr="00B54DED">
        <w:rPr>
          <w:rStyle w:val="FootnoteReference"/>
          <w:sz w:val="24"/>
          <w:lang w:val="sl-SI"/>
        </w:rPr>
        <w:footnoteRef/>
      </w:r>
      <w:r w:rsidR="00B54DED" w:rsidRPr="00B54DED">
        <w:rPr>
          <w:sz w:val="24"/>
          <w:lang w:val="sl-SI"/>
        </w:rPr>
        <w:t xml:space="preserve"> </w:t>
      </w:r>
      <w:r w:rsidR="00B54DED" w:rsidRPr="00B54DED">
        <w:rPr>
          <w:sz w:val="24"/>
          <w:lang w:val="sl-SI"/>
        </w:rPr>
        <w:tab/>
      </w:r>
      <w:r w:rsidRPr="00B54DED">
        <w:rPr>
          <w:sz w:val="24"/>
          <w:lang w:val="sl-SI"/>
        </w:rPr>
        <w:t xml:space="preserve">UL L 268, 18.10.2003, str. 1, </w:t>
      </w:r>
      <w:hyperlink r:id="rId1" w:tooltip="http://data.europa.eu/eli/reg/2003/1829/oj" w:history="1">
        <w:r w:rsidRPr="00B54DED">
          <w:rPr>
            <w:rStyle w:val="Hyperlink"/>
            <w:sz w:val="24"/>
            <w:lang w:val="sl-SI"/>
          </w:rPr>
          <w:t>http://data.europa.eu/eli/reg/2003/1829/oj</w:t>
        </w:r>
      </w:hyperlink>
      <w:r w:rsidRPr="00B54DED">
        <w:rPr>
          <w:sz w:val="24"/>
          <w:lang w:val="sl-SI"/>
        </w:rPr>
        <w:t>.</w:t>
      </w:r>
    </w:p>
  </w:footnote>
  <w:footnote w:id="2">
    <w:p w14:paraId="7DA7E556" w14:textId="3EA4C958" w:rsidR="00864F2C" w:rsidRPr="00B54DED" w:rsidRDefault="00864F2C" w:rsidP="00B54DED">
      <w:pPr>
        <w:pStyle w:val="FootnoteText"/>
        <w:ind w:left="567" w:hanging="567"/>
        <w:rPr>
          <w:sz w:val="24"/>
          <w:lang w:val="sl-SI"/>
        </w:rPr>
      </w:pPr>
      <w:r w:rsidRPr="00B54DED">
        <w:rPr>
          <w:rStyle w:val="FootnoteReference"/>
          <w:sz w:val="24"/>
          <w:lang w:val="sl-SI"/>
        </w:rPr>
        <w:footnoteRef/>
      </w:r>
      <w:r w:rsidR="00B54DED" w:rsidRPr="00B54DED">
        <w:rPr>
          <w:sz w:val="24"/>
          <w:lang w:val="sl-SI"/>
        </w:rPr>
        <w:t xml:space="preserve"> </w:t>
      </w:r>
      <w:r w:rsidR="00B54DED" w:rsidRPr="00B54DED">
        <w:rPr>
          <w:sz w:val="24"/>
          <w:lang w:val="sl-SI"/>
        </w:rPr>
        <w:tab/>
      </w:r>
      <w:r w:rsidRPr="00B54DED">
        <w:rPr>
          <w:sz w:val="24"/>
          <w:lang w:val="sl-SI"/>
        </w:rPr>
        <w:t xml:space="preserve">UL L 55, </w:t>
      </w:r>
      <w:proofErr w:type="gramStart"/>
      <w:r w:rsidRPr="00B54DED">
        <w:rPr>
          <w:sz w:val="24"/>
          <w:lang w:val="sl-SI"/>
        </w:rPr>
        <w:t>28.2.2011</w:t>
      </w:r>
      <w:proofErr w:type="gramEnd"/>
      <w:r w:rsidRPr="00B54DED">
        <w:rPr>
          <w:sz w:val="24"/>
          <w:lang w:val="sl-SI"/>
        </w:rPr>
        <w:t xml:space="preserve">, str. 13, ELI: </w:t>
      </w:r>
      <w:hyperlink r:id="rId2" w:history="1">
        <w:r w:rsidRPr="00B54DED">
          <w:rPr>
            <w:rStyle w:val="Hyperlink"/>
            <w:sz w:val="24"/>
            <w:lang w:val="sl-SI"/>
          </w:rPr>
          <w:t>http://data.europa.eu/eli/reg/2011/182/oj</w:t>
        </w:r>
      </w:hyperlink>
      <w:r w:rsidRPr="00B54DED">
        <w:rPr>
          <w:rStyle w:val="Hyperlink"/>
          <w:sz w:val="24"/>
          <w:lang w:val="sl-SI"/>
        </w:rPr>
        <w:t>.</w:t>
      </w:r>
    </w:p>
  </w:footnote>
  <w:footnote w:id="3">
    <w:p w14:paraId="2D161C8A" w14:textId="193474C7" w:rsidR="00864F2C" w:rsidRPr="00B54DED" w:rsidRDefault="00864F2C" w:rsidP="00B54DED">
      <w:pPr>
        <w:pStyle w:val="FootnoteText"/>
        <w:ind w:left="567" w:hanging="567"/>
        <w:rPr>
          <w:sz w:val="24"/>
          <w:lang w:val="sl-SI"/>
        </w:rPr>
      </w:pPr>
      <w:r w:rsidRPr="00B54DED">
        <w:rPr>
          <w:rStyle w:val="Funotenzeichen"/>
          <w:sz w:val="24"/>
          <w:lang w:val="sl-SI"/>
        </w:rPr>
        <w:footnoteRef/>
      </w:r>
      <w:r w:rsidR="00B54DED" w:rsidRPr="00B54DED">
        <w:rPr>
          <w:sz w:val="24"/>
          <w:lang w:val="sl-SI"/>
        </w:rPr>
        <w:t xml:space="preserve"> </w:t>
      </w:r>
      <w:r w:rsidR="00B54DED" w:rsidRPr="00B54DED">
        <w:rPr>
          <w:sz w:val="24"/>
          <w:lang w:val="sl-SI"/>
        </w:rPr>
        <w:tab/>
      </w:r>
      <w:r w:rsidRPr="00B54DED">
        <w:rPr>
          <w:sz w:val="24"/>
          <w:lang w:val="sl-SI"/>
        </w:rPr>
        <w:t>Znanstveno mnenje odbora agencije EFSA za gensko spremenjene organizme o oceni gensko spremenjene koruze MON 87427 (vloga GMFF-2023-21254). EFSA Journal 2025; 23(5)</w:t>
      </w:r>
      <w:proofErr w:type="gramStart"/>
      <w:r w:rsidRPr="00B54DED">
        <w:rPr>
          <w:sz w:val="24"/>
          <w:lang w:val="sl-SI"/>
        </w:rPr>
        <w:t>:</w:t>
      </w:r>
      <w:proofErr w:type="gramEnd"/>
      <w:r w:rsidRPr="00B54DED">
        <w:rPr>
          <w:sz w:val="24"/>
          <w:lang w:val="sl-SI"/>
        </w:rPr>
        <w:t xml:space="preserve">9380; </w:t>
      </w:r>
      <w:hyperlink r:id="rId3" w:history="1">
        <w:r w:rsidRPr="00B54DED">
          <w:rPr>
            <w:rStyle w:val="Hyperlink"/>
            <w:sz w:val="24"/>
            <w:lang w:val="sl-SI"/>
          </w:rPr>
          <w:t>https://doi.org/10.2903/j.efsa.2025.9380</w:t>
        </w:r>
      </w:hyperlink>
      <w:r w:rsidRPr="00B54DED">
        <w:rPr>
          <w:sz w:val="24"/>
          <w:lang w:val="sl-SI"/>
        </w:rPr>
        <w:t xml:space="preserve">. </w:t>
      </w:r>
    </w:p>
  </w:footnote>
  <w:footnote w:id="4">
    <w:p w14:paraId="44519D32" w14:textId="5AF107EF" w:rsidR="00864F2C" w:rsidRPr="00B54DED" w:rsidRDefault="00864F2C" w:rsidP="00B54DED">
      <w:pPr>
        <w:pStyle w:val="FootnoteText"/>
        <w:ind w:left="567" w:hanging="567"/>
        <w:rPr>
          <w:color w:val="000000" w:themeColor="text1"/>
          <w:sz w:val="24"/>
          <w:vertAlign w:val="superscript"/>
          <w:lang w:val="sl-SI"/>
        </w:rPr>
      </w:pPr>
      <w:r w:rsidRPr="00B54DED">
        <w:rPr>
          <w:rStyle w:val="FootnoteReference"/>
          <w:sz w:val="24"/>
          <w:lang w:val="sl-SI"/>
        </w:rPr>
        <w:footnoteRef/>
      </w:r>
      <w:r w:rsidR="00B54DED" w:rsidRPr="00B54DED">
        <w:rPr>
          <w:color w:val="000000" w:themeColor="text1"/>
          <w:sz w:val="24"/>
          <w:lang w:val="sl-SI"/>
        </w:rPr>
        <w:t xml:space="preserve"> </w:t>
      </w:r>
      <w:r w:rsidR="00B54DED" w:rsidRPr="00B54DED">
        <w:rPr>
          <w:color w:val="000000" w:themeColor="text1"/>
          <w:sz w:val="24"/>
          <w:lang w:val="sl-SI"/>
        </w:rPr>
        <w:tab/>
      </w:r>
      <w:r w:rsidRPr="00B54DED">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0A085073" w14:textId="6BCA3A62"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w:t>
      </w:r>
      <w:proofErr w:type="gramStart"/>
      <w:r w:rsidR="00864F2C" w:rsidRPr="00B54DED">
        <w:rPr>
          <w:color w:val="000000" w:themeColor="text1"/>
          <w:sz w:val="24"/>
          <w:lang w:val="sl-SI"/>
        </w:rPr>
        <w:t>4.4.2025</w:t>
      </w:r>
      <w:proofErr w:type="gramEnd"/>
      <w:r w:rsidR="00864F2C" w:rsidRPr="00B54DED">
        <w:rPr>
          <w:color w:val="000000" w:themeColor="text1"/>
          <w:sz w:val="24"/>
          <w:lang w:val="sl-SI"/>
        </w:rPr>
        <w:t xml:space="preserve">, ELI: </w:t>
      </w:r>
      <w:hyperlink r:id="rId4" w:history="1">
        <w:r w:rsidR="00864F2C" w:rsidRPr="00B54DED">
          <w:rPr>
            <w:rStyle w:val="Hyperlink"/>
            <w:sz w:val="24"/>
            <w:lang w:val="sl-SI"/>
          </w:rPr>
          <w:t>http://data.europa.eu/eli/C/2025/1797/oj</w:t>
        </w:r>
      </w:hyperlink>
      <w:r w:rsidR="00864F2C" w:rsidRPr="00B54DED">
        <w:rPr>
          <w:color w:val="000000" w:themeColor="text1"/>
          <w:sz w:val="24"/>
          <w:lang w:val="sl-SI"/>
        </w:rPr>
        <w:t>),</w:t>
      </w:r>
    </w:p>
    <w:p w14:paraId="7C02F19D" w14:textId="482EA448"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864F2C" w:rsidRPr="00B54DED">
          <w:rPr>
            <w:rStyle w:val="Hyperlink"/>
            <w:sz w:val="24"/>
            <w:lang w:val="sl-SI"/>
          </w:rPr>
          <w:t>http://data.europa.eu/eli/C/2025/1798/oj</w:t>
        </w:r>
      </w:hyperlink>
      <w:r w:rsidR="00864F2C" w:rsidRPr="00B54DED">
        <w:rPr>
          <w:color w:val="000000" w:themeColor="text1"/>
          <w:sz w:val="24"/>
          <w:lang w:val="sl-SI"/>
        </w:rPr>
        <w:t>),</w:t>
      </w:r>
    </w:p>
    <w:p w14:paraId="17FC09D3" w14:textId="4061408A"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864F2C" w:rsidRPr="00B54DED">
        <w:rPr>
          <w:color w:val="000000" w:themeColor="text1"/>
          <w:sz w:val="24"/>
          <w:lang w:val="sl-SI"/>
        </w:rPr>
        <w:t>podkombinacij</w:t>
      </w:r>
      <w:proofErr w:type="spellEnd"/>
      <w:r w:rsidR="00864F2C" w:rsidRPr="00B54DED">
        <w:rPr>
          <w:color w:val="000000" w:themeColor="text1"/>
          <w:sz w:val="24"/>
          <w:lang w:val="sl-SI"/>
        </w:rPr>
        <w:t xml:space="preserve">, so iz njih sestavljeni ali proizvedeni, v skladu z Uredbo (ES) št. 1829/2003 Evropskega parlamenta in Sveta (UL C, C/2025/1799, 4.4.2025, ELI: </w:t>
      </w:r>
      <w:hyperlink r:id="rId6" w:history="1">
        <w:r w:rsidR="00864F2C" w:rsidRPr="00B54DED">
          <w:rPr>
            <w:rStyle w:val="Hyperlink"/>
            <w:sz w:val="24"/>
            <w:lang w:val="sl-SI"/>
          </w:rPr>
          <w:t>http://data.europa.eu/eli/C/2025/1799/oj</w:t>
        </w:r>
      </w:hyperlink>
      <w:r w:rsidR="00864F2C" w:rsidRPr="00B54DED">
        <w:rPr>
          <w:color w:val="000000" w:themeColor="text1"/>
          <w:sz w:val="24"/>
          <w:lang w:val="sl-SI"/>
        </w:rPr>
        <w:t>),</w:t>
      </w:r>
    </w:p>
    <w:p w14:paraId="3B11ABCF" w14:textId="6DF5B490"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864F2C" w:rsidRPr="00B54DED">
          <w:rPr>
            <w:rStyle w:val="Hyperlink"/>
            <w:sz w:val="24"/>
            <w:lang w:val="sl-SI"/>
          </w:rPr>
          <w:t>http://data.europa.eu/eli/C/2025/1800/oj</w:t>
        </w:r>
      </w:hyperlink>
      <w:r w:rsidR="00864F2C" w:rsidRPr="00B54DED">
        <w:rPr>
          <w:color w:val="000000" w:themeColor="text1"/>
          <w:sz w:val="24"/>
          <w:lang w:val="sl-SI"/>
        </w:rPr>
        <w:t>),</w:t>
      </w:r>
    </w:p>
    <w:p w14:paraId="2FF8FAF8" w14:textId="061CEEA1"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864F2C" w:rsidRPr="00B54DED">
          <w:rPr>
            <w:rStyle w:val="Hyperlink"/>
            <w:sz w:val="24"/>
            <w:lang w:val="sl-SI"/>
          </w:rPr>
          <w:t>http://data.europa.eu/eli/C/2025/1801/oj</w:t>
        </w:r>
      </w:hyperlink>
      <w:r w:rsidR="00864F2C" w:rsidRPr="00B54DED">
        <w:rPr>
          <w:color w:val="000000" w:themeColor="text1"/>
          <w:sz w:val="24"/>
          <w:lang w:val="sl-SI"/>
        </w:rPr>
        <w:t>),</w:t>
      </w:r>
    </w:p>
    <w:p w14:paraId="7DC0BC9B" w14:textId="1EFB42C6"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864F2C" w:rsidRPr="00B54DED">
          <w:rPr>
            <w:rStyle w:val="Hyperlink"/>
            <w:sz w:val="24"/>
            <w:lang w:val="sl-SI"/>
          </w:rPr>
          <w:t>http://data.europa.eu/eli/C/2025/1802/oj</w:t>
        </w:r>
      </w:hyperlink>
      <w:r w:rsidR="00864F2C" w:rsidRPr="00B54DED">
        <w:rPr>
          <w:color w:val="000000" w:themeColor="text1"/>
          <w:sz w:val="24"/>
          <w:lang w:val="sl-SI"/>
        </w:rPr>
        <w:t>),</w:t>
      </w:r>
    </w:p>
    <w:p w14:paraId="66106F35" w14:textId="283D66D2"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864F2C" w:rsidRPr="00B54DED">
          <w:rPr>
            <w:rStyle w:val="Hyperlink"/>
            <w:sz w:val="24"/>
            <w:lang w:val="sl-SI"/>
          </w:rPr>
          <w:t>http://data.europa.eu/eli/C/2025/1803/oj</w:t>
        </w:r>
      </w:hyperlink>
      <w:r w:rsidR="00864F2C" w:rsidRPr="00B54DED">
        <w:rPr>
          <w:color w:val="000000" w:themeColor="text1"/>
          <w:sz w:val="24"/>
          <w:lang w:val="sl-SI"/>
        </w:rPr>
        <w:t>),</w:t>
      </w:r>
    </w:p>
    <w:p w14:paraId="1F87297C" w14:textId="569E454D" w:rsidR="00864F2C" w:rsidRPr="00B54DED" w:rsidRDefault="00B54DED" w:rsidP="00B54DED">
      <w:pPr>
        <w:pStyle w:val="FootnoteText"/>
        <w:ind w:left="567" w:hanging="567"/>
        <w:rPr>
          <w:color w:val="000000" w:themeColor="text1"/>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864F2C" w:rsidRPr="00B54DED">
          <w:rPr>
            <w:rStyle w:val="Hyperlink"/>
            <w:sz w:val="24"/>
            <w:lang w:val="sl-SI"/>
          </w:rPr>
          <w:t>http://data.europa.eu/eli/C/2025/1804/oj</w:t>
        </w:r>
      </w:hyperlink>
      <w:r w:rsidR="00864F2C" w:rsidRPr="00B54DED">
        <w:rPr>
          <w:color w:val="000000" w:themeColor="text1"/>
          <w:sz w:val="24"/>
          <w:lang w:val="sl-SI"/>
        </w:rPr>
        <w:t>),</w:t>
      </w:r>
    </w:p>
    <w:p w14:paraId="1F4F3CBC" w14:textId="039164FC" w:rsidR="00864F2C" w:rsidRPr="00B54DED" w:rsidRDefault="00B54DED" w:rsidP="00B54DED">
      <w:pPr>
        <w:pStyle w:val="FootnoteText"/>
        <w:ind w:left="567" w:hanging="567"/>
        <w:rPr>
          <w:sz w:val="24"/>
          <w:vertAlign w:val="superscript"/>
          <w:lang w:val="sl-SI"/>
        </w:rPr>
      </w:pPr>
      <w:r w:rsidRPr="00B54DED">
        <w:rPr>
          <w:color w:val="000000" w:themeColor="text1"/>
          <w:sz w:val="24"/>
          <w:lang w:val="sl-SI"/>
        </w:rPr>
        <w:t xml:space="preserve"> </w:t>
      </w:r>
      <w:r w:rsidRPr="00B54DED">
        <w:rPr>
          <w:color w:val="000000" w:themeColor="text1"/>
          <w:sz w:val="24"/>
          <w:lang w:val="sl-SI"/>
        </w:rPr>
        <w:tab/>
      </w:r>
      <w:r w:rsidR="00864F2C" w:rsidRPr="00B54DED">
        <w:rPr>
          <w:color w:val="000000" w:themeColor="text1"/>
          <w:sz w:val="24"/>
          <w:lang w:val="sl-SI"/>
        </w:rPr>
        <w:t>–</w:t>
      </w:r>
      <w:r w:rsidR="00864F2C" w:rsidRPr="00B54DED">
        <w:rPr>
          <w:color w:val="000000" w:themeColor="text1"/>
          <w:sz w:val="24"/>
          <w:lang w:val="sl-SI"/>
        </w:rPr>
        <w:tab/>
      </w:r>
      <w:r w:rsidR="00864F2C" w:rsidRPr="00B54DED">
        <w:rPr>
          <w:sz w:val="24"/>
          <w:lang w:val="sl-SI"/>
        </w:rPr>
        <w:t xml:space="preserve">resolucijo Evropskega parlamenta z dne 12. februarja 2025 o osnutku izvedbenega sklepa Komisije o odobritvi dajanja proizvodov, ki vsebujejo gensko spremenjeno koruzo DP310521, so iz nje sestavljeni ali proizvedeni, na trg v skladu z Uredbo (ES) št. 1829/2003 Evropskega parlamenta in Sveta (UL C, C/2025/2246, </w:t>
      </w:r>
      <w:r w:rsidR="00DE6860">
        <w:rPr>
          <w:sz w:val="24"/>
          <w:lang w:val="sl-SI"/>
        </w:rPr>
        <w:t>29</w:t>
      </w:r>
      <w:r w:rsidR="00864F2C" w:rsidRPr="00B54DED">
        <w:rPr>
          <w:sz w:val="24"/>
          <w:lang w:val="sl-SI"/>
        </w:rPr>
        <w:t xml:space="preserve">.4.2025, ELI: </w:t>
      </w:r>
      <w:hyperlink r:id="rId12" w:tooltip="Dokument je na voljo prek evropskega zakonodajnega identifikatorja ELI." w:history="1">
        <w:r w:rsidR="00864F2C" w:rsidRPr="00B54DED">
          <w:rPr>
            <w:rStyle w:val="Hyperlink"/>
            <w:sz w:val="24"/>
            <w:lang w:val="sl-SI"/>
          </w:rPr>
          <w:t>http://data.europa.eu/eli/C/2025/2246/oj</w:t>
        </w:r>
      </w:hyperlink>
      <w:r w:rsidR="00864F2C" w:rsidRPr="00B54DED">
        <w:rPr>
          <w:sz w:val="24"/>
          <w:lang w:val="sl-SI"/>
        </w:rPr>
        <w:t>),</w:t>
      </w:r>
    </w:p>
    <w:p w14:paraId="3DD9C519" w14:textId="6C4D4EED" w:rsidR="00864F2C" w:rsidRPr="00B54DED" w:rsidRDefault="00B54DED" w:rsidP="00B54DED">
      <w:pPr>
        <w:pStyle w:val="FootnoteText"/>
        <w:ind w:left="567" w:hanging="567"/>
        <w:rPr>
          <w:sz w:val="24"/>
          <w:vertAlign w:val="superscript"/>
          <w:lang w:val="sl-SI"/>
        </w:rPr>
      </w:pPr>
      <w:r w:rsidRPr="00B54DED">
        <w:rPr>
          <w:sz w:val="24"/>
          <w:lang w:val="sl-SI"/>
        </w:rPr>
        <w:t xml:space="preserve"> </w:t>
      </w:r>
      <w:r w:rsidRPr="00B54DED">
        <w:rPr>
          <w:sz w:val="24"/>
          <w:lang w:val="sl-SI"/>
        </w:rPr>
        <w:tab/>
      </w:r>
      <w:r w:rsidR="00864F2C" w:rsidRPr="00B54DED">
        <w:rPr>
          <w:sz w:val="24"/>
          <w:lang w:val="sl-SI"/>
        </w:rPr>
        <w:t>–</w:t>
      </w:r>
      <w:r w:rsidR="00864F2C" w:rsidRPr="00B54DED">
        <w:rPr>
          <w:sz w:val="24"/>
          <w:lang w:val="sl-SI"/>
        </w:rPr>
        <w:tab/>
        <w:t xml:space="preserve">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29.4.2025, ELI: </w:t>
      </w:r>
      <w:hyperlink r:id="rId13" w:tooltip="Dokument je na voljo prek evropskega zakonodajnega identifikatorja ELI." w:history="1">
        <w:r w:rsidR="00864F2C" w:rsidRPr="00B54DED">
          <w:rPr>
            <w:rStyle w:val="Hyperlink"/>
            <w:sz w:val="24"/>
            <w:lang w:val="sl-SI"/>
          </w:rPr>
          <w:t>http://data.europa.eu/eli/C/2025/2247/oj</w:t>
        </w:r>
      </w:hyperlink>
      <w:r w:rsidR="00864F2C" w:rsidRPr="00B54DED">
        <w:rPr>
          <w:sz w:val="24"/>
          <w:lang w:val="sl-SI"/>
        </w:rPr>
        <w:t>),</w:t>
      </w:r>
    </w:p>
    <w:p w14:paraId="666B30E3" w14:textId="318E197A" w:rsidR="00864F2C" w:rsidRPr="00B54DED" w:rsidRDefault="00B54DED" w:rsidP="00B54DED">
      <w:pPr>
        <w:pStyle w:val="FootnoteText"/>
        <w:ind w:left="567" w:hanging="567"/>
        <w:rPr>
          <w:sz w:val="24"/>
          <w:vertAlign w:val="superscript"/>
          <w:lang w:val="sl-SI"/>
        </w:rPr>
      </w:pPr>
      <w:r w:rsidRPr="00B54DED">
        <w:rPr>
          <w:sz w:val="24"/>
          <w:lang w:val="sl-SI"/>
        </w:rPr>
        <w:t xml:space="preserve"> </w:t>
      </w:r>
      <w:r w:rsidRPr="00B54DED">
        <w:rPr>
          <w:sz w:val="24"/>
          <w:lang w:val="sl-SI"/>
        </w:rPr>
        <w:tab/>
      </w:r>
      <w:r w:rsidR="00864F2C" w:rsidRPr="00B54DED">
        <w:rPr>
          <w:sz w:val="24"/>
          <w:lang w:val="sl-SI"/>
        </w:rPr>
        <w:t>–</w:t>
      </w:r>
      <w:r w:rsidR="00864F2C" w:rsidRPr="00B54DED">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4A1D30">
        <w:rPr>
          <w:sz w:val="24"/>
          <w:lang w:val="sl-SI"/>
        </w:rPr>
        <w:t xml:space="preserve">Sprejeta besedila, </w:t>
      </w:r>
      <w:r w:rsidR="00864F2C" w:rsidRPr="00B54DED">
        <w:rPr>
          <w:sz w:val="24"/>
          <w:lang w:val="sl-SI"/>
        </w:rPr>
        <w:t>P10_TA(2025)0106),</w:t>
      </w:r>
    </w:p>
    <w:p w14:paraId="393F6861" w14:textId="4D213934" w:rsidR="00864F2C" w:rsidRPr="00B54DED" w:rsidRDefault="00B54DED" w:rsidP="00B54DED">
      <w:pPr>
        <w:pStyle w:val="FootnoteText"/>
        <w:ind w:left="567" w:hanging="567"/>
        <w:rPr>
          <w:sz w:val="24"/>
          <w:lang w:val="sl-SI"/>
        </w:rPr>
      </w:pPr>
      <w:r w:rsidRPr="00B54DED">
        <w:rPr>
          <w:sz w:val="24"/>
          <w:lang w:val="sl-SI"/>
        </w:rPr>
        <w:t xml:space="preserve"> </w:t>
      </w:r>
      <w:r w:rsidRPr="00B54DED">
        <w:rPr>
          <w:sz w:val="24"/>
          <w:lang w:val="sl-SI"/>
        </w:rPr>
        <w:tab/>
      </w:r>
      <w:r w:rsidR="00864F2C" w:rsidRPr="00B54DED">
        <w:rPr>
          <w:sz w:val="24"/>
          <w:lang w:val="sl-SI"/>
        </w:rPr>
        <w:t>–</w:t>
      </w:r>
      <w:r w:rsidR="00864F2C" w:rsidRPr="00B54DED">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4A1D30">
        <w:rPr>
          <w:sz w:val="24"/>
          <w:lang w:val="sl-SI"/>
        </w:rPr>
        <w:t xml:space="preserve">Sprejeta besedila, </w:t>
      </w:r>
      <w:r w:rsidR="00864F2C" w:rsidRPr="00B54DED">
        <w:rPr>
          <w:sz w:val="24"/>
          <w:lang w:val="sl-SI"/>
        </w:rPr>
        <w:t>P10_TA</w:t>
      </w:r>
      <w:proofErr w:type="gramStart"/>
      <w:r w:rsidR="00864F2C" w:rsidRPr="00B54DED">
        <w:rPr>
          <w:sz w:val="24"/>
          <w:lang w:val="sl-SI"/>
        </w:rPr>
        <w:t>(</w:t>
      </w:r>
      <w:proofErr w:type="gramEnd"/>
      <w:r w:rsidR="00864F2C" w:rsidRPr="00B54DED">
        <w:rPr>
          <w:sz w:val="24"/>
          <w:lang w:val="sl-SI"/>
        </w:rPr>
        <w:t>202</w:t>
      </w:r>
      <w:r w:rsidR="006736AD">
        <w:rPr>
          <w:sz w:val="24"/>
          <w:lang w:val="sl-SI"/>
        </w:rPr>
        <w:t>5</w:t>
      </w:r>
      <w:r w:rsidR="00864F2C" w:rsidRPr="00B54DED">
        <w:rPr>
          <w:sz w:val="24"/>
          <w:lang w:val="sl-SI"/>
        </w:rPr>
        <w:t>)0222).</w:t>
      </w:r>
    </w:p>
  </w:footnote>
  <w:footnote w:id="5">
    <w:p w14:paraId="50942B00" w14:textId="4A1537E6" w:rsidR="00864F2C" w:rsidRPr="00B54DED" w:rsidRDefault="00864F2C" w:rsidP="00B54DED">
      <w:pPr>
        <w:pStyle w:val="FootnoteText"/>
        <w:ind w:left="567" w:hanging="567"/>
        <w:rPr>
          <w:sz w:val="24"/>
          <w:lang w:val="sl-SI"/>
        </w:rPr>
      </w:pPr>
      <w:r w:rsidRPr="00B54DED">
        <w:rPr>
          <w:rStyle w:val="FootnoteReference"/>
          <w:sz w:val="24"/>
          <w:lang w:val="sl-SI"/>
        </w:rPr>
        <w:footnoteRef/>
      </w:r>
      <w:r w:rsidR="00B54DED" w:rsidRPr="00B54DED">
        <w:rPr>
          <w:sz w:val="24"/>
          <w:lang w:val="sl-SI"/>
        </w:rPr>
        <w:t xml:space="preserve"> </w:t>
      </w:r>
      <w:r w:rsidR="00B54DED" w:rsidRPr="00B54DED">
        <w:rPr>
          <w:sz w:val="24"/>
          <w:lang w:val="sl-SI"/>
        </w:rPr>
        <w:tab/>
      </w:r>
      <w:r w:rsidRPr="00B54DED">
        <w:rPr>
          <w:sz w:val="24"/>
          <w:lang w:val="sl-SI"/>
        </w:rPr>
        <w:t xml:space="preserve">UL L 322, </w:t>
      </w:r>
      <w:proofErr w:type="gramStart"/>
      <w:r w:rsidRPr="00B54DED">
        <w:rPr>
          <w:sz w:val="24"/>
          <w:lang w:val="sl-SI"/>
        </w:rPr>
        <w:t>8.12.2015</w:t>
      </w:r>
      <w:proofErr w:type="gramEnd"/>
      <w:r w:rsidRPr="00B54DED">
        <w:rPr>
          <w:sz w:val="24"/>
          <w:lang w:val="sl-SI"/>
        </w:rPr>
        <w:t xml:space="preserve">, str. 67, ELI: </w:t>
      </w:r>
      <w:hyperlink r:id="rId14" w:history="1">
        <w:r w:rsidRPr="00B54DED">
          <w:rPr>
            <w:rStyle w:val="Hyperlink"/>
            <w:sz w:val="24"/>
            <w:lang w:val="sl-SI"/>
          </w:rPr>
          <w:t>http://data.europa.eu/eli/dec_impl/2015/2281/oj</w:t>
        </w:r>
      </w:hyperlink>
      <w:r w:rsidRPr="00B54DED">
        <w:rPr>
          <w:sz w:val="24"/>
          <w:lang w:val="sl-SI"/>
        </w:rPr>
        <w:t>.</w:t>
      </w:r>
    </w:p>
  </w:footnote>
  <w:footnote w:id="6">
    <w:p w14:paraId="5F429011" w14:textId="0B0B97FB" w:rsidR="00864F2C" w:rsidRPr="00B54DED" w:rsidRDefault="00864F2C" w:rsidP="00B54DED">
      <w:pPr>
        <w:pStyle w:val="FootnoteText"/>
        <w:ind w:left="567" w:hanging="567"/>
        <w:rPr>
          <w:sz w:val="24"/>
          <w:lang w:val="sl-SI"/>
        </w:rPr>
      </w:pPr>
      <w:r w:rsidRPr="00B54DED">
        <w:rPr>
          <w:rStyle w:val="FootnoteReference"/>
          <w:sz w:val="24"/>
          <w:lang w:val="sl-SI"/>
        </w:rPr>
        <w:footnoteRef/>
      </w:r>
      <w:r w:rsidR="00B54DED" w:rsidRPr="00B54DED">
        <w:rPr>
          <w:sz w:val="24"/>
          <w:lang w:val="sl-SI"/>
        </w:rPr>
        <w:t xml:space="preserve"> </w:t>
      </w:r>
      <w:r w:rsidR="00B54DED" w:rsidRPr="00B54DED">
        <w:rPr>
          <w:sz w:val="24"/>
          <w:lang w:val="sl-SI"/>
        </w:rPr>
        <w:tab/>
      </w:r>
      <w:r w:rsidRPr="00B54DED">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w:t>
      </w:r>
      <w:proofErr w:type="gramStart"/>
      <w:r w:rsidRPr="00B54DED">
        <w:rPr>
          <w:sz w:val="24"/>
          <w:lang w:val="sl-SI"/>
        </w:rPr>
        <w:t>1.2.2002</w:t>
      </w:r>
      <w:proofErr w:type="gramEnd"/>
      <w:r w:rsidRPr="00B54DED">
        <w:rPr>
          <w:sz w:val="24"/>
          <w:lang w:val="sl-SI"/>
        </w:rPr>
        <w:t>, str. 1, ELI: </w:t>
      </w:r>
      <w:hyperlink r:id="rId15" w:tgtFrame="Gives%20access%20to%20this%20document%20through%20its%20ELI%20URI." w:history="1">
        <w:r w:rsidRPr="00B54DED">
          <w:rPr>
            <w:rStyle w:val="Hyperlink"/>
            <w:sz w:val="24"/>
            <w:lang w:val="sl-SI"/>
          </w:rPr>
          <w:t>http://data.europa.eu/eli/reg/2002/178/oj</w:t>
        </w:r>
      </w:hyperlink>
      <w:r w:rsidRPr="00B54DE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BD20" w14:textId="77777777" w:rsidR="00064002" w:rsidRPr="00B54D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6BEB6" w14:textId="77777777" w:rsidR="00064002" w:rsidRPr="00B54D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1E13E" w14:textId="77777777" w:rsidR="00064002" w:rsidRPr="00B54D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8199992">
    <w:abstractNumId w:val="9"/>
  </w:num>
  <w:num w:numId="2" w16cid:durableId="314141047">
    <w:abstractNumId w:val="9"/>
  </w:num>
  <w:num w:numId="3" w16cid:durableId="1037655980">
    <w:abstractNumId w:val="7"/>
  </w:num>
  <w:num w:numId="4" w16cid:durableId="1413743614">
    <w:abstractNumId w:val="7"/>
  </w:num>
  <w:num w:numId="5" w16cid:durableId="1503282123">
    <w:abstractNumId w:val="6"/>
  </w:num>
  <w:num w:numId="6" w16cid:durableId="216861373">
    <w:abstractNumId w:val="6"/>
  </w:num>
  <w:num w:numId="7" w16cid:durableId="801969575">
    <w:abstractNumId w:val="5"/>
  </w:num>
  <w:num w:numId="8" w16cid:durableId="1302425142">
    <w:abstractNumId w:val="5"/>
  </w:num>
  <w:num w:numId="9" w16cid:durableId="354578471">
    <w:abstractNumId w:val="4"/>
  </w:num>
  <w:num w:numId="10" w16cid:durableId="1154033910">
    <w:abstractNumId w:val="4"/>
  </w:num>
  <w:num w:numId="11" w16cid:durableId="1075200707">
    <w:abstractNumId w:val="8"/>
  </w:num>
  <w:num w:numId="12" w16cid:durableId="1253469657">
    <w:abstractNumId w:val="8"/>
  </w:num>
  <w:num w:numId="13" w16cid:durableId="721099251">
    <w:abstractNumId w:val="3"/>
  </w:num>
  <w:num w:numId="14" w16cid:durableId="1213887617">
    <w:abstractNumId w:val="3"/>
  </w:num>
  <w:num w:numId="15" w16cid:durableId="1829443637">
    <w:abstractNumId w:val="2"/>
  </w:num>
  <w:num w:numId="16" w16cid:durableId="921328927">
    <w:abstractNumId w:val="2"/>
  </w:num>
  <w:num w:numId="17" w16cid:durableId="1146967658">
    <w:abstractNumId w:val="1"/>
  </w:num>
  <w:num w:numId="18" w16cid:durableId="1676155287">
    <w:abstractNumId w:val="1"/>
  </w:num>
  <w:num w:numId="19" w16cid:durableId="1941454026">
    <w:abstractNumId w:val="0"/>
  </w:num>
  <w:num w:numId="20" w16cid:durableId="309285724">
    <w:abstractNumId w:val="0"/>
  </w:num>
  <w:num w:numId="21" w16cid:durableId="913122372">
    <w:abstractNumId w:val="9"/>
  </w:num>
  <w:num w:numId="22" w16cid:durableId="1199704708">
    <w:abstractNumId w:val="7"/>
  </w:num>
  <w:num w:numId="23" w16cid:durableId="1384523241">
    <w:abstractNumId w:val="6"/>
  </w:num>
  <w:num w:numId="24" w16cid:durableId="1847088244">
    <w:abstractNumId w:val="5"/>
  </w:num>
  <w:num w:numId="25" w16cid:durableId="2110395065">
    <w:abstractNumId w:val="4"/>
  </w:num>
  <w:num w:numId="26" w16cid:durableId="2045596641">
    <w:abstractNumId w:val="8"/>
  </w:num>
  <w:num w:numId="27" w16cid:durableId="1222907234">
    <w:abstractNumId w:val="3"/>
  </w:num>
  <w:num w:numId="28" w16cid:durableId="1478033759">
    <w:abstractNumId w:val="2"/>
  </w:num>
  <w:num w:numId="29" w16cid:durableId="218979905">
    <w:abstractNumId w:val="1"/>
  </w:num>
  <w:num w:numId="30" w16cid:durableId="502278524">
    <w:abstractNumId w:val="0"/>
  </w:num>
  <w:num w:numId="31" w16cid:durableId="33123820">
    <w:abstractNumId w:val="9"/>
  </w:num>
  <w:num w:numId="32" w16cid:durableId="1295329046">
    <w:abstractNumId w:val="7"/>
  </w:num>
  <w:num w:numId="33" w16cid:durableId="530919120">
    <w:abstractNumId w:val="6"/>
  </w:num>
  <w:num w:numId="34" w16cid:durableId="1971327903">
    <w:abstractNumId w:val="5"/>
  </w:num>
  <w:num w:numId="35" w16cid:durableId="883326486">
    <w:abstractNumId w:val="4"/>
  </w:num>
  <w:num w:numId="36" w16cid:durableId="1768116560">
    <w:abstractNumId w:val="8"/>
  </w:num>
  <w:num w:numId="37" w16cid:durableId="912739430">
    <w:abstractNumId w:val="3"/>
  </w:num>
  <w:num w:numId="38" w16cid:durableId="105584598">
    <w:abstractNumId w:val="2"/>
  </w:num>
  <w:num w:numId="39" w16cid:durableId="889877817">
    <w:abstractNumId w:val="1"/>
  </w:num>
  <w:num w:numId="40" w16cid:durableId="416170105">
    <w:abstractNumId w:val="0"/>
  </w:num>
  <w:num w:numId="41" w16cid:durableId="1547984048">
    <w:abstractNumId w:val="10"/>
  </w:num>
  <w:num w:numId="42" w16cid:durableId="671951623">
    <w:abstractNumId w:val="10"/>
  </w:num>
  <w:num w:numId="43" w16cid:durableId="194731287">
    <w:abstractNumId w:val="10"/>
  </w:num>
  <w:num w:numId="44" w16cid:durableId="1234126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SL"/>
    <w:docVar w:name="dvnumam" w:val="0"/>
    <w:docVar w:name="dvpe" w:val="778.113"/>
    <w:docVar w:name="dvtitre" w:val="Resolucija Evropskega parlamenta z dne … 2025 o osnutku izvedbenega sklepa Komisije o obnovitvi odobritve dajanja na trg proizvodov, ki vsebujejo gensko spremenjeno koruzo MON 87427, so iz nje sestavljeni ali proizvedeni, v skladu z Uredbo (ES) št. 1829/2003 Evropskega parlamenta in Sveta(D109634/01 – 2025/2897(RSP))"/>
  </w:docVars>
  <w:rsids>
    <w:rsidRoot w:val="002D4E4B"/>
    <w:rsid w:val="00002272"/>
    <w:rsid w:val="00064002"/>
    <w:rsid w:val="000677B9"/>
    <w:rsid w:val="000831BA"/>
    <w:rsid w:val="000A42CC"/>
    <w:rsid w:val="000E7DD9"/>
    <w:rsid w:val="0010095E"/>
    <w:rsid w:val="00125B37"/>
    <w:rsid w:val="00187494"/>
    <w:rsid w:val="001F32AE"/>
    <w:rsid w:val="002767FF"/>
    <w:rsid w:val="00295875"/>
    <w:rsid w:val="002B18FE"/>
    <w:rsid w:val="002B5493"/>
    <w:rsid w:val="002D4E4B"/>
    <w:rsid w:val="00343214"/>
    <w:rsid w:val="00361C00"/>
    <w:rsid w:val="00395FA1"/>
    <w:rsid w:val="003D3CB4"/>
    <w:rsid w:val="003E15D4"/>
    <w:rsid w:val="00411CCE"/>
    <w:rsid w:val="0041666E"/>
    <w:rsid w:val="00421060"/>
    <w:rsid w:val="00471C19"/>
    <w:rsid w:val="004867E3"/>
    <w:rsid w:val="00494A28"/>
    <w:rsid w:val="004A1D30"/>
    <w:rsid w:val="004C0004"/>
    <w:rsid w:val="004C5D52"/>
    <w:rsid w:val="0050519A"/>
    <w:rsid w:val="005072A1"/>
    <w:rsid w:val="00514517"/>
    <w:rsid w:val="00545827"/>
    <w:rsid w:val="00560270"/>
    <w:rsid w:val="005C2568"/>
    <w:rsid w:val="005C696D"/>
    <w:rsid w:val="005F1B17"/>
    <w:rsid w:val="006037C0"/>
    <w:rsid w:val="006631B6"/>
    <w:rsid w:val="006736AD"/>
    <w:rsid w:val="00680577"/>
    <w:rsid w:val="006F74FA"/>
    <w:rsid w:val="00731ADD"/>
    <w:rsid w:val="00734777"/>
    <w:rsid w:val="00747932"/>
    <w:rsid w:val="00751A4A"/>
    <w:rsid w:val="00756632"/>
    <w:rsid w:val="00762C74"/>
    <w:rsid w:val="00786EC0"/>
    <w:rsid w:val="007D1690"/>
    <w:rsid w:val="007E22AD"/>
    <w:rsid w:val="00817416"/>
    <w:rsid w:val="00842779"/>
    <w:rsid w:val="00864F2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22A"/>
    <w:rsid w:val="00B54DED"/>
    <w:rsid w:val="00B558F0"/>
    <w:rsid w:val="00B72161"/>
    <w:rsid w:val="00BD48FE"/>
    <w:rsid w:val="00BD7BD8"/>
    <w:rsid w:val="00BE0423"/>
    <w:rsid w:val="00BE5929"/>
    <w:rsid w:val="00BE6ADC"/>
    <w:rsid w:val="00C05BFE"/>
    <w:rsid w:val="00C23CD4"/>
    <w:rsid w:val="00C61C0C"/>
    <w:rsid w:val="00C941CB"/>
    <w:rsid w:val="00CA0973"/>
    <w:rsid w:val="00CB4232"/>
    <w:rsid w:val="00CC2357"/>
    <w:rsid w:val="00CF071A"/>
    <w:rsid w:val="00D058B8"/>
    <w:rsid w:val="00D56C11"/>
    <w:rsid w:val="00D834A0"/>
    <w:rsid w:val="00D872DF"/>
    <w:rsid w:val="00D91E21"/>
    <w:rsid w:val="00DA7FCD"/>
    <w:rsid w:val="00DE6860"/>
    <w:rsid w:val="00E365E1"/>
    <w:rsid w:val="00E75E26"/>
    <w:rsid w:val="00E820A4"/>
    <w:rsid w:val="00E821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340F1"/>
  <w15:chartTrackingRefBased/>
  <w15:docId w15:val="{83B0FB32-B4D3-4A47-98DF-539DDDC4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4F2C"/>
    <w:pPr>
      <w:spacing w:before="480" w:after="240"/>
    </w:pPr>
  </w:style>
  <w:style w:type="paragraph" w:customStyle="1" w:styleId="NormalHanging12a">
    <w:name w:val="NormalHanging12a"/>
    <w:basedOn w:val="Normal"/>
    <w:rsid w:val="00864F2C"/>
    <w:pPr>
      <w:spacing w:after="240"/>
      <w:ind w:left="567" w:hanging="567"/>
    </w:pPr>
  </w:style>
  <w:style w:type="character" w:styleId="Hyperlink">
    <w:name w:val="Hyperlink"/>
    <w:basedOn w:val="DefaultParagraphFont"/>
    <w:uiPriority w:val="99"/>
    <w:rsid w:val="00864F2C"/>
    <w:rPr>
      <w:color w:val="0563C1" w:themeColor="hyperlink"/>
      <w:u w:val="single"/>
    </w:rPr>
  </w:style>
  <w:style w:type="character" w:customStyle="1" w:styleId="Funotenzeichen">
    <w:name w:val="Fußnotenzeichen"/>
    <w:basedOn w:val="DefaultParagraphFont"/>
    <w:qFormat/>
    <w:rsid w:val="00864F2C"/>
    <w:rPr>
      <w:rFonts w:cs="Times New Roman"/>
      <w:vertAlign w:val="superscript"/>
    </w:rPr>
  </w:style>
  <w:style w:type="paragraph" w:styleId="Revision">
    <w:name w:val="Revision"/>
    <w:hidden/>
    <w:uiPriority w:val="99"/>
    <w:semiHidden/>
    <w:rsid w:val="004A1D3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930</Words>
  <Characters>5479</Characters>
  <Application>Microsoft Office Word</Application>
  <DocSecurity>0</DocSecurity>
  <Lines>136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2026-01-23T09:31:00Z</dcterms:created>
  <dcterms:modified xsi:type="dcterms:W3CDTF">2026-01-23T09:31:00Z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B10-0491/2025</vt:lpwstr>
  </property>
  <property fmtid="{D5CDD505-2E9C-101B-9397-08002B2CF9AE}" pid="4" name="&lt;Type&gt;">
    <vt:lpwstr>RR</vt:lpwstr>
  </property>
</Properties>
</file>